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皖北卫生职业学院自助开水直饮水项目（二次）</w:t>
      </w:r>
    </w:p>
    <w:p>
      <w:pPr>
        <w:spacing w:line="800" w:lineRule="exact"/>
        <w:jc w:val="center"/>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项目编号：</w:t>
      </w:r>
      <w:r>
        <w:rPr>
          <w:rFonts w:hint="eastAsia" w:ascii="宋体" w:hAnsi="宋体" w:cs="宋体"/>
          <w:b/>
          <w:bCs/>
          <w:color w:val="000000" w:themeColor="text1"/>
          <w:sz w:val="32"/>
          <w:szCs w:val="32"/>
          <w:lang w:val="en-US" w:eastAsia="zh-CN"/>
          <w14:textFill>
            <w14:solidFill>
              <w14:schemeClr w14:val="tx1"/>
            </w14:solidFill>
          </w14:textFill>
        </w:rPr>
        <w:t>SSJSSZ-2025002</w:t>
      </w:r>
    </w:p>
    <w:p>
      <w:pPr>
        <w:spacing w:line="800" w:lineRule="exact"/>
        <w:jc w:val="center"/>
        <w:rPr>
          <w:rFonts w:ascii="黑体" w:eastAsia="黑体"/>
          <w:b/>
          <w:bCs/>
          <w:color w:val="000000" w:themeColor="text1"/>
          <w:sz w:val="52"/>
          <w:szCs w:val="52"/>
          <w14:textFill>
            <w14:solidFill>
              <w14:schemeClr w14:val="tx1"/>
            </w14:solidFill>
          </w14:textFill>
        </w:rPr>
      </w:pPr>
    </w:p>
    <w:p>
      <w:pPr>
        <w:pStyle w:val="24"/>
        <w:rPr>
          <w:color w:val="000000" w:themeColor="text1"/>
          <w14:textFill>
            <w14:solidFill>
              <w14:schemeClr w14:val="tx1"/>
            </w14:solidFill>
          </w14:textFill>
        </w:rPr>
      </w:pP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竞</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争</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性</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磋</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商</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文</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件</w:t>
      </w:r>
    </w:p>
    <w:p>
      <w:pPr>
        <w:pStyle w:val="24"/>
        <w:ind w:firstLine="560"/>
        <w:rPr>
          <w:rFonts w:ascii="宋体" w:hAnsi="宋体" w:eastAsia="宋体" w:cs="宋体"/>
          <w:color w:val="000000" w:themeColor="text1"/>
          <w14:textFill>
            <w14:solidFill>
              <w14:schemeClr w14:val="tx1"/>
            </w14:solidFill>
          </w14:textFill>
        </w:rPr>
      </w:pPr>
    </w:p>
    <w:p>
      <w:pPr>
        <w:jc w:val="center"/>
        <w:rPr>
          <w:rFonts w:ascii="宋体" w:hAnsi="宋体" w:cs="宋体"/>
          <w:color w:val="000000" w:themeColor="text1"/>
          <w:sz w:val="24"/>
          <w:szCs w:val="24"/>
          <w14:textFill>
            <w14:solidFill>
              <w14:schemeClr w14:val="tx1"/>
            </w14:solidFill>
          </w14:textFill>
        </w:rPr>
      </w:pPr>
    </w:p>
    <w:p>
      <w:pPr>
        <w:pStyle w:val="24"/>
        <w:rPr>
          <w:color w:val="000000" w:themeColor="text1"/>
          <w14:textFill>
            <w14:solidFill>
              <w14:schemeClr w14:val="tx1"/>
            </w14:solidFill>
          </w14:textFill>
        </w:rPr>
      </w:pPr>
    </w:p>
    <w:p>
      <w:pPr>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采购人：皖北卫生职业学院（盖章）</w:t>
      </w:r>
    </w:p>
    <w:p>
      <w:pPr>
        <w:ind w:firstLine="843" w:firstLineChars="300"/>
        <w:rPr>
          <w:rFonts w:ascii="宋体" w:hAnsi="宋体" w:cs="宋体"/>
          <w:b/>
          <w:bCs/>
          <w:color w:val="000000" w:themeColor="text1"/>
          <w:sz w:val="28"/>
          <w:szCs w:val="28"/>
          <w14:textFill>
            <w14:solidFill>
              <w14:schemeClr w14:val="tx1"/>
            </w14:solidFill>
          </w14:textFill>
        </w:rPr>
      </w:pPr>
    </w:p>
    <w:p>
      <w:pPr>
        <w:ind w:firstLine="843" w:firstLineChars="300"/>
        <w:rPr>
          <w:rFonts w:ascii="宋体" w:hAnsi="宋体" w:cs="宋体"/>
          <w:b/>
          <w:bCs/>
          <w:color w:val="000000" w:themeColor="text1"/>
          <w:sz w:val="28"/>
          <w:szCs w:val="28"/>
          <w14:textFill>
            <w14:solidFill>
              <w14:schemeClr w14:val="tx1"/>
            </w14:solidFill>
          </w14:textFill>
        </w:rPr>
      </w:pPr>
    </w:p>
    <w:p>
      <w:pPr>
        <w:ind w:firstLine="1968" w:firstLineChars="7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代理机构：</w:t>
      </w:r>
      <w:r>
        <w:rPr>
          <w:rFonts w:hint="eastAsia" w:ascii="宋体" w:hAnsi="宋体" w:cs="宋体"/>
          <w:b/>
          <w:bCs/>
          <w:color w:val="000000" w:themeColor="text1"/>
          <w:sz w:val="28"/>
          <w:szCs w:val="28"/>
          <w:lang w:val="en-US" w:eastAsia="zh-CN"/>
          <w14:textFill>
            <w14:solidFill>
              <w14:schemeClr w14:val="tx1"/>
            </w14:solidFill>
          </w14:textFill>
        </w:rPr>
        <w:t>苏世建设管理集团有限公司</w:t>
      </w:r>
      <w:r>
        <w:rPr>
          <w:rFonts w:hint="eastAsia" w:ascii="宋体" w:hAnsi="宋体" w:cs="宋体"/>
          <w:b/>
          <w:bCs/>
          <w:color w:val="000000" w:themeColor="text1"/>
          <w:sz w:val="28"/>
          <w:szCs w:val="28"/>
          <w14:textFill>
            <w14:solidFill>
              <w14:schemeClr w14:val="tx1"/>
            </w14:solidFill>
          </w14:textFill>
        </w:rPr>
        <w:t>（盖章）</w:t>
      </w:r>
    </w:p>
    <w:p>
      <w:pPr>
        <w:pStyle w:val="24"/>
        <w:ind w:firstLine="640"/>
        <w:rPr>
          <w:b/>
          <w:bCs/>
          <w:color w:val="000000" w:themeColor="text1"/>
          <w:sz w:val="32"/>
          <w:szCs w:val="22"/>
          <w14:textFill>
            <w14:solidFill>
              <w14:schemeClr w14:val="tx1"/>
            </w14:solidFill>
          </w14:textFill>
        </w:rPr>
      </w:pPr>
    </w:p>
    <w:p>
      <w:pPr>
        <w:spacing w:line="360" w:lineRule="auto"/>
        <w:ind w:right="42" w:rightChars="2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w:t>
      </w:r>
      <w:r>
        <w:rPr>
          <w:rFonts w:hint="eastAsia" w:ascii="宋体" w:hAnsi="宋体" w:cs="宋体"/>
          <w:b/>
          <w:bCs/>
          <w:color w:val="000000" w:themeColor="text1"/>
          <w:sz w:val="32"/>
          <w:szCs w:val="32"/>
          <w:lang w:val="en-US" w:eastAsia="zh-CN"/>
          <w14:textFill>
            <w14:solidFill>
              <w14:schemeClr w14:val="tx1"/>
            </w14:solidFill>
          </w14:textFill>
        </w:rPr>
        <w:t>25</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08</w:t>
      </w:r>
      <w:r>
        <w:rPr>
          <w:rFonts w:hint="eastAsia" w:ascii="宋体" w:hAnsi="宋体" w:cs="宋体"/>
          <w:b/>
          <w:bCs/>
          <w:color w:val="000000" w:themeColor="text1"/>
          <w:sz w:val="32"/>
          <w:szCs w:val="32"/>
          <w14:textFill>
            <w14:solidFill>
              <w14:schemeClr w14:val="tx1"/>
            </w14:solidFill>
          </w14:textFill>
        </w:rPr>
        <w:t>月</w:t>
      </w:r>
    </w:p>
    <w:p>
      <w:pPr>
        <w:spacing w:line="360" w:lineRule="exact"/>
        <w:ind w:firstLine="803" w:firstLineChars="200"/>
        <w:jc w:val="center"/>
        <w:rPr>
          <w:rFonts w:ascii="黑体" w:hAnsi="黑体" w:eastAsia="黑体"/>
          <w:b/>
          <w:bCs/>
          <w:color w:val="000000" w:themeColor="text1"/>
          <w:sz w:val="40"/>
          <w:szCs w:val="40"/>
          <w14:textFill>
            <w14:solidFill>
              <w14:schemeClr w14:val="tx1"/>
            </w14:solidFill>
          </w14:textFill>
        </w:rPr>
        <w:sectPr>
          <w:footerReference r:id="rId3" w:type="default"/>
          <w:pgSz w:w="11910" w:h="16850"/>
          <w:pgMar w:top="1380" w:right="900" w:bottom="1480" w:left="1440" w:header="1046" w:footer="1218" w:gutter="0"/>
          <w:pgNumType w:fmt="decimal" w:start="1"/>
          <w:cols w:space="720" w:num="1"/>
        </w:sectPr>
      </w:pPr>
      <w:bookmarkStart w:id="0" w:name="_Toc511899286"/>
      <w:bookmarkEnd w:id="0"/>
      <w:bookmarkStart w:id="1" w:name="_Toc272218544"/>
    </w:p>
    <w:p>
      <w:pPr>
        <w:spacing w:line="360" w:lineRule="exact"/>
        <w:ind w:firstLine="723" w:firstLineChars="200"/>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目  录</w:t>
      </w:r>
    </w:p>
    <w:p>
      <w:pPr>
        <w:pStyle w:val="20"/>
        <w:tabs>
          <w:tab w:val="right" w:leader="dot" w:pos="9570"/>
        </w:tabs>
        <w:ind w:left="420"/>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fldChar w:fldCharType="begin"/>
      </w:r>
      <w:r>
        <w:rPr>
          <w:rFonts w:hint="eastAsia" w:ascii="宋体" w:hAnsi="宋体" w:eastAsia="宋体" w:cs="宋体"/>
          <w:color w:val="000000" w:themeColor="text1"/>
          <w:lang w:val="zh-CN"/>
          <w14:textFill>
            <w14:solidFill>
              <w14:schemeClr w14:val="tx1"/>
            </w14:solidFill>
          </w14:textFill>
        </w:rPr>
        <w:instrText xml:space="preserve"> TOC \o "1-3" \h \z \u </w:instrText>
      </w:r>
      <w:r>
        <w:rPr>
          <w:rFonts w:hint="eastAsia" w:ascii="宋体" w:hAnsi="宋体" w:eastAsia="宋体" w:cs="宋体"/>
          <w:color w:val="000000" w:themeColor="text1"/>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"_Toc9403"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第一章 竞争性磋商公告</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3</w:t>
      </w:r>
      <w:r>
        <w:rPr>
          <w:rFonts w:hint="eastAsia" w:ascii="宋体" w:hAnsi="宋体" w:eastAsia="宋体" w:cs="宋体"/>
          <w:b w:val="0"/>
          <w:bCs w:val="0"/>
          <w:color w:val="000000" w:themeColor="text1"/>
          <w14:textFill>
            <w14:solidFill>
              <w14:schemeClr w14:val="tx1"/>
            </w14:solidFill>
          </w14:textFill>
        </w:rPr>
        <w:fldChar w:fldCharType="end"/>
      </w:r>
    </w:p>
    <w:p>
      <w:pPr>
        <w:pStyle w:val="20"/>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"_Toc31011"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第二章 供应商须知前附表</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6</w:t>
      </w:r>
      <w:r>
        <w:rPr>
          <w:rFonts w:hint="eastAsia" w:ascii="宋体" w:hAnsi="宋体" w:eastAsia="宋体" w:cs="宋体"/>
          <w:b w:val="0"/>
          <w:bCs w:val="0"/>
          <w:color w:val="000000" w:themeColor="text1"/>
          <w14:textFill>
            <w14:solidFill>
              <w14:schemeClr w14:val="tx1"/>
            </w14:solidFill>
          </w14:textFill>
        </w:rPr>
        <w:fldChar w:fldCharType="end"/>
      </w:r>
    </w:p>
    <w:p>
      <w:pPr>
        <w:pStyle w:val="20"/>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"_Toc18529"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第三章 采购需求</w:t>
      </w:r>
      <w:r>
        <w:rPr>
          <w:rFonts w:hint="eastAsia" w:ascii="宋体" w:hAnsi="宋体" w:eastAsia="宋体" w:cs="宋体"/>
          <w:b w:val="0"/>
          <w:bCs w:val="0"/>
          <w:color w:val="000000" w:themeColor="text1"/>
          <w:lang w:eastAsia="zh-CN"/>
          <w14:textFill>
            <w14:solidFill>
              <w14:schemeClr w14:val="tx1"/>
            </w14:solidFill>
          </w14:textFill>
        </w:rPr>
        <w:t>及商务要求</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8</w:t>
      </w:r>
      <w:r>
        <w:rPr>
          <w:rFonts w:hint="eastAsia" w:ascii="宋体" w:hAnsi="宋体" w:eastAsia="宋体" w:cs="宋体"/>
          <w:b w:val="0"/>
          <w:bCs w:val="0"/>
          <w:color w:val="000000" w:themeColor="text1"/>
          <w14:textFill>
            <w14:solidFill>
              <w14:schemeClr w14:val="tx1"/>
            </w14:solidFill>
          </w14:textFill>
        </w:rPr>
        <w:fldChar w:fldCharType="end"/>
      </w:r>
    </w:p>
    <w:p>
      <w:pPr>
        <w:pStyle w:val="20"/>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第四章 实质性响应审查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2</w:t>
      </w:r>
    </w:p>
    <w:p>
      <w:pPr>
        <w:pStyle w:val="20"/>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"_Toc18594"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第五章 评分办法</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5</w:t>
      </w:r>
    </w:p>
    <w:p>
      <w:pPr>
        <w:pStyle w:val="20"/>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"_Toc17460"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第六章 供应商须知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8</w:t>
      </w:r>
    </w:p>
    <w:p>
      <w:pPr>
        <w:pStyle w:val="20"/>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"_Toc16784"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szCs w:val="32"/>
          <w14:textFill>
            <w14:solidFill>
              <w14:schemeClr w14:val="tx1"/>
            </w14:solidFill>
          </w14:textFill>
        </w:rPr>
        <w:t>第七章 合同条款及格式</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_Toc16784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w:t>
      </w:r>
      <w:r>
        <w:rPr>
          <w:rFonts w:hint="eastAsia" w:ascii="宋体" w:hAnsi="宋体" w:eastAsia="宋体" w:cs="宋体"/>
          <w:b w:val="0"/>
          <w:bCs w:val="0"/>
          <w:color w:val="000000" w:themeColor="text1"/>
          <w:lang w:val="en-US" w:eastAsia="zh-CN"/>
          <w14:textFill>
            <w14:solidFill>
              <w14:schemeClr w14:val="tx1"/>
            </w14:solidFill>
          </w14:textFill>
        </w:rPr>
        <w:t>8</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pPr>
        <w:pStyle w:val="20"/>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第八章 磋商响应文件</w:t>
      </w:r>
      <w:r>
        <w:rPr>
          <w:rFonts w:hint="eastAsia" w:ascii="宋体" w:hAnsi="宋体" w:eastAsia="宋体" w:cs="宋体"/>
          <w:b w:val="0"/>
          <w:bCs w:val="0"/>
          <w:color w:val="000000" w:themeColor="text1"/>
          <w:lang w:eastAsia="zh-CN"/>
          <w14:textFill>
            <w14:solidFill>
              <w14:schemeClr w14:val="tx1"/>
            </w14:solidFill>
          </w14:textFill>
        </w:rPr>
        <w:t>格式</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3</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6</w:t>
      </w:r>
    </w:p>
    <w:p>
      <w:pPr>
        <w:pStyle w:val="13"/>
        <w:tabs>
          <w:tab w:val="right" w:leader="dot" w:pos="9570"/>
        </w:tabs>
        <w:ind w:left="840"/>
        <w:rPr>
          <w:rFonts w:ascii="宋体" w:hAnsi="宋体" w:cs="宋体"/>
          <w:color w:val="000000" w:themeColor="text1"/>
          <w14:textFill>
            <w14:solidFill>
              <w14:schemeClr w14:val="tx1"/>
            </w14:solidFill>
          </w14:textFill>
        </w:rPr>
      </w:pPr>
    </w:p>
    <w:p>
      <w:pPr>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fldChar w:fldCharType="end"/>
      </w:r>
    </w:p>
    <w:p>
      <w:pPr>
        <w:pStyle w:val="32"/>
        <w:spacing w:line="440" w:lineRule="exact"/>
        <w:rPr>
          <w:rFonts w:eastAsia="宋体"/>
          <w:color w:val="000000" w:themeColor="text1"/>
          <w14:textFill>
            <w14:solidFill>
              <w14:schemeClr w14:val="tx1"/>
            </w14:solidFill>
          </w14:textFill>
        </w:rPr>
        <w:sectPr>
          <w:footerReference r:id="rId4" w:type="default"/>
          <w:pgSz w:w="11910" w:h="16850"/>
          <w:pgMar w:top="1380" w:right="900" w:bottom="1480" w:left="1440" w:header="1046" w:footer="1218" w:gutter="0"/>
          <w:pgNumType w:fmt="decimal"/>
          <w:cols w:space="720" w:num="1"/>
        </w:sectPr>
      </w:pPr>
    </w:p>
    <w:p>
      <w:pPr>
        <w:pStyle w:val="32"/>
        <w:pageBreakBefore w:val="0"/>
        <w:widowControl w:val="0"/>
        <w:kinsoku/>
        <w:wordWrap/>
        <w:overflowPunct/>
        <w:topLinePunct w:val="0"/>
        <w:autoSpaceDE/>
        <w:autoSpaceDN/>
        <w:bidi w:val="0"/>
        <w:adjustRightInd/>
        <w:snapToGrid/>
        <w:spacing w:line="480" w:lineRule="auto"/>
        <w:textAlignment w:val="auto"/>
        <w:rPr>
          <w:rFonts w:eastAsia="宋体"/>
          <w:color w:val="000000" w:themeColor="text1"/>
          <w14:textFill>
            <w14:solidFill>
              <w14:schemeClr w14:val="tx1"/>
            </w14:solidFill>
          </w14:textFill>
        </w:rPr>
      </w:pPr>
      <w:bookmarkStart w:id="2" w:name="_Toc9403"/>
      <w:r>
        <w:rPr>
          <w:rFonts w:hint="eastAsia" w:eastAsia="宋体"/>
          <w:color w:val="000000" w:themeColor="text1"/>
          <w14:textFill>
            <w14:solidFill>
              <w14:schemeClr w14:val="tx1"/>
            </w14:solidFill>
          </w14:textFill>
        </w:rPr>
        <w:t>第一章 竞争性磋商公告</w:t>
      </w:r>
      <w:bookmarkEnd w:id="1"/>
      <w:bookmarkEnd w:id="2"/>
    </w:p>
    <w:p>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cs="宋体"/>
          <w:color w:val="000000" w:themeColor="text1"/>
          <w14:textFill>
            <w14:solidFill>
              <w14:schemeClr w14:val="tx1"/>
            </w14:solidFill>
          </w14:textFill>
        </w:rPr>
      </w:pPr>
      <w:r>
        <w:rPr>
          <w:rFonts w:hint="eastAsia" w:ascii="宋体" w:hAnsi="宋体" w:cs="宋体"/>
          <w:b/>
          <w:bCs/>
          <w:color w:val="000000" w:themeColor="text1"/>
          <w:u w:val="single"/>
          <w:lang w:val="en-US" w:eastAsia="zh-CN"/>
          <w14:textFill>
            <w14:solidFill>
              <w14:schemeClr w14:val="tx1"/>
            </w14:solidFill>
          </w14:textFill>
        </w:rPr>
        <w:t>苏世建设管理集团有限公司</w:t>
      </w:r>
      <w:r>
        <w:rPr>
          <w:rFonts w:hint="eastAsia" w:ascii="宋体" w:hAnsi="宋体" w:cs="宋体"/>
          <w:color w:val="000000" w:themeColor="text1"/>
          <w14:textFill>
            <w14:solidFill>
              <w14:schemeClr w14:val="tx1"/>
            </w14:solidFill>
          </w14:textFill>
        </w:rPr>
        <w:t>受</w:t>
      </w:r>
      <w:r>
        <w:rPr>
          <w:rFonts w:hint="eastAsia" w:ascii="宋体" w:hAnsi="宋体" w:cs="宋体"/>
          <w:b/>
          <w:bCs/>
          <w:color w:val="000000" w:themeColor="text1"/>
          <w:u w:val="single"/>
          <w14:textFill>
            <w14:solidFill>
              <w14:schemeClr w14:val="tx1"/>
            </w14:solidFill>
          </w14:textFill>
        </w:rPr>
        <w:t>皖北卫生职业学院</w:t>
      </w:r>
      <w:r>
        <w:rPr>
          <w:rFonts w:hint="eastAsia" w:ascii="宋体" w:hAnsi="宋体" w:cs="宋体"/>
          <w:color w:val="000000" w:themeColor="text1"/>
          <w14:textFill>
            <w14:solidFill>
              <w14:schemeClr w14:val="tx1"/>
            </w14:solidFill>
          </w14:textFill>
        </w:rPr>
        <w:t>的委托，现对</w:t>
      </w:r>
      <w:r>
        <w:rPr>
          <w:rFonts w:hint="eastAsia" w:ascii="宋体" w:hAnsi="宋体" w:cs="宋体"/>
          <w:b/>
          <w:bCs/>
          <w:color w:val="000000" w:themeColor="text1"/>
          <w:u w:val="single"/>
          <w:lang w:eastAsia="zh-CN"/>
          <w14:textFill>
            <w14:solidFill>
              <w14:schemeClr w14:val="tx1"/>
            </w14:solidFill>
          </w14:textFill>
        </w:rPr>
        <w:t>皖北卫生职业学院自助开水直饮水项目（二次）</w:t>
      </w:r>
      <w:r>
        <w:rPr>
          <w:rFonts w:hint="eastAsia" w:ascii="宋体" w:hAnsi="宋体" w:cs="宋体"/>
          <w:color w:val="000000" w:themeColor="text1"/>
          <w14:textFill>
            <w14:solidFill>
              <w14:schemeClr w14:val="tx1"/>
            </w14:solidFill>
          </w14:textFill>
        </w:rPr>
        <w:t>进行竞争性磋商，欢迎具备条件的国内供应商参加磋商。</w:t>
      </w:r>
    </w:p>
    <w:p>
      <w:pPr>
        <w:pStyle w:val="34"/>
        <w:keepNext w:val="0"/>
        <w:keepLines w:val="0"/>
        <w:pageBreakBefore w:val="0"/>
        <w:widowControl w:val="0"/>
        <w:kinsoku/>
        <w:wordWrap/>
        <w:overflowPunct/>
        <w:topLinePunct w:val="0"/>
        <w:bidi w:val="0"/>
        <w:snapToGrid/>
        <w:spacing w:line="480" w:lineRule="auto"/>
        <w:jc w:val="left"/>
        <w:textAlignment w:val="auto"/>
        <w:rPr>
          <w:rFonts w:cs="宋体"/>
          <w:color w:val="000000" w:themeColor="text1"/>
          <w14:textFill>
            <w14:solidFill>
              <w14:schemeClr w14:val="tx1"/>
            </w14:solidFill>
          </w14:textFill>
        </w:rPr>
      </w:pPr>
      <w:bookmarkStart w:id="3" w:name="_Toc511899287"/>
      <w:bookmarkEnd w:id="3"/>
      <w:bookmarkStart w:id="4" w:name="_Toc11370"/>
      <w:bookmarkStart w:id="5" w:name="_Toc26736"/>
      <w:r>
        <w:rPr>
          <w:rFonts w:hint="eastAsia" w:cs="宋体"/>
          <w:color w:val="000000" w:themeColor="text1"/>
          <w14:textFill>
            <w14:solidFill>
              <w14:schemeClr w14:val="tx1"/>
            </w14:solidFill>
          </w14:textFill>
        </w:rPr>
        <w:t>一、项目名称及内容</w:t>
      </w:r>
      <w:bookmarkEnd w:id="4"/>
      <w:bookmarkEnd w:id="5"/>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1、项</w:t>
      </w:r>
      <w:r>
        <w:rPr>
          <w:rFonts w:hint="eastAsia" w:ascii="宋体" w:hAnsi="宋体" w:cs="宋体"/>
          <w:color w:val="000000" w:themeColor="text1"/>
          <w14:textFill>
            <w14:solidFill>
              <w14:schemeClr w14:val="tx1"/>
            </w14:solidFill>
          </w14:textFill>
        </w:rPr>
        <w:t>目编号：</w:t>
      </w:r>
      <w:r>
        <w:rPr>
          <w:rFonts w:hint="eastAsia" w:ascii="宋体" w:hAnsi="宋体" w:cs="宋体"/>
          <w:color w:val="000000" w:themeColor="text1"/>
          <w:lang w:eastAsia="zh-CN"/>
          <w14:textFill>
            <w14:solidFill>
              <w14:schemeClr w14:val="tx1"/>
            </w14:solidFill>
          </w14:textFill>
        </w:rPr>
        <w:t>SSJSSZ-2025002</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2、项目名称：</w:t>
      </w:r>
      <w:r>
        <w:rPr>
          <w:rFonts w:hint="eastAsia" w:ascii="宋体" w:hAnsi="宋体" w:cs="宋体"/>
          <w:color w:val="000000" w:themeColor="text1"/>
          <w:lang w:eastAsia="zh-CN"/>
          <w14:textFill>
            <w14:solidFill>
              <w14:schemeClr w14:val="tx1"/>
            </w14:solidFill>
          </w14:textFill>
        </w:rPr>
        <w:t>皖北卫生职业学院自助开水直饮水项目（二次）</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3、采购人：皖北卫生职业学院</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4、资金来源：自筹资金</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en-US" w:eastAsia="zh-CN"/>
          <w14:textFill>
            <w14:solidFill>
              <w14:schemeClr w14:val="tx1"/>
            </w14:solidFill>
          </w14:textFill>
        </w:rPr>
        <w:t>管理费用最低限价</w:t>
      </w:r>
      <w:r>
        <w:rPr>
          <w:rFonts w:hint="eastAsia" w:ascii="宋体" w:hAnsi="宋体" w:cs="宋体"/>
          <w:color w:val="000000" w:themeColor="text1"/>
          <w14:textFill>
            <w14:solidFill>
              <w14:schemeClr w14:val="tx1"/>
            </w14:solidFill>
          </w14:textFill>
        </w:rPr>
        <w:t>：</w:t>
      </w:r>
      <w:bookmarkStart w:id="6" w:name="OLE_LINK45"/>
      <w:r>
        <w:rPr>
          <w:rFonts w:hint="eastAsia" w:ascii="宋体" w:hAnsi="宋体" w:cs="宋体"/>
          <w:b/>
          <w:bCs/>
          <w:color w:val="000000" w:themeColor="text1"/>
          <w:lang w:val="en-US" w:eastAsia="zh-CN"/>
          <w14:textFill>
            <w14:solidFill>
              <w14:schemeClr w14:val="tx1"/>
            </w14:solidFill>
          </w14:textFill>
        </w:rPr>
        <w:t>350元/台/年（暂定安装117台，最终以学校实际安装数量为准）</w:t>
      </w:r>
      <w:bookmarkEnd w:id="6"/>
      <w:r>
        <w:rPr>
          <w:rFonts w:hint="eastAsia" w:ascii="宋体" w:hAnsi="宋体" w:cs="宋体"/>
          <w:b/>
          <w:bCs/>
          <w:color w:val="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直饮常温水费最高限价：0.12元/升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直饮热水费最高限价：0.12元/升</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6、服务期：</w:t>
      </w:r>
      <w:r>
        <w:rPr>
          <w:rFonts w:hint="eastAsia" w:ascii="宋体" w:hAnsi="宋体" w:cs="宋体"/>
          <w:color w:val="000000" w:themeColor="text1"/>
          <w:lang w:val="en-US" w:eastAsia="zh-CN"/>
          <w14:textFill>
            <w14:solidFill>
              <w14:schemeClr w14:val="tx1"/>
            </w14:solidFill>
          </w14:textFill>
        </w:rPr>
        <w:t>365</w:t>
      </w:r>
      <w:r>
        <w:rPr>
          <w:rFonts w:hint="eastAsia" w:ascii="宋体" w:hAnsi="宋体" w:cs="宋体"/>
          <w:b/>
          <w:bCs/>
          <w:color w:val="000000" w:themeColor="text1"/>
          <w:lang w:val="en-US" w:eastAsia="zh-CN"/>
          <w14:textFill>
            <w14:solidFill>
              <w14:schemeClr w14:val="tx1"/>
            </w14:solidFill>
          </w14:textFill>
        </w:rPr>
        <w:t>日（采用“3+2”模式，中标后先签订3年经营服务合同，3年期满师生满意度考核达85%及以上，再续签后2年合同。合同期内中标方投资改造或建设的设备所有权及运营权归中标方所有。</w:t>
      </w:r>
      <w:bookmarkStart w:id="7" w:name="OLE_LINK6"/>
      <w:r>
        <w:rPr>
          <w:rFonts w:hint="eastAsia" w:ascii="宋体" w:hAnsi="宋体" w:cs="宋体"/>
          <w:b/>
          <w:bCs/>
          <w:color w:val="000000" w:themeColor="text1"/>
          <w:lang w:val="en-US" w:eastAsia="zh-CN"/>
          <w14:textFill>
            <w14:solidFill>
              <w14:schemeClr w14:val="tx1"/>
            </w14:solidFill>
          </w14:textFill>
        </w:rPr>
        <w:t>合同期内招标方收取管理费，本项目采用BOO模式，</w:t>
      </w:r>
      <w:bookmarkEnd w:id="7"/>
      <w:r>
        <w:rPr>
          <w:rFonts w:hint="eastAsia" w:ascii="宋体" w:hAnsi="宋体" w:cs="宋体"/>
          <w:b/>
          <w:bCs/>
          <w:color w:val="000000" w:themeColor="text1"/>
          <w:lang w:val="en-US" w:eastAsia="zh-CN"/>
          <w14:textFill>
            <w14:solidFill>
              <w14:schemeClr w14:val="tx1"/>
            </w14:solidFill>
          </w14:textFill>
        </w:rPr>
        <w:t>中标方自主经营、自负盈亏</w:t>
      </w:r>
      <w:r>
        <w:rPr>
          <w:rFonts w:hint="eastAsia" w:ascii="宋体" w:hAnsi="宋体" w:cs="宋体"/>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7、采购需求</w:t>
      </w:r>
      <w:r>
        <w:rPr>
          <w:rFonts w:hint="eastAsia" w:ascii="宋体" w:hAnsi="宋体" w:cs="宋体"/>
          <w:color w:val="000000" w:themeColor="text1"/>
          <w:lang w:val="en-US" w:eastAsia="zh-CN"/>
          <w14:textFill>
            <w14:solidFill>
              <w14:schemeClr w14:val="tx1"/>
            </w14:solidFill>
          </w14:textFill>
        </w:rPr>
        <w:t>：皖北卫生职业学院自助开水直饮水服务项目，具体详见采购文件第三章采购需求。</w:t>
      </w:r>
    </w:p>
    <w:p>
      <w:pPr>
        <w:keepNext w:val="0"/>
        <w:keepLines w:val="0"/>
        <w:pageBreakBefore w:val="0"/>
        <w:widowControl w:val="0"/>
        <w:kinsoku/>
        <w:wordWrap/>
        <w:overflowPunct/>
        <w:topLinePunct w:val="0"/>
        <w:bidi w:val="0"/>
        <w:snapToGrid/>
        <w:spacing w:line="480" w:lineRule="auto"/>
        <w:ind w:firstLine="211" w:firstLineChars="100"/>
        <w:textAlignment w:val="auto"/>
        <w:rPr>
          <w:rFonts w:hint="eastAsia" w:ascii="宋体" w:hAnsi="宋体" w:cs="宋体"/>
          <w:b/>
          <w:bCs/>
          <w:color w:val="000000" w:themeColor="text1"/>
          <w14:textFill>
            <w14:solidFill>
              <w14:schemeClr w14:val="tx1"/>
            </w14:solidFill>
          </w14:textFill>
        </w:rPr>
      </w:pPr>
      <w:bookmarkStart w:id="8" w:name="_Toc23771"/>
      <w:bookmarkStart w:id="9" w:name="_Toc7601"/>
      <w:r>
        <w:rPr>
          <w:rFonts w:hint="eastAsia" w:ascii="宋体" w:hAnsi="宋体" w:cs="宋体"/>
          <w:b/>
          <w:bCs/>
          <w:color w:val="000000" w:themeColor="text1"/>
          <w14:textFill>
            <w14:solidFill>
              <w14:schemeClr w14:val="tx1"/>
            </w14:solidFill>
          </w14:textFill>
        </w:rPr>
        <w:t>二、供应商资格</w:t>
      </w:r>
      <w:bookmarkEnd w:id="8"/>
      <w:bookmarkEnd w:id="9"/>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default" w:ascii="宋体" w:hAnsi="宋体" w:eastAsia="宋体" w:cs="宋体"/>
          <w:b/>
          <w:bCs w:val="0"/>
          <w:color w:val="000000" w:themeColor="text1"/>
          <w:kern w:val="2"/>
          <w:sz w:val="21"/>
          <w:szCs w:val="21"/>
          <w:lang w:val="en-US" w:eastAsia="zh-CN" w:bidi="ar-SA"/>
          <w14:textFill>
            <w14:solidFill>
              <w14:schemeClr w14:val="tx1"/>
            </w14:solidFill>
          </w14:textFill>
        </w:rPr>
      </w:pPr>
      <w:bookmarkStart w:id="10" w:name="_Toc511898260"/>
      <w:bookmarkEnd w:id="10"/>
      <w:bookmarkStart w:id="11" w:name="_Toc511828355"/>
      <w:bookmarkEnd w:id="11"/>
      <w:bookmarkStart w:id="12" w:name="_Toc511899289"/>
      <w:bookmarkStart w:id="13" w:name="_Toc30594"/>
      <w:bookmarkStart w:id="14" w:name="_Toc29577"/>
      <w:r>
        <w:rPr>
          <w:rFonts w:hint="eastAsia" w:ascii="宋体" w:hAnsi="宋体" w:eastAsia="宋体" w:cs="宋体"/>
          <w:color w:val="000000" w:themeColor="text1"/>
          <w:kern w:val="2"/>
          <w:sz w:val="21"/>
          <w:szCs w:val="21"/>
          <w:lang w:val="en-US" w:eastAsia="zh-CN" w:bidi="ar-SA"/>
          <w14:textFill>
            <w14:solidFill>
              <w14:schemeClr w14:val="tx1"/>
            </w14:solidFill>
          </w14:textFill>
        </w:rPr>
        <w:t>1、符合《中华人民共和国政府采购法》第二十二条规定；</w:t>
      </w:r>
      <w:r>
        <w:rPr>
          <w:rFonts w:hint="default" w:ascii="Times New Roman" w:hAnsi="Times New Roman" w:eastAsia="宋体" w:cs="Times New Roman"/>
          <w:bCs/>
          <w:snapToGrid w:val="0"/>
          <w:color w:val="000000" w:themeColor="text1"/>
          <w:kern w:val="0"/>
          <w:sz w:val="24"/>
          <w:szCs w:val="24"/>
          <w:highlight w:val="none"/>
          <w:u w:val="none"/>
          <w14:textFill>
            <w14:solidFill>
              <w14:schemeClr w14:val="tx1"/>
            </w14:solidFill>
          </w14:textFill>
        </w:rPr>
        <w:t>具有独立法人资格</w:t>
      </w:r>
      <w:r>
        <w:rPr>
          <w:rFonts w:hint="eastAsia" w:ascii="Times New Roman" w:hAnsi="Times New Roman" w:eastAsia="宋体" w:cs="Times New Roman"/>
          <w:bCs/>
          <w:snapToGrid w:val="0"/>
          <w:color w:val="000000" w:themeColor="text1"/>
          <w:kern w:val="0"/>
          <w:sz w:val="24"/>
          <w:szCs w:val="24"/>
          <w:highlight w:val="none"/>
          <w:u w:val="none"/>
          <w:lang w:eastAsia="zh-CN"/>
          <w14:textFill>
            <w14:solidFill>
              <w14:schemeClr w14:val="tx1"/>
            </w14:solidFill>
          </w14:textFill>
        </w:rPr>
        <w:t>，</w:t>
      </w:r>
      <w:r>
        <w:rPr>
          <w:rFonts w:hint="eastAsia" w:ascii="Times New Roman" w:hAnsi="Times New Roman" w:eastAsia="宋体" w:cs="Times New Roman"/>
          <w:b/>
          <w:bCs w:val="0"/>
          <w:snapToGrid w:val="0"/>
          <w:color w:val="000000" w:themeColor="text1"/>
          <w:kern w:val="0"/>
          <w:sz w:val="24"/>
          <w:szCs w:val="24"/>
          <w:highlight w:val="none"/>
          <w:u w:val="none"/>
          <w:lang w:val="en-US" w:eastAsia="zh-CN"/>
          <w14:textFill>
            <w14:solidFill>
              <w14:schemeClr w14:val="tx1"/>
            </w14:solidFill>
          </w14:textFill>
        </w:rPr>
        <w:t>且经营范围含直饮水项目相关业务，或直饮水设备销售或运营，或净水设备销售或运营等。</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2、本项目不接受联合体磋商；</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3、供应商（含不具有独立法人资格的分公司、不含具备独立法人资格的子公司）存在以下不良信用记录情形之一,不得推荐为成交候选人，不得确定为成交供应商:</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（1）供应商被人民法院列入失信被执行人的；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（2）供应商或其法定代表人或拟派项目经理（项目负责人）被列入行贿犯罪档案的；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（3）供应商被工商行政管理部门列入企业经营异常名录的；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（4）供应商被税务部门列入重大税收违法案件当事人名单的；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（5）供应商被政府采购监管部门列入政府采购严重违法失信行为记录名单的。</w:t>
      </w:r>
    </w:p>
    <w:p>
      <w:pPr>
        <w:pStyle w:val="2"/>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磋商截止时间。</w:t>
      </w:r>
    </w:p>
    <w:p>
      <w:pPr>
        <w:pStyle w:val="2"/>
        <w:keepNext w:val="0"/>
        <w:keepLines w:val="0"/>
        <w:pageBreakBefore w:val="0"/>
        <w:widowControl w:val="0"/>
        <w:kinsoku/>
        <w:wordWrap/>
        <w:overflowPunct/>
        <w:topLinePunct w:val="0"/>
        <w:bidi w:val="0"/>
        <w:snapToGrid/>
        <w:spacing w:line="480" w:lineRule="auto"/>
        <w:ind w:left="0" w:right="-21" w:firstLine="422"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情形（2）由供应商提供无行贿犯罪记录承诺函。</w:t>
      </w:r>
    </w:p>
    <w:bookmarkEnd w:id="12"/>
    <w:bookmarkEnd w:id="13"/>
    <w:bookmarkEnd w:id="14"/>
    <w:p>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000000" w:themeColor="text1"/>
          <w14:textFill>
            <w14:solidFill>
              <w14:schemeClr w14:val="tx1"/>
            </w14:solidFill>
          </w14:textFill>
        </w:rPr>
      </w:pPr>
      <w:bookmarkStart w:id="15" w:name="_Toc31011"/>
      <w:r>
        <w:rPr>
          <w:rFonts w:hint="eastAsia" w:ascii="宋体" w:hAnsi="宋体" w:cs="宋体"/>
          <w:b/>
          <w:bCs/>
          <w:color w:val="000000" w:themeColor="text1"/>
          <w14:textFill>
            <w14:solidFill>
              <w14:schemeClr w14:val="tx1"/>
            </w14:solidFill>
          </w14:textFill>
        </w:rPr>
        <w:t>三、报名及招标文件获取方式</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u w:val="single"/>
          <w:shd w:val="clear" w:color="auto" w:fill="auto"/>
          <w14:textFill>
            <w14:solidFill>
              <w14:schemeClr w14:val="tx1"/>
            </w14:solidFill>
          </w14:textFill>
        </w:rPr>
      </w:pPr>
      <w:r>
        <w:rPr>
          <w:rFonts w:hint="eastAsia" w:ascii="宋体" w:hAnsi="宋体" w:cs="宋体"/>
          <w:color w:val="000000" w:themeColor="text1"/>
          <w:u w:val="none"/>
          <w:shd w:val="clear" w:color="auto" w:fill="auto"/>
          <w14:textFill>
            <w14:solidFill>
              <w14:schemeClr w14:val="tx1"/>
            </w14:solidFill>
          </w14:textFill>
        </w:rPr>
        <w:t>1.报名时间：</w:t>
      </w:r>
      <w:r>
        <w:rPr>
          <w:rFonts w:hint="eastAsia" w:ascii="宋体" w:hAnsi="宋体" w:cs="宋体"/>
          <w:color w:val="000000" w:themeColor="text1"/>
          <w:u w:val="none"/>
          <w:shd w:val="clear" w:color="auto" w:fill="auto"/>
          <w:lang w:val="en-US" w:eastAsia="zh-CN"/>
          <w14:textFill>
            <w14:solidFill>
              <w14:schemeClr w14:val="tx1"/>
            </w14:solidFill>
          </w14:textFill>
        </w:rPr>
        <w:t>公告发布之日</w:t>
      </w:r>
      <w:r>
        <w:rPr>
          <w:rFonts w:hint="eastAsia" w:ascii="宋体" w:hAnsi="宋体" w:cs="宋体"/>
          <w:color w:val="000000" w:themeColor="text1"/>
          <w:u w:val="single"/>
          <w:shd w:val="clear" w:color="auto" w:fill="auto"/>
          <w14:textFill>
            <w14:solidFill>
              <w14:schemeClr w14:val="tx1"/>
            </w14:solidFill>
          </w14:textFill>
        </w:rPr>
        <w:t>至</w:t>
      </w:r>
      <w:r>
        <w:rPr>
          <w:rFonts w:hint="eastAsia" w:ascii="宋体" w:hAnsi="宋体" w:cs="宋体"/>
          <w:color w:val="000000" w:themeColor="text1"/>
          <w:u w:val="single"/>
          <w:shd w:val="clear" w:color="auto" w:fill="auto"/>
          <w:lang w:eastAsia="zh-CN"/>
          <w14:textFill>
            <w14:solidFill>
              <w14:schemeClr w14:val="tx1"/>
            </w14:solidFill>
          </w14:textFill>
        </w:rPr>
        <w:t>202</w:t>
      </w:r>
      <w:r>
        <w:rPr>
          <w:rFonts w:hint="eastAsia" w:ascii="宋体" w:hAnsi="宋体" w:cs="宋体"/>
          <w:color w:val="000000" w:themeColor="text1"/>
          <w:u w:val="single"/>
          <w:shd w:val="clear" w:color="auto" w:fill="auto"/>
          <w:lang w:val="en-US" w:eastAsia="zh-CN"/>
          <w14:textFill>
            <w14:solidFill>
              <w14:schemeClr w14:val="tx1"/>
            </w14:solidFill>
          </w14:textFill>
        </w:rPr>
        <w:t>5</w:t>
      </w:r>
      <w:r>
        <w:rPr>
          <w:rFonts w:hint="eastAsia" w:ascii="宋体" w:hAnsi="宋体" w:cs="宋体"/>
          <w:color w:val="000000" w:themeColor="text1"/>
          <w:u w:val="single"/>
          <w:shd w:val="clear" w:color="auto" w:fill="auto"/>
          <w14:textFill>
            <w14:solidFill>
              <w14:schemeClr w14:val="tx1"/>
            </w14:solidFill>
          </w14:textFill>
        </w:rPr>
        <w:t>年</w:t>
      </w:r>
      <w:r>
        <w:rPr>
          <w:rFonts w:hint="eastAsia" w:ascii="宋体" w:hAnsi="宋体" w:cs="宋体"/>
          <w:color w:val="000000" w:themeColor="text1"/>
          <w:u w:val="single"/>
          <w:shd w:val="clear" w:color="auto" w:fill="auto"/>
          <w:lang w:val="en-US" w:eastAsia="zh-CN"/>
          <w14:textFill>
            <w14:solidFill>
              <w14:schemeClr w14:val="tx1"/>
            </w14:solidFill>
          </w14:textFill>
        </w:rPr>
        <w:t>8</w:t>
      </w:r>
      <w:r>
        <w:rPr>
          <w:rFonts w:hint="eastAsia" w:ascii="宋体" w:hAnsi="宋体" w:cs="宋体"/>
          <w:color w:val="000000" w:themeColor="text1"/>
          <w:u w:val="single"/>
          <w:shd w:val="clear" w:color="auto" w:fill="auto"/>
          <w14:textFill>
            <w14:solidFill>
              <w14:schemeClr w14:val="tx1"/>
            </w14:solidFill>
          </w14:textFill>
        </w:rPr>
        <w:t>月</w:t>
      </w:r>
      <w:r>
        <w:rPr>
          <w:rFonts w:hint="eastAsia" w:ascii="宋体" w:hAnsi="宋体" w:cs="宋体"/>
          <w:color w:val="000000" w:themeColor="text1"/>
          <w:u w:val="single"/>
          <w:shd w:val="clear" w:color="auto" w:fill="auto"/>
          <w:lang w:val="en-US" w:eastAsia="zh-CN"/>
          <w14:textFill>
            <w14:solidFill>
              <w14:schemeClr w14:val="tx1"/>
            </w14:solidFill>
          </w14:textFill>
        </w:rPr>
        <w:t>10</w:t>
      </w:r>
      <w:r>
        <w:rPr>
          <w:rFonts w:hint="eastAsia" w:ascii="宋体" w:hAnsi="宋体" w:cs="宋体"/>
          <w:color w:val="000000" w:themeColor="text1"/>
          <w:u w:val="single"/>
          <w:shd w:val="clear" w:color="auto" w:fill="auto"/>
          <w14:textFill>
            <w14:solidFill>
              <w14:schemeClr w14:val="tx1"/>
            </w14:solidFill>
          </w14:textFill>
        </w:rPr>
        <w:t>日17时00分；</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2.招标文件获取方式：皖北卫生职业学院官网自行下载获取招标文件。</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3.报名所需资质材料：</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3.1投标人有效的社会组织或企业[具备社会团体法人登记证书、民办非企业单位登记证书、公益性非营利社会组织、工商（营业执照、组织机构代码、税务登记证）、三证合一的营业执照等证明文件；</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3.2法定代表人授权委托书；</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3.3被授权人身份证(正面、反面）；</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（1）凡有意参加投标者，投标人将</w:t>
      </w:r>
      <w:r>
        <w:rPr>
          <w:rFonts w:hint="eastAsia" w:ascii="宋体" w:hAnsi="宋体" w:cs="宋体"/>
          <w:color w:val="000000" w:themeColor="text1"/>
          <w14:textFill>
            <w14:solidFill>
              <w14:schemeClr w14:val="tx1"/>
            </w14:solidFill>
          </w14:textFill>
        </w:rPr>
        <w:t>企业营业执照、资质证书扫描件（加盖公章、</w:t>
      </w:r>
      <w:r>
        <w:rPr>
          <w:rFonts w:hint="eastAsia" w:ascii="宋体" w:hAnsi="宋体" w:cs="宋体"/>
          <w:color w:val="000000" w:themeColor="text1"/>
          <w:lang w:val="zh-CN"/>
          <w14:textFill>
            <w14:solidFill>
              <w14:schemeClr w14:val="tx1"/>
            </w14:solidFill>
          </w14:textFill>
        </w:rPr>
        <w:t>法定代表人（</w:t>
      </w:r>
      <w:r>
        <w:rPr>
          <w:rFonts w:hint="eastAsia" w:ascii="宋体" w:hAnsi="宋体" w:cs="宋体"/>
          <w:color w:val="000000" w:themeColor="text1"/>
          <w14:textFill>
            <w14:solidFill>
              <w14:schemeClr w14:val="tx1"/>
            </w14:solidFill>
          </w14:textFill>
        </w:rPr>
        <w:t>负责人</w:t>
      </w:r>
      <w:r>
        <w:rPr>
          <w:rFonts w:hint="eastAsia" w:ascii="宋体" w:hAnsi="宋体" w:cs="宋体"/>
          <w:color w:val="000000" w:themeColor="text1"/>
          <w:lang w:val="zh-CN"/>
          <w14:textFill>
            <w14:solidFill>
              <w14:schemeClr w14:val="tx1"/>
            </w14:solidFill>
          </w14:textFill>
        </w:rPr>
        <w:t>）身份证明或法定代表人（</w:t>
      </w:r>
      <w:r>
        <w:rPr>
          <w:rFonts w:hint="eastAsia" w:ascii="宋体" w:hAnsi="宋体" w:cs="宋体"/>
          <w:color w:val="000000" w:themeColor="text1"/>
          <w14:textFill>
            <w14:solidFill>
              <w14:schemeClr w14:val="tx1"/>
            </w14:solidFill>
          </w14:textFill>
        </w:rPr>
        <w:t>负责人</w:t>
      </w:r>
      <w:r>
        <w:rPr>
          <w:rFonts w:hint="eastAsia" w:ascii="宋体" w:hAnsi="宋体" w:cs="宋体"/>
          <w:color w:val="000000" w:themeColor="text1"/>
          <w:lang w:val="zh-CN"/>
          <w14:textFill>
            <w14:solidFill>
              <w14:schemeClr w14:val="tx1"/>
            </w14:solidFill>
          </w14:textFill>
        </w:rPr>
        <w:t>）授权委托书（含有项目名称、委托代理人联系电话、邮箱）加盖单位公章发送至邮箱</w:t>
      </w:r>
      <w:r>
        <w:rPr>
          <w:rFonts w:hint="eastAsia" w:ascii="宋体" w:hAnsi="宋体" w:cs="宋体"/>
          <w:color w:val="000000" w:themeColor="text1"/>
          <w14:textFill>
            <w14:solidFill>
              <w14:schemeClr w14:val="tx1"/>
            </w14:solidFill>
          </w14:textFill>
        </w:rPr>
        <w:t>wbwyzbb@163.com，（邮箱标题格式为项目名称+公司名称+联系电话</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b/>
          <w:bCs/>
          <w:color w:val="000000" w:themeColor="text1"/>
          <w:lang w:val="en-US" w:eastAsia="zh-CN"/>
          <w14:textFill>
            <w14:solidFill>
              <w14:schemeClr w14:val="tx1"/>
            </w14:solidFill>
          </w14:textFill>
        </w:rPr>
        <w:t>回复文件说明报名材料递交成功</w:t>
      </w:r>
      <w:r>
        <w:rPr>
          <w:rFonts w:hint="eastAsia" w:ascii="宋体" w:hAnsi="宋体" w:cs="宋体"/>
          <w:color w:val="000000" w:themeColor="text1"/>
          <w14:textFill>
            <w14:solidFill>
              <w14:schemeClr w14:val="tx1"/>
            </w14:solidFill>
          </w14:textFill>
        </w:rPr>
        <w:t>）。报名联系人：</w:t>
      </w:r>
      <w:r>
        <w:rPr>
          <w:rFonts w:hint="eastAsia" w:ascii="宋体" w:hAnsi="宋体" w:eastAsia="宋体" w:cs="宋体"/>
          <w:color w:val="000000" w:themeColor="text1"/>
          <w14:textFill>
            <w14:solidFill>
              <w14:schemeClr w14:val="tx1"/>
            </w14:solidFill>
          </w14:textFill>
        </w:rPr>
        <w:t>张老师，电话：</w:t>
      </w:r>
      <w:r>
        <w:rPr>
          <w:rFonts w:hint="eastAsia" w:ascii="宋体" w:hAnsi="宋体" w:eastAsia="宋体" w:cs="宋体"/>
          <w:color w:val="000000" w:themeColor="text1"/>
          <w:lang w:val="en-US" w:eastAsia="zh-CN"/>
          <w14:textFill>
            <w14:solidFill>
              <w14:schemeClr w14:val="tx1"/>
            </w14:solidFill>
          </w14:textFill>
        </w:rPr>
        <w:t>0557-3095077</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各投标单位自行从皖北卫生职业学院官网（本公告的附件）下载采购文件电子版，不发放纸质采购文件。”</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u w:val="none"/>
          <w14:textFill>
            <w14:solidFill>
              <w14:schemeClr w14:val="tx1"/>
            </w14:solidFill>
          </w14:textFill>
        </w:rPr>
        <w:t>报名截止时间</w:t>
      </w: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8</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10</w:t>
      </w:r>
      <w:r>
        <w:rPr>
          <w:rFonts w:hint="eastAsia" w:ascii="宋体" w:hAnsi="宋体" w:cs="宋体"/>
          <w:color w:val="000000" w:themeColor="text1"/>
          <w:u w:val="single"/>
          <w14:textFill>
            <w14:solidFill>
              <w14:schemeClr w14:val="tx1"/>
            </w14:solidFill>
          </w14:textFill>
        </w:rPr>
        <w:t>日17时00分。</w:t>
      </w:r>
    </w:p>
    <w:p>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四、开标时间和地点</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u w:val="none"/>
          <w14:textFill>
            <w14:solidFill>
              <w14:schemeClr w14:val="tx1"/>
            </w14:solidFill>
          </w14:textFill>
        </w:rPr>
        <w:t>开标时间：</w:t>
      </w:r>
      <w:r>
        <w:rPr>
          <w:rFonts w:hint="eastAsia" w:ascii="宋体" w:hAnsi="宋体" w:cs="宋体"/>
          <w:color w:val="000000" w:themeColor="text1"/>
          <w:u w:val="single"/>
          <w:lang w:eastAsia="zh-CN"/>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8月12日9点00分</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开标地点：皖北卫生职业学院图</w:t>
      </w:r>
      <w:bookmarkStart w:id="182" w:name="_GoBack"/>
      <w:bookmarkEnd w:id="182"/>
      <w:r>
        <w:rPr>
          <w:rFonts w:hint="eastAsia" w:ascii="宋体" w:hAnsi="宋体" w:cs="宋体"/>
          <w:color w:val="000000" w:themeColor="text1"/>
          <w14:textFill>
            <w14:solidFill>
              <w14:schemeClr w14:val="tx1"/>
            </w14:solidFill>
          </w14:textFill>
        </w:rPr>
        <w:t>书馆北三楼录播室。逾期送达的或者未送达指定地点的投标文件，采购人不予接受。</w:t>
      </w:r>
    </w:p>
    <w:p>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五、联系方法</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名   称：皖北卫生职业学院</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址：安徽省宿州市东二铺大学城学府大道1606号</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报名联系人：张老师，电话：13965300662</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  系  人：</w:t>
      </w:r>
      <w:r>
        <w:rPr>
          <w:rFonts w:hint="eastAsia" w:ascii="宋体" w:hAnsi="宋体" w:cs="宋体"/>
          <w:color w:val="000000" w:themeColor="text1"/>
          <w:lang w:val="en-US" w:eastAsia="zh-CN"/>
          <w14:textFill>
            <w14:solidFill>
              <w14:schemeClr w14:val="tx1"/>
            </w14:solidFill>
          </w14:textFill>
        </w:rPr>
        <w:t>赵老师</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电话：</w:t>
      </w:r>
      <w:r>
        <w:rPr>
          <w:rFonts w:hint="eastAsia" w:ascii="宋体" w:hAnsi="宋体" w:cs="宋体"/>
          <w:color w:val="000000" w:themeColor="text1"/>
          <w:lang w:val="en-US" w:eastAsia="zh-CN"/>
          <w14:textFill>
            <w14:solidFill>
              <w14:schemeClr w14:val="tx1"/>
            </w14:solidFill>
          </w14:textFill>
        </w:rPr>
        <w:t>17719346657</w:t>
      </w:r>
      <w:r>
        <w:rPr>
          <w:rFonts w:hint="eastAsia" w:ascii="宋体" w:hAnsi="宋体" w:cs="宋体"/>
          <w:color w:val="000000" w:themeColor="text1"/>
          <w14:textFill>
            <w14:solidFill>
              <w14:schemeClr w14:val="tx1"/>
            </w14:solidFill>
          </w14:textFill>
        </w:rPr>
        <w:t>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采购代理机构：</w:t>
      </w:r>
      <w:r>
        <w:rPr>
          <w:rFonts w:hint="eastAsia" w:ascii="宋体" w:hAnsi="宋体" w:cs="宋体"/>
          <w:color w:val="000000" w:themeColor="text1"/>
          <w:lang w:val="en-US" w:eastAsia="zh-CN"/>
          <w14:textFill>
            <w14:solidFill>
              <w14:schemeClr w14:val="tx1"/>
            </w14:solidFill>
          </w14:textFill>
        </w:rPr>
        <w:t>苏世建设管理集团有限公司</w:t>
      </w:r>
      <w:r>
        <w:rPr>
          <w:rFonts w:hint="eastAsia" w:ascii="宋体" w:hAnsi="宋体" w:cs="宋体"/>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lang w:eastAsia="zh-CN"/>
          <w14:textFill>
            <w14:solidFill>
              <w14:schemeClr w14:val="tx1"/>
            </w14:solidFill>
          </w14:textFill>
        </w:rPr>
        <w:t>宿州市埇桥区安厦时代广场C栋2401室</w:t>
      </w:r>
      <w:r>
        <w:rPr>
          <w:rFonts w:hint="eastAsia" w:ascii="宋体" w:hAnsi="宋体" w:cs="宋体"/>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r>
        <w:rPr>
          <w:rFonts w:hint="eastAsia" w:ascii="宋体" w:hAnsi="宋体" w:cs="宋体"/>
          <w:color w:val="000000" w:themeColor="text1"/>
          <w:lang w:val="en-US" w:eastAsia="zh-CN"/>
          <w14:textFill>
            <w14:solidFill>
              <w14:schemeClr w14:val="tx1"/>
            </w14:solidFill>
          </w14:textFill>
        </w:rPr>
        <w:t>曹工</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电  话：</w:t>
      </w:r>
      <w:r>
        <w:rPr>
          <w:rFonts w:hint="eastAsia" w:ascii="宋体" w:hAnsi="宋体" w:cs="宋体"/>
          <w:color w:val="000000" w:themeColor="text1"/>
          <w:lang w:val="en-US" w:eastAsia="zh-CN"/>
          <w14:textFill>
            <w14:solidFill>
              <w14:schemeClr w14:val="tx1"/>
            </w14:solidFill>
          </w14:textFill>
        </w:rPr>
        <w:t>18225965221</w:t>
      </w:r>
    </w:p>
    <w:p>
      <w:pPr>
        <w:pStyle w:val="24"/>
        <w:rPr>
          <w:rFonts w:hint="eastAsia" w:ascii="宋体" w:hAnsi="宋体" w:cs="宋体"/>
          <w:color w:val="000000" w:themeColor="text1"/>
          <w:lang w:val="en-US" w:eastAsia="zh-CN"/>
          <w14:textFill>
            <w14:solidFill>
              <w14:schemeClr w14:val="tx1"/>
            </w14:solidFill>
          </w14:textFill>
        </w:rPr>
      </w:pPr>
    </w:p>
    <w:p>
      <w:pPr>
        <w:pStyle w:val="24"/>
        <w:rPr>
          <w:rFonts w:hint="eastAsia" w:ascii="宋体" w:hAnsi="宋体" w:cs="宋体"/>
          <w:color w:val="000000" w:themeColor="text1"/>
          <w:lang w:val="en-US" w:eastAsia="zh-CN"/>
          <w14:textFill>
            <w14:solidFill>
              <w14:schemeClr w14:val="tx1"/>
            </w14:solidFill>
          </w14:textFill>
        </w:rPr>
      </w:pPr>
    </w:p>
    <w:p>
      <w:pPr>
        <w:pStyle w:val="24"/>
        <w:rPr>
          <w:rFonts w:hint="eastAsia" w:ascii="宋体" w:hAnsi="宋体" w:cs="宋体"/>
          <w:color w:val="000000" w:themeColor="text1"/>
          <w:lang w:val="en-US" w:eastAsia="zh-CN"/>
          <w14:textFill>
            <w14:solidFill>
              <w14:schemeClr w14:val="tx1"/>
            </w14:solidFill>
          </w14:textFill>
        </w:rPr>
      </w:pPr>
    </w:p>
    <w:p>
      <w:pPr>
        <w:pStyle w:val="33"/>
        <w:ind w:left="0" w:leftChars="0" w:firstLine="0" w:firstLineChars="0"/>
        <w:rPr>
          <w:rFonts w:hint="eastAsia"/>
          <w:color w:val="000000" w:themeColor="text1"/>
          <w14:textFill>
            <w14:solidFill>
              <w14:schemeClr w14:val="tx1"/>
            </w14:solidFill>
          </w14:textFill>
        </w:rPr>
      </w:pPr>
    </w:p>
    <w:p>
      <w:pPr>
        <w:pStyle w:val="32"/>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第二章供应商须知前附表</w:t>
      </w:r>
      <w:bookmarkEnd w:id="15"/>
    </w:p>
    <w:tbl>
      <w:tblPr>
        <w:tblStyle w:val="25"/>
        <w:tblW w:w="9585"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5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5" w:type="dxa"/>
            <w:tcBorders>
              <w:top w:val="double" w:color="auto" w:sz="2" w:space="0"/>
              <w:left w:val="double" w:color="auto" w:sz="2" w:space="0"/>
              <w:bottom w:val="single" w:color="auto" w:sz="4" w:space="0"/>
              <w:right w:val="single" w:color="auto" w:sz="4" w:space="0"/>
            </w:tcBorders>
            <w:vAlign w:val="bottom"/>
          </w:tcPr>
          <w:p>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序号</w:t>
            </w:r>
          </w:p>
        </w:tc>
        <w:tc>
          <w:tcPr>
            <w:tcW w:w="8850" w:type="dxa"/>
            <w:tcBorders>
              <w:top w:val="double" w:color="auto" w:sz="2" w:space="0"/>
              <w:left w:val="single" w:color="auto" w:sz="4" w:space="0"/>
              <w:bottom w:val="single" w:color="auto" w:sz="4" w:space="0"/>
              <w:right w:val="double" w:color="auto" w:sz="2" w:space="0"/>
            </w:tcBorders>
            <w:vAlign w:val="bottom"/>
          </w:tcPr>
          <w:p>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内  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3" w:firstLine="3"/>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项目名称：详见竞争性磋商公告</w:t>
            </w:r>
          </w:p>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项目编号：详见竞争性磋商公告 </w:t>
            </w:r>
          </w:p>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采购内容及预算：详见竞争性磋商公告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采购人：详见竞争性磋商公告</w:t>
            </w:r>
          </w:p>
          <w:p>
            <w:pPr>
              <w:spacing w:line="400" w:lineRule="exact"/>
              <w:ind w:left="-6" w:firstLine="6"/>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地址：详见竞争性磋商公告</w:t>
            </w:r>
          </w:p>
          <w:p>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ind w:left="-3" w:firstLine="3"/>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代理机构：详见竞争性磋商公告</w:t>
            </w:r>
          </w:p>
          <w:p>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代理机构地址：详见竞争性磋商公告</w:t>
            </w:r>
          </w:p>
          <w:p>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w:t>
            </w:r>
          </w:p>
        </w:tc>
        <w:tc>
          <w:tcPr>
            <w:tcW w:w="8850" w:type="dxa"/>
            <w:tcBorders>
              <w:top w:val="single" w:color="auto" w:sz="4" w:space="0"/>
              <w:left w:val="single" w:color="auto" w:sz="4" w:space="0"/>
              <w:bottom w:val="single" w:color="auto" w:sz="4" w:space="0"/>
              <w:right w:val="double" w:color="auto" w:sz="2" w:space="0"/>
            </w:tcBorders>
            <w:vAlign w:val="center"/>
          </w:tcPr>
          <w:p>
            <w:pPr>
              <w:pStyle w:val="15"/>
              <w:spacing w:line="400" w:lineRule="atLeast"/>
              <w:rPr>
                <w:rFonts w:ascii="宋体" w:eastAsia="宋体" w:cs="Arial"/>
                <w:color w:val="000000" w:themeColor="text1"/>
                <w:sz w:val="21"/>
                <w:szCs w:val="2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 xml:space="preserve">本项目类别：□货物类 </w:t>
            </w:r>
            <w:r>
              <w:rPr>
                <w:rFonts w:hint="eastAsia" w:ascii="宋体" w:eastAsia="宋体" w:cs="Arial"/>
                <w:color w:val="000000" w:themeColor="text1"/>
                <w:sz w:val="21"/>
                <w:szCs w:val="21"/>
                <w:lang w:eastAsia="zh-CN"/>
                <w14:textFill>
                  <w14:solidFill>
                    <w14:schemeClr w14:val="tx1"/>
                  </w14:solidFill>
                </w14:textFill>
              </w:rPr>
              <w:t>☑</w:t>
            </w:r>
            <w:r>
              <w:rPr>
                <w:rFonts w:hint="eastAsia" w:ascii="宋体" w:eastAsia="宋体" w:cs="Arial"/>
                <w:color w:val="000000" w:themeColor="text1"/>
                <w:sz w:val="21"/>
                <w:szCs w:val="21"/>
                <w14:textFill>
                  <w14:solidFill>
                    <w14:schemeClr w14:val="tx1"/>
                  </w14:solidFill>
                </w14:textFill>
              </w:rPr>
              <w:t>服务类</w:t>
            </w:r>
            <w:r>
              <w:rPr>
                <w:rFonts w:hint="eastAsia" w:ascii="宋体" w:eastAsia="宋体" w:cs="Arial"/>
                <w:color w:val="000000" w:themeColor="text1"/>
                <w:sz w:val="21"/>
                <w:szCs w:val="21"/>
                <w:lang w:eastAsia="zh-CN"/>
                <w14:textFill>
                  <w14:solidFill>
                    <w14:schemeClr w14:val="tx1"/>
                  </w14:solidFill>
                </w14:textFill>
              </w:rPr>
              <w:t>□</w:t>
            </w:r>
            <w:r>
              <w:rPr>
                <w:rFonts w:hint="eastAsia" w:ascii="宋体" w:eastAsia="宋体" w:cs="Arial"/>
                <w:color w:val="000000" w:themeColor="text1"/>
                <w:sz w:val="21"/>
                <w:szCs w:val="21"/>
                <w14:textFill>
                  <w14:solidFill>
                    <w14:schemeClr w14:val="tx1"/>
                  </w14:solidFill>
                </w14:textFill>
              </w:rPr>
              <w:t>工程类</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采购有效期：磋商开始后60天</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成交人个数：</w:t>
            </w:r>
            <w:r>
              <w:rPr>
                <w:rFonts w:hint="eastAsia" w:ascii="宋体" w:hAnsi="宋体" w:cs="Arial"/>
                <w:b/>
                <w:bCs/>
                <w:color w:val="000000" w:themeColor="text1"/>
                <w:lang w:val="en-US" w:eastAsia="zh-CN"/>
                <w14:textFill>
                  <w14:solidFill>
                    <w14:schemeClr w14:val="tx1"/>
                  </w14:solidFill>
                </w14:textFill>
              </w:rPr>
              <w:t>1个</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7</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竞争性磋商文件的澄清和修改：详见第六章供应商须知第11条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8</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w:t>
            </w:r>
            <w:r>
              <w:rPr>
                <w:rFonts w:hint="eastAsia" w:ascii="宋体" w:hAnsi="宋体"/>
                <w:color w:val="000000" w:themeColor="text1"/>
                <w14:textFill>
                  <w14:solidFill>
                    <w14:schemeClr w14:val="tx1"/>
                  </w14:solidFill>
                </w14:textFill>
              </w:rPr>
              <w:t>的质疑和答复：</w:t>
            </w:r>
            <w:r>
              <w:rPr>
                <w:rFonts w:hint="eastAsia" w:ascii="宋体" w:hAnsi="宋体" w:cs="Arial"/>
                <w:color w:val="000000" w:themeColor="text1"/>
                <w14:textFill>
                  <w14:solidFill>
                    <w14:schemeClr w14:val="tx1"/>
                  </w14:solidFill>
                </w14:textFill>
              </w:rPr>
              <w:t>详见第六章供应商须知第12条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9</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磋商响应文件递交截止时间：详见竞争性磋商公告</w:t>
            </w:r>
          </w:p>
          <w:p>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递交地点：详见竞争性磋商公告</w:t>
            </w:r>
          </w:p>
          <w:p>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磋商开始时间：详见竞争性磋商公告</w:t>
            </w:r>
          </w:p>
          <w:p>
            <w:pPr>
              <w:spacing w:line="4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磋商地点：详见竞争性磋商公告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评审方法：详见第六章供应商须知第22、23条及本文件第四章、第五章</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eastAsia" w:ascii="宋体" w:hAnsi="宋体" w:eastAsia="宋体" w:cs="Arial"/>
                <w:color w:val="000000" w:themeColor="text1"/>
                <w:lang w:eastAsia="zh-CN"/>
                <w14:textFill>
                  <w14:solidFill>
                    <w14:schemeClr w14:val="tx1"/>
                  </w14:solidFill>
                </w14:textFill>
              </w:rPr>
            </w:pPr>
            <w:r>
              <w:rPr>
                <w:rFonts w:hint="eastAsia" w:ascii="宋体" w:hAnsi="宋体" w:cs="Arial"/>
                <w:color w:val="000000" w:themeColor="text1"/>
                <w14:textFill>
                  <w14:solidFill>
                    <w14:schemeClr w14:val="tx1"/>
                  </w14:solidFill>
                </w14:textFill>
              </w:rPr>
              <w:t>项目地点：宿州市</w:t>
            </w:r>
            <w:r>
              <w:rPr>
                <w:rFonts w:hint="eastAsia" w:ascii="宋体" w:hAnsi="宋体" w:cs="Arial"/>
                <w:color w:val="000000" w:themeColor="text1"/>
                <w:lang w:eastAsia="zh-CN"/>
                <w14:textFill>
                  <w14:solidFill>
                    <w14:schemeClr w14:val="tx1"/>
                  </w14:solidFill>
                </w14:textFill>
              </w:rPr>
              <w:t>境内</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磋商响应文件（纸质文件）份数：</w:t>
            </w:r>
            <w:r>
              <w:rPr>
                <w:rFonts w:hint="eastAsia" w:ascii="宋体" w:hAnsi="宋体" w:cs="Arial"/>
                <w:b/>
                <w:bCs/>
                <w:color w:val="000000" w:themeColor="text1"/>
                <w:u w:val="single"/>
                <w14:textFill>
                  <w14:solidFill>
                    <w14:schemeClr w14:val="tx1"/>
                  </w14:solidFill>
                </w14:textFill>
              </w:rPr>
              <w:t xml:space="preserve">1正2副  共3 </w:t>
            </w:r>
            <w:r>
              <w:rPr>
                <w:rFonts w:hint="eastAsia" w:ascii="宋体" w:hAnsi="宋体" w:cs="Arial"/>
                <w:b/>
                <w:bCs/>
                <w:color w:val="000000" w:themeColor="text1"/>
                <w14:textFill>
                  <w14:solidFill>
                    <w14:schemeClr w14:val="tx1"/>
                  </w14:solidFill>
                </w14:textFill>
              </w:rPr>
              <w:t>份，装订和封装要求详见本文件第六章第18条。</w:t>
            </w:r>
            <w:r>
              <w:rPr>
                <w:rFonts w:hint="eastAsia" w:ascii="宋体" w:hAnsi="宋体" w:cs="Arial"/>
                <w:b/>
                <w:bCs/>
                <w:color w:val="000000" w:themeColor="text1"/>
                <w:lang w:val="en-US" w:eastAsia="zh-CN"/>
                <w14:textFill>
                  <w14:solidFill>
                    <w14:schemeClr w14:val="tx1"/>
                  </w14:solidFill>
                </w14:textFill>
              </w:rPr>
              <w:t>除</w:t>
            </w:r>
            <w:r>
              <w:rPr>
                <w:rFonts w:hint="eastAsia" w:ascii="宋体" w:hAnsi="宋体" w:cs="Arial"/>
                <w:b/>
                <w:bCs/>
                <w:color w:val="000000" w:themeColor="text1"/>
                <w14:textFill>
                  <w14:solidFill>
                    <w14:schemeClr w14:val="tx1"/>
                  </w14:solidFill>
                </w14:textFill>
              </w:rPr>
              <w:t>提交的</w:t>
            </w:r>
            <w:r>
              <w:rPr>
                <w:rFonts w:hint="eastAsia" w:ascii="宋体" w:hAnsi="宋体" w:cs="Arial"/>
                <w:b/>
                <w:bCs/>
                <w:color w:val="000000" w:themeColor="text1"/>
                <w:lang w:val="en-US" w:eastAsia="zh-CN"/>
                <w14:textFill>
                  <w14:solidFill>
                    <w14:schemeClr w14:val="tx1"/>
                  </w14:solidFill>
                </w14:textFill>
              </w:rPr>
              <w:t>纸质</w:t>
            </w:r>
            <w:r>
              <w:rPr>
                <w:rFonts w:hint="eastAsia" w:ascii="宋体" w:hAnsi="宋体" w:cs="Arial"/>
                <w:b/>
                <w:bCs/>
                <w:color w:val="000000" w:themeColor="text1"/>
                <w14:textFill>
                  <w14:solidFill>
                    <w14:schemeClr w14:val="tx1"/>
                  </w14:solidFill>
                </w14:textFill>
              </w:rPr>
              <w:t>磋商响应文件外，本项目还需递交一份含有磋商响应文件的电子u盘。</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w:t>
            </w:r>
          </w:p>
        </w:tc>
        <w:tc>
          <w:tcPr>
            <w:tcW w:w="8850" w:type="dxa"/>
            <w:tcBorders>
              <w:top w:val="single" w:color="auto" w:sz="4" w:space="0"/>
              <w:left w:val="single" w:color="auto" w:sz="4" w:space="0"/>
              <w:bottom w:val="single" w:color="auto" w:sz="4" w:space="0"/>
              <w:right w:val="double" w:color="auto" w:sz="2" w:space="0"/>
            </w:tcBorders>
            <w:vAlign w:val="center"/>
          </w:tcPr>
          <w:p>
            <w:pPr>
              <w:pStyle w:val="15"/>
              <w:spacing w:line="400" w:lineRule="atLeast"/>
              <w:rPr>
                <w:rFonts w:ascii="宋体"/>
                <w:color w:val="000000" w:themeColor="text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签订合同地点：皖北卫生职业学院</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default" w:ascii="宋体" w:hAnsi="宋体"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项目服务期</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365</w:t>
            </w:r>
            <w:r>
              <w:rPr>
                <w:rFonts w:hint="eastAsia"/>
                <w:b/>
                <w:bCs/>
                <w:color w:val="000000" w:themeColor="text1"/>
                <w:lang w:val="en-US" w:eastAsia="zh-CN"/>
                <w14:textFill>
                  <w14:solidFill>
                    <w14:schemeClr w14:val="tx1"/>
                  </w14:solidFill>
                </w14:textFill>
              </w:rPr>
              <w:t>日</w:t>
            </w:r>
            <w:r>
              <w:rPr>
                <w:rFonts w:hint="eastAsia" w:ascii="宋体" w:hAnsi="宋体" w:cs="宋体"/>
                <w:b/>
                <w:bCs/>
                <w:color w:val="000000" w:themeColor="text1"/>
                <w:lang w:val="en-US" w:eastAsia="zh-CN"/>
                <w14:textFill>
                  <w14:solidFill>
                    <w14:schemeClr w14:val="tx1"/>
                  </w14:solidFill>
                </w14:textFill>
              </w:rPr>
              <w:t>（采用“3+2”模式，中标后先签订3年经营服务合同，3年期满师生满意度考核达85%及以上，再续签后2年合同。合同期内中标方投资改造或建设的设备所有权及运营权归中标方所有。</w:t>
            </w:r>
            <w:bookmarkStart w:id="16" w:name="OLE_LINK11"/>
            <w:r>
              <w:rPr>
                <w:rFonts w:hint="eastAsia" w:ascii="宋体" w:hAnsi="宋体" w:cs="宋体"/>
                <w:b/>
                <w:bCs/>
                <w:color w:val="000000" w:themeColor="text1"/>
                <w:lang w:val="en-US" w:eastAsia="zh-CN"/>
                <w14:textFill>
                  <w14:solidFill>
                    <w14:schemeClr w14:val="tx1"/>
                  </w14:solidFill>
                </w14:textFill>
              </w:rPr>
              <w:t>合同期内招标方收取管理费，本项目采用BOO模式，</w:t>
            </w:r>
            <w:bookmarkEnd w:id="16"/>
            <w:r>
              <w:rPr>
                <w:rFonts w:hint="eastAsia" w:ascii="宋体" w:hAnsi="宋体" w:cs="宋体"/>
                <w:b/>
                <w:bCs/>
                <w:color w:val="000000" w:themeColor="text1"/>
                <w:lang w:val="en-US" w:eastAsia="zh-CN"/>
                <w14:textFill>
                  <w14:solidFill>
                    <w14:schemeClr w14:val="tx1"/>
                  </w14:solidFill>
                </w14:textFill>
              </w:rPr>
              <w:t>中标方自主经营、自负盈亏</w:t>
            </w:r>
            <w:r>
              <w:rPr>
                <w:rFonts w:hint="eastAsia" w:ascii="宋体" w:hAnsi="宋体" w:cs="宋体"/>
                <w:color w:val="000000" w:themeColor="text1"/>
                <w:lang w:val="en-US" w:eastAsia="zh-CN"/>
                <w14:textFill>
                  <w14:solidFill>
                    <w14:schemeClr w14:val="tx1"/>
                  </w14:solidFill>
                </w14:textFill>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磋商保证金：</w:t>
            </w:r>
            <w:r>
              <w:rPr>
                <w:rFonts w:hint="eastAsia" w:ascii="宋体" w:hAnsi="宋体" w:cs="Arial"/>
                <w:b/>
                <w:bCs/>
                <w:color w:val="000000" w:themeColor="text1"/>
                <w14:textFill>
                  <w14:solidFill>
                    <w14:schemeClr w14:val="tx1"/>
                  </w14:solidFill>
                </w14:textFill>
              </w:rPr>
              <w:t>本项目不收取磋商保证金</w:t>
            </w:r>
            <w:r>
              <w:rPr>
                <w:rFonts w:hint="eastAsia" w:ascii="宋体" w:hAnsi="宋体" w:cs="Arial"/>
                <w:color w:val="000000" w:themeColor="text1"/>
                <w14:textFill>
                  <w14:solidFill>
                    <w14:schemeClr w14:val="tx1"/>
                  </w14:solidFill>
                </w14:textFill>
              </w:rPr>
              <w:t>，根据宿财购〔2020〕142号文件精神，为进一步深化“放管服”改革，优化营商环境，减轻企业负担，降低交易成本，促进民营企业和小微企业积极参与政府采购活动，采取</w:t>
            </w:r>
            <w:r>
              <w:rPr>
                <w:rFonts w:hint="eastAsia" w:ascii="宋体" w:hAnsi="宋体" w:cs="Arial"/>
                <w:b/>
                <w:bCs/>
                <w:color w:val="000000" w:themeColor="text1"/>
                <w14:textFill>
                  <w14:solidFill>
                    <w14:schemeClr w14:val="tx1"/>
                  </w14:solidFill>
                </w14:textFill>
              </w:rPr>
              <w:t>以承诺的形式替代磋商保证金</w:t>
            </w:r>
            <w:r>
              <w:rPr>
                <w:rFonts w:hint="eastAsia" w:ascii="宋体" w:hAnsi="宋体" w:cs="Arial"/>
                <w:color w:val="000000" w:themeColor="text1"/>
                <w14:textFill>
                  <w14:solidFill>
                    <w14:schemeClr w14:val="tx1"/>
                  </w14:solidFill>
                </w14:textFill>
              </w:rPr>
              <w:t>。对于在政府采购活动中存在有效期内撤销文件、无故放弃中标（成交）资格、弄虚作假、串通投标、不按规定缴纳履约保证金、不与采购人签订合同等违反政府采购相关法律法规的，利益受损方有权向供应商主张赔偿责任，供应商的失信行为将被纳入诚信记录。财政部门、政务服务管理部门将加大对供应商失信行为的惩戒力度，对未履行投标保证金承诺约定的供应商，严格依法依规进行处理。</w:t>
            </w:r>
          </w:p>
          <w:p>
            <w:pPr>
              <w:pStyle w:val="24"/>
              <w:ind w:left="0" w:leftChars="0" w:firstLine="0" w:firstLineChars="0"/>
              <w:rPr>
                <w:rFonts w:hint="default" w:eastAsia="仿宋_GB2312"/>
                <w:color w:val="000000" w:themeColor="text1"/>
                <w:lang w:val="en-US" w:eastAsia="zh-CN"/>
                <w14:textFill>
                  <w14:solidFill>
                    <w14:schemeClr w14:val="tx1"/>
                  </w14:solidFill>
                </w14:textFill>
              </w:rPr>
            </w:pPr>
            <w:r>
              <w:rPr>
                <w:rFonts w:hint="eastAsia" w:ascii="宋体" w:hAnsi="宋体" w:eastAsia="宋体" w:cs="Arial"/>
                <w:b/>
                <w:bCs/>
                <w:color w:val="000000" w:themeColor="text1"/>
                <w:kern w:val="0"/>
                <w:sz w:val="21"/>
                <w:szCs w:val="21"/>
                <w:lang w:val="en-US" w:eastAsia="zh-CN" w:bidi="ar-SA"/>
                <w14:textFill>
                  <w14:solidFill>
                    <w14:schemeClr w14:val="tx1"/>
                  </w14:solidFill>
                </w14:textFill>
              </w:rPr>
              <w:t>磋商保证金承诺函见第八章磋商响应文件格式附件</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公告公示媒介：皖北卫生职业学院网站发布</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tcBorders>
              <w:top w:val="single" w:color="auto" w:sz="4" w:space="0"/>
              <w:left w:val="double" w:color="auto" w:sz="2" w:space="0"/>
              <w:bottom w:val="single" w:color="auto" w:sz="4" w:space="0"/>
              <w:right w:val="single" w:color="auto" w:sz="4" w:space="0"/>
            </w:tcBorders>
            <w:shd w:val="clear" w:color="auto" w:fill="auto"/>
            <w:vAlign w:val="center"/>
          </w:tcPr>
          <w:p>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w:t>
            </w:r>
          </w:p>
        </w:tc>
        <w:tc>
          <w:tcPr>
            <w:tcW w:w="8850"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default" w:ascii="宋体" w:hAnsi="宋体" w:cs="宋体"/>
                <w:b/>
                <w:bCs/>
                <w:i w:val="0"/>
                <w:iCs w:val="0"/>
                <w:color w:val="000000" w:themeColor="text1"/>
                <w:szCs w:val="2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b/>
                <w:bCs/>
                <w:i w:val="0"/>
                <w:iCs w:val="0"/>
                <w:color w:val="000000" w:themeColor="text1"/>
                <w:szCs w:val="21"/>
                <w:lang w:val="en-US" w:eastAsia="zh-CN"/>
                <w14:textFill>
                  <w14:solidFill>
                    <w14:schemeClr w14:val="tx1"/>
                  </w14:solidFill>
                </w14:textFill>
              </w:rPr>
              <w:t>0000元：</w:t>
            </w:r>
            <w:r>
              <w:rPr>
                <w:rFonts w:hint="default" w:ascii="宋体" w:hAnsi="宋体" w:cs="宋体"/>
                <w:b/>
                <w:bCs/>
                <w:i w:val="0"/>
                <w:iCs w:val="0"/>
                <w:color w:val="000000" w:themeColor="text1"/>
                <w:szCs w:val="21"/>
                <w:lang w:val="en-US" w:eastAsia="zh-CN"/>
                <w14:textFill>
                  <w14:solidFill>
                    <w14:schemeClr w14:val="tx1"/>
                  </w14:solidFill>
                </w14:textFill>
              </w:rPr>
              <w:t>签订合同前向采购人履约保证金。</w:t>
            </w:r>
          </w:p>
          <w:p>
            <w:pPr>
              <w:spacing w:line="360" w:lineRule="auto"/>
              <w:rPr>
                <w:rFonts w:hint="eastAsia" w:ascii="宋体" w:hAnsi="宋体" w:eastAsia="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履约保证金形式：转账、电汇、保函。</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w:t>
            </w:r>
          </w:p>
        </w:tc>
        <w:tc>
          <w:tcPr>
            <w:tcW w:w="8850" w:type="dxa"/>
            <w:tcBorders>
              <w:top w:val="single" w:color="auto" w:sz="4" w:space="0"/>
              <w:left w:val="single" w:color="auto" w:sz="4" w:space="0"/>
              <w:bottom w:val="single" w:color="auto" w:sz="4" w:space="0"/>
              <w:right w:val="double" w:color="auto" w:sz="2" w:space="0"/>
            </w:tcBorders>
            <w:vAlign w:val="center"/>
          </w:tcPr>
          <w:p>
            <w:pPr>
              <w:pStyle w:val="36"/>
              <w:widowControl w:val="0"/>
              <w:spacing w:line="340" w:lineRule="exact"/>
              <w:rPr>
                <w:rFonts w:hint="default" w:ascii="宋体" w:hAnsi="宋体" w:eastAsia="宋体" w:cs="Arial"/>
                <w:color w:val="000000" w:themeColor="text1"/>
                <w:lang w:val="en-US" w:eastAsia="zh-CN"/>
                <w14:textFill>
                  <w14:solidFill>
                    <w14:schemeClr w14:val="tx1"/>
                  </w14:solidFill>
                </w14:textFill>
              </w:rPr>
            </w:pPr>
            <w:bookmarkStart w:id="17" w:name="OLE_LINK7"/>
            <w:r>
              <w:rPr>
                <w:rFonts w:hint="eastAsia" w:ascii="宋体" w:hAnsi="宋体" w:cs="Arial"/>
                <w:b/>
                <w:bCs/>
                <w:color w:val="000000" w:themeColor="text1"/>
                <w:lang w:val="en-US" w:eastAsia="zh-CN"/>
                <w14:textFill>
                  <w14:solidFill>
                    <w14:schemeClr w14:val="tx1"/>
                  </w14:solidFill>
                </w14:textFill>
              </w:rPr>
              <w:t>结款</w:t>
            </w:r>
            <w:r>
              <w:rPr>
                <w:rFonts w:hint="eastAsia" w:ascii="宋体" w:hAnsi="宋体" w:cs="Arial"/>
                <w:b/>
                <w:bCs/>
                <w:color w:val="000000" w:themeColor="text1"/>
                <w14:textFill>
                  <w14:solidFill>
                    <w14:schemeClr w14:val="tx1"/>
                  </w14:solidFill>
                </w14:textFill>
              </w:rPr>
              <w:t>方式</w:t>
            </w:r>
            <w:r>
              <w:rPr>
                <w:rFonts w:hint="eastAsia" w:ascii="宋体" w:hAnsi="宋体" w:cs="Arial"/>
                <w:color w:val="000000" w:themeColor="text1"/>
                <w14:textFill>
                  <w14:solidFill>
                    <w14:schemeClr w14:val="tx1"/>
                  </w14:solidFill>
                </w14:textFill>
              </w:rPr>
              <w:t>：</w:t>
            </w:r>
            <w:bookmarkStart w:id="18" w:name="OLE_LINK14"/>
            <w:r>
              <w:rPr>
                <w:rFonts w:hint="eastAsia" w:ascii="宋体" w:hAnsi="宋体" w:cs="Arial"/>
                <w:b/>
                <w:bCs/>
                <w:color w:val="000000" w:themeColor="text1"/>
                <w:lang w:val="en-US" w:eastAsia="zh-CN"/>
                <w14:textFill>
                  <w14:solidFill>
                    <w14:schemeClr w14:val="tx1"/>
                  </w14:solidFill>
                </w14:textFill>
              </w:rPr>
              <w:t>饮水机必须通过安装卡机或后台对接的方式接入我院校园一卡通系统，所有刷卡和扫码一卡通信息必须接入学校财务一卡通系统（</w:t>
            </w:r>
            <w:bookmarkStart w:id="19" w:name="OLE_LINK43"/>
            <w:r>
              <w:rPr>
                <w:rFonts w:hint="eastAsia" w:ascii="宋体" w:hAnsi="宋体" w:cs="Arial"/>
                <w:b/>
                <w:bCs/>
                <w:color w:val="000000" w:themeColor="text1"/>
                <w:lang w:val="en-US" w:eastAsia="zh-CN"/>
                <w14:textFill>
                  <w14:solidFill>
                    <w14:schemeClr w14:val="tx1"/>
                  </w14:solidFill>
                </w14:textFill>
              </w:rPr>
              <w:t>目前学院一卡通系统供应商为</w:t>
            </w:r>
            <w:bookmarkStart w:id="20" w:name="OLE_LINK57"/>
            <w:r>
              <w:rPr>
                <w:rFonts w:hint="eastAsia" w:ascii="宋体" w:hAnsi="宋体" w:cs="Arial"/>
                <w:b/>
                <w:bCs/>
                <w:color w:val="000000" w:themeColor="text1"/>
                <w:lang w:val="en-US" w:eastAsia="zh-CN"/>
                <w14:textFill>
                  <w14:solidFill>
                    <w14:schemeClr w14:val="tx1"/>
                  </w14:solidFill>
                </w14:textFill>
              </w:rPr>
              <w:t>正元智慧品牌的一卡通</w:t>
            </w:r>
            <w:bookmarkEnd w:id="19"/>
            <w:bookmarkEnd w:id="20"/>
            <w:r>
              <w:rPr>
                <w:rFonts w:hint="eastAsia" w:ascii="宋体" w:hAnsi="宋体" w:cs="Arial"/>
                <w:b/>
                <w:bCs/>
                <w:color w:val="000000" w:themeColor="text1"/>
                <w:lang w:val="en-US" w:eastAsia="zh-CN"/>
                <w14:textFill>
                  <w14:solidFill>
                    <w14:schemeClr w14:val="tx1"/>
                  </w14:solidFill>
                </w14:textFill>
              </w:rPr>
              <w:t>），消费完成后可显示单笔消费信息，所有营业额必须全部直接进入学校指定账户，校方监管审核，由总务处根据所报送营业额数据，扣除当月水电及其他需要扣除费用后财务处代为转付（中标人须出具该公司相应票据</w:t>
            </w:r>
            <w:r>
              <w:rPr>
                <w:rFonts w:hint="eastAsia" w:ascii="宋体" w:hAnsi="宋体" w:cs="宋体"/>
                <w:b/>
                <w:bCs/>
                <w:i w:val="0"/>
                <w:iCs w:val="0"/>
                <w:color w:val="000000" w:themeColor="text1"/>
                <w:szCs w:val="21"/>
                <w:lang w:val="en-US" w:eastAsia="zh-CN"/>
                <w14:textFill>
                  <w14:solidFill>
                    <w14:schemeClr w14:val="tx1"/>
                  </w14:solidFill>
                </w14:textFill>
              </w:rPr>
              <w:t>）。</w:t>
            </w:r>
            <w:bookmarkEnd w:id="17"/>
            <w:bookmarkEnd w:id="18"/>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w:t>
            </w:r>
          </w:p>
        </w:tc>
        <w:tc>
          <w:tcPr>
            <w:tcW w:w="8850" w:type="dxa"/>
            <w:tcBorders>
              <w:top w:val="single" w:color="auto" w:sz="4" w:space="0"/>
              <w:left w:val="single" w:color="auto" w:sz="4" w:space="0"/>
              <w:bottom w:val="single" w:color="auto" w:sz="4" w:space="0"/>
              <w:right w:val="double" w:color="auto" w:sz="2" w:space="0"/>
            </w:tcBorders>
            <w:vAlign w:val="center"/>
          </w:tcPr>
          <w:p>
            <w:pPr>
              <w:pStyle w:val="36"/>
              <w:widowControl w:val="0"/>
              <w:spacing w:line="440" w:lineRule="atLeast"/>
              <w:rPr>
                <w:rFonts w:hint="default" w:ascii="宋体" w:hAnsi="宋体" w:eastAsia="宋体" w:cs="宋体"/>
                <w:color w:val="000000" w:themeColor="text1"/>
                <w:shd w:val="clear" w:color="auto" w:fill="FFFFFF"/>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以下费用均由中标单位支付，请各供应商报价时综合考虑在报价中：招标代理服务费</w:t>
            </w:r>
            <w:r>
              <w:rPr>
                <w:rFonts w:hint="eastAsia" w:ascii="宋体" w:hAnsi="宋体" w:cs="宋体"/>
                <w:b/>
                <w:bCs/>
                <w:color w:val="000000" w:themeColor="text1"/>
                <w:u w:val="single"/>
                <w:shd w:val="clear" w:color="auto" w:fill="FFFFFF"/>
                <w:lang w:val="en-US" w:eastAsia="zh-CN"/>
                <w14:textFill>
                  <w14:solidFill>
                    <w14:schemeClr w14:val="tx1"/>
                  </w14:solidFill>
                </w14:textFill>
              </w:rPr>
              <w:t>，3000元，</w:t>
            </w:r>
            <w:r>
              <w:rPr>
                <w:rFonts w:hint="eastAsia" w:ascii="宋体" w:hAnsi="宋体" w:cs="宋体"/>
                <w:b/>
                <w:bCs/>
                <w:color w:val="000000" w:themeColor="text1"/>
                <w:u w:val="single"/>
                <w:shd w:val="clear" w:color="auto" w:fill="FFFFFF"/>
                <w14:textFill>
                  <w14:solidFill>
                    <w14:schemeClr w14:val="tx1"/>
                  </w14:solidFill>
                </w14:textFill>
              </w:rPr>
              <w:t>专家评审费</w:t>
            </w:r>
            <w:r>
              <w:rPr>
                <w:rFonts w:hint="eastAsia" w:ascii="宋体" w:hAnsi="宋体" w:cs="宋体"/>
                <w:b/>
                <w:bCs/>
                <w:color w:val="000000" w:themeColor="text1"/>
                <w:u w:val="single"/>
                <w:shd w:val="clear" w:color="auto" w:fill="FFFFFF"/>
                <w:lang w:val="en-US" w:eastAsia="zh-CN"/>
                <w14:textFill>
                  <w14:solidFill>
                    <w14:schemeClr w14:val="tx1"/>
                  </w14:solidFill>
                </w14:textFill>
              </w:rPr>
              <w:t>据实结算</w:t>
            </w:r>
            <w:r>
              <w:rPr>
                <w:rFonts w:hint="eastAsia" w:ascii="宋体" w:hAnsi="宋体" w:cs="宋体"/>
                <w:color w:val="000000" w:themeColor="text1"/>
                <w:shd w:val="clear" w:color="auto" w:fill="FFFFFF"/>
                <w14:textFill>
                  <w14:solidFill>
                    <w14:schemeClr w14:val="tx1"/>
                  </w14:solidFill>
                </w14:textFill>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20</w:t>
            </w:r>
          </w:p>
        </w:tc>
        <w:tc>
          <w:tcPr>
            <w:tcW w:w="8850" w:type="dxa"/>
            <w:tcBorders>
              <w:top w:val="single" w:color="auto" w:sz="4" w:space="0"/>
              <w:left w:val="single" w:color="auto" w:sz="4" w:space="0"/>
              <w:bottom w:val="single" w:color="auto" w:sz="4" w:space="0"/>
              <w:right w:val="double" w:color="auto" w:sz="2" w:space="0"/>
            </w:tcBorders>
            <w:vAlign w:val="center"/>
          </w:tcPr>
          <w:p>
            <w:pPr>
              <w:pStyle w:val="36"/>
              <w:widowControl w:val="0"/>
              <w:spacing w:line="440" w:lineRule="atLeast"/>
              <w:rPr>
                <w:rFonts w:ascii="宋体" w:hAnsi="宋体" w:cs="宋体"/>
                <w:b/>
                <w:color w:val="000000" w:themeColor="text1"/>
                <w:kern w:val="2"/>
                <w14:textFill>
                  <w14:solidFill>
                    <w14:schemeClr w14:val="tx1"/>
                  </w14:solidFill>
                </w14:textFill>
              </w:rPr>
            </w:pPr>
            <w:r>
              <w:rPr>
                <w:rFonts w:hint="eastAsia" w:ascii="宋体" w:hAnsi="宋体" w:cs="宋体"/>
                <w:bCs/>
                <w:color w:val="000000" w:themeColor="text1"/>
                <w14:textFill>
                  <w14:solidFill>
                    <w14:schemeClr w14:val="tx1"/>
                  </w14:solidFill>
                </w14:textFill>
              </w:rPr>
              <w:t>本磋商文件的各个组成文件应互为解释、互为说明；如有不明确或不一致的，构成合同组成内容的，以合同文件约定内容为准，且以专用合同条款约定的合同文件优先顺序解释；除磋商文件中有特别规定外，仅适用于招标投标阶段的规定，按磋商公告、供应商须知、评标办法、磋商文件格式的先后顺序解释。同一组成文件不同版本之间就同一事项的约定不一致的，以形成时间在后者为准。按本款前述规定仍不能形成结论的，由采购人或其委托的代理机构负责解释。</w:t>
            </w:r>
          </w:p>
        </w:tc>
      </w:tr>
    </w:tbl>
    <w:p>
      <w:pPr>
        <w:pStyle w:val="32"/>
        <w:spacing w:line="480" w:lineRule="auto"/>
        <w:rPr>
          <w:rFonts w:hint="eastAsia"/>
          <w:color w:val="000000" w:themeColor="text1"/>
          <w14:textFill>
            <w14:solidFill>
              <w14:schemeClr w14:val="tx1"/>
            </w14:solidFill>
          </w14:textFill>
        </w:rPr>
        <w:sectPr>
          <w:footerReference r:id="rId5" w:type="default"/>
          <w:pgSz w:w="11906" w:h="16838"/>
          <w:pgMar w:top="1440" w:right="1689" w:bottom="1440" w:left="1689" w:header="851" w:footer="992" w:gutter="0"/>
          <w:pgNumType w:fmt="decimal"/>
          <w:cols w:space="720" w:num="1"/>
          <w:docGrid w:type="lines" w:linePitch="312" w:charSpace="0"/>
        </w:sectPr>
      </w:pPr>
      <w:bookmarkStart w:id="21" w:name="_Hlk450145192"/>
      <w:bookmarkEnd w:id="21"/>
    </w:p>
    <w:p>
      <w:pPr>
        <w:pStyle w:val="32"/>
        <w:spacing w:line="480" w:lineRule="auto"/>
        <w:jc w:val="center"/>
        <w:rPr>
          <w:color w:val="000000" w:themeColor="text1"/>
          <w14:textFill>
            <w14:solidFill>
              <w14:schemeClr w14:val="tx1"/>
            </w14:solidFill>
          </w14:textFill>
        </w:rPr>
      </w:pPr>
      <w:bookmarkStart w:id="22" w:name="_Toc511899297"/>
      <w:bookmarkEnd w:id="22"/>
      <w:bookmarkStart w:id="23" w:name="_Toc272218546"/>
      <w:bookmarkStart w:id="24" w:name="_Toc18529"/>
      <w:r>
        <w:rPr>
          <w:rFonts w:hint="eastAsia" w:ascii="黑体"/>
          <w:color w:val="000000" w:themeColor="text1"/>
          <w14:textFill>
            <w14:solidFill>
              <w14:schemeClr w14:val="tx1"/>
            </w14:solidFill>
          </w14:textFill>
        </w:rPr>
        <w:t>第三章</w:t>
      </w:r>
      <w:bookmarkEnd w:id="23"/>
      <w:bookmarkEnd w:id="24"/>
      <w:r>
        <w:rPr>
          <w:rFonts w:hint="eastAsia" w:ascii="黑体"/>
          <w:color w:val="000000" w:themeColor="text1"/>
          <w14:textFill>
            <w14:solidFill>
              <w14:schemeClr w14:val="tx1"/>
            </w14:solidFill>
          </w14:textFill>
        </w:rPr>
        <w:t>采购需求及商务要求</w:t>
      </w:r>
    </w:p>
    <w:p>
      <w:pPr>
        <w:pStyle w:val="22"/>
        <w:numPr>
          <w:ilvl w:val="0"/>
          <w:numId w:val="2"/>
        </w:numPr>
        <w:spacing w:before="0" w:beforeAutospacing="0" w:after="0" w:afterAutospacing="0" w:line="480" w:lineRule="auto"/>
        <w:jc w:val="center"/>
        <w:rPr>
          <w:rStyle w:val="28"/>
          <w:rFonts w:hint="eastAsia"/>
          <w:color w:val="000000" w:themeColor="text1"/>
          <w14:textFill>
            <w14:solidFill>
              <w14:schemeClr w14:val="tx1"/>
            </w14:solidFill>
          </w14:textFill>
        </w:rPr>
      </w:pPr>
      <w:bookmarkStart w:id="25" w:name="_Toc511899298"/>
      <w:bookmarkEnd w:id="25"/>
      <w:bookmarkStart w:id="26" w:name="_Toc13290"/>
      <w:r>
        <w:rPr>
          <w:rStyle w:val="28"/>
          <w:rFonts w:hint="eastAsia"/>
          <w:color w:val="000000" w:themeColor="text1"/>
          <w14:textFill>
            <w14:solidFill>
              <w14:schemeClr w14:val="tx1"/>
            </w14:solidFill>
          </w14:textFill>
        </w:rPr>
        <w:t>采购需求</w:t>
      </w:r>
    </w:p>
    <w:p>
      <w:pPr>
        <w:spacing w:line="240" w:lineRule="auto"/>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bookmarkStart w:id="27" w:name="_Toc5960"/>
      <w:r>
        <w:rPr>
          <w:rFonts w:hint="default" w:ascii="Times New Roman" w:hAnsi="Times New Roman" w:cs="Times New Roman"/>
          <w:b/>
          <w:bCs/>
          <w:color w:val="000000" w:themeColor="text1"/>
          <w:sz w:val="24"/>
          <w:szCs w:val="24"/>
          <w:lang w:val="en-US" w:eastAsia="zh-CN"/>
          <w14:textFill>
            <w14:solidFill>
              <w14:schemeClr w14:val="tx1"/>
            </w14:solidFill>
          </w14:textFill>
        </w:rPr>
        <w:t>1.项目概况</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bookmarkStart w:id="28" w:name="OLE_LINK8"/>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皖北卫生职业学院坐落在宿州市大学园区，占地约700多亩，建筑面积目前约18万平方米，目前在校生规模约1</w:t>
      </w:r>
      <w:r>
        <w:rPr>
          <w:rFonts w:hint="eastAsia"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000人，教职工300余人，住校生约</w:t>
      </w:r>
      <w:r>
        <w:rPr>
          <w:rFonts w:hint="eastAsia" w:cs="Times New Roman"/>
          <w:b w:val="0"/>
          <w:bCs w:val="0"/>
          <w:color w:val="000000" w:themeColor="text1"/>
          <w:sz w:val="24"/>
          <w:szCs w:val="24"/>
          <w:lang w:val="en-US" w:eastAsia="zh-CN"/>
          <w14:textFill>
            <w14:solidFill>
              <w14:schemeClr w14:val="tx1"/>
            </w14:solidFill>
          </w14:textFill>
        </w:rPr>
        <w:t>8</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000人，其中9-12号学生公寓</w:t>
      </w:r>
      <w:r>
        <w:rPr>
          <w:rFonts w:hint="eastAsia" w:cs="Times New Roman"/>
          <w:b/>
          <w:bCs/>
          <w:color w:val="000000" w:themeColor="text1"/>
          <w:sz w:val="24"/>
          <w:szCs w:val="24"/>
          <w:lang w:val="en-US" w:eastAsia="zh-CN"/>
          <w14:textFill>
            <w14:solidFill>
              <w14:schemeClr w14:val="tx1"/>
            </w14:solidFill>
          </w14:textFill>
        </w:rPr>
        <w:t>开水器</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为学校自营，1-8号学生公寓住宿生约5000人</w:t>
      </w:r>
      <w:r>
        <w:rPr>
          <w:rFonts w:hint="default" w:ascii="Times New Roman" w:hAnsi="Times New Roman" w:cs="Times New Roman"/>
          <w:b/>
          <w:bCs/>
          <w:color w:val="000000" w:themeColor="text1"/>
          <w:sz w:val="24"/>
          <w:szCs w:val="24"/>
          <w:lang w:val="en-US" w:eastAsia="zh-CN"/>
          <w14:textFill>
            <w14:solidFill>
              <w14:schemeClr w14:val="tx1"/>
            </w14:solidFill>
          </w14:textFill>
        </w:rPr>
        <w:t>（人数仅供参考）</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。合作期内招标人因办学规模、专业实习等因素，可能导致学生宿舍人员变化导致经营风险由投标人自行承担。各投标人务必于</w:t>
      </w:r>
      <w:r>
        <w:rPr>
          <w:rFonts w:hint="default" w:ascii="Times New Roman" w:hAnsi="Times New Roman" w:cs="Times New Roman"/>
          <w:b/>
          <w:bCs/>
          <w:color w:val="000000" w:themeColor="text1"/>
          <w:sz w:val="24"/>
          <w:szCs w:val="24"/>
          <w:lang w:val="en-US" w:eastAsia="zh-CN"/>
          <w14:textFill>
            <w14:solidFill>
              <w14:schemeClr w14:val="tx1"/>
            </w14:solidFill>
          </w14:textFill>
        </w:rPr>
        <w:t>2025年</w:t>
      </w:r>
      <w:r>
        <w:rPr>
          <w:rFonts w:hint="eastAsia" w:cs="Times New Roman"/>
          <w:b/>
          <w:bCs/>
          <w:color w:val="000000" w:themeColor="text1"/>
          <w:sz w:val="24"/>
          <w:szCs w:val="24"/>
          <w:lang w:val="en-US" w:eastAsia="zh-CN"/>
          <w14:textFill>
            <w14:solidFill>
              <w14:schemeClr w14:val="tx1"/>
            </w14:solidFill>
          </w14:textFill>
        </w:rPr>
        <w:t>8</w:t>
      </w:r>
      <w:r>
        <w:rPr>
          <w:rFonts w:hint="default" w:ascii="Times New Roman" w:hAnsi="Times New Roman" w:cs="Times New Roman"/>
          <w:b/>
          <w:bCs/>
          <w:color w:val="000000" w:themeColor="text1"/>
          <w:sz w:val="24"/>
          <w:szCs w:val="24"/>
          <w:lang w:val="en-US" w:eastAsia="zh-CN"/>
          <w14:textFill>
            <w14:solidFill>
              <w14:schemeClr w14:val="tx1"/>
            </w14:solidFill>
          </w14:textFill>
        </w:rPr>
        <w:t>月</w:t>
      </w:r>
      <w:r>
        <w:rPr>
          <w:rFonts w:hint="eastAsia" w:cs="Times New Roman"/>
          <w:b/>
          <w:bCs/>
          <w:color w:val="000000" w:themeColor="text1"/>
          <w:sz w:val="24"/>
          <w:szCs w:val="24"/>
          <w:lang w:val="en-US" w:eastAsia="zh-CN"/>
          <w14:textFill>
            <w14:solidFill>
              <w14:schemeClr w14:val="tx1"/>
            </w14:solidFill>
          </w14:textFill>
        </w:rPr>
        <w:t>10</w:t>
      </w:r>
      <w:r>
        <w:rPr>
          <w:rFonts w:hint="default" w:ascii="Times New Roman" w:hAnsi="Times New Roman" w:cs="Times New Roman"/>
          <w:b/>
          <w:bCs/>
          <w:color w:val="000000" w:themeColor="text1"/>
          <w:sz w:val="24"/>
          <w:szCs w:val="24"/>
          <w:lang w:val="en-US" w:eastAsia="zh-CN"/>
          <w14:textFill>
            <w14:solidFill>
              <w14:schemeClr w14:val="tx1"/>
            </w14:solidFill>
          </w14:textFill>
        </w:rPr>
        <w:t>日17时前到我校现场勘察，潜在供应商自行勘察现场，逾期概不接待</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p>
    <w:bookmarkEnd w:id="28"/>
    <w:p>
      <w:pPr>
        <w:spacing w:line="240" w:lineRule="auto"/>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2.投资运营模式</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2.1本次招标皖北卫生职业学院自助开水直饮水服务项目，采用如下合作方式：</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BOO模式即建设--拥有--经营(Building-Owning-Operation)</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2.2本项目学校不设任何投入，由投资商全额投资建设及运营。投资内容包含但不限于：</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建设校园自助开水直饮水系统。</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包括但不限于：</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☑项目的设计；</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☑项目设计方案的优化；</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☑设备、设施、材料的供货；</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☑设备、设施的安装、给排水、强电、信息化系统安装、施工、调试；</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☑合同期内设备、设施维护、保养；</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☑合同期内的运营服务。</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2.3委托经营服务年限为（</w:t>
      </w:r>
      <w:r>
        <w:rPr>
          <w:rFonts w:hint="eastAsia" w:cs="Times New Roman"/>
          <w:b w:val="0"/>
          <w:bCs w:val="0"/>
          <w:color w:val="000000" w:themeColor="text1"/>
          <w:sz w:val="24"/>
          <w:szCs w:val="24"/>
          <w:lang w:val="en-US" w:eastAsia="zh-CN"/>
          <w14:textFill>
            <w14:solidFill>
              <w14:schemeClr w14:val="tx1"/>
            </w14:solidFill>
          </w14:textFill>
        </w:rPr>
        <w:t>5</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）年，采用“</w:t>
      </w:r>
      <w:r>
        <w:rPr>
          <w:rFonts w:hint="eastAsia"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r>
        <w:rPr>
          <w:rFonts w:hint="eastAsia"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”模式，中标后先签订</w:t>
      </w:r>
      <w:r>
        <w:rPr>
          <w:rFonts w:hint="eastAsia"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年经营服务合同，</w:t>
      </w:r>
      <w:r>
        <w:rPr>
          <w:rFonts w:hint="eastAsia"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年期满师生满意度考核达85%及以上，再续签</w:t>
      </w:r>
      <w:r>
        <w:rPr>
          <w:rFonts w:hint="eastAsia" w:cs="Times New Roman"/>
          <w:b w:val="0"/>
          <w:bCs w:val="0"/>
          <w:color w:val="000000" w:themeColor="text1"/>
          <w:sz w:val="24"/>
          <w:szCs w:val="24"/>
          <w:lang w:val="en-US" w:eastAsia="zh-CN"/>
          <w14:textFill>
            <w14:solidFill>
              <w14:schemeClr w14:val="tx1"/>
            </w14:solidFill>
          </w14:textFill>
        </w:rPr>
        <w:t>后2</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年合同。合同期内中标方投资改造或建设的设备所有权及运营权归中标方所有。</w:t>
      </w:r>
      <w:bookmarkStart w:id="29" w:name="OLE_LINK28"/>
      <w:r>
        <w:rPr>
          <w:rFonts w:hint="eastAsia" w:ascii="宋体" w:hAnsi="宋体" w:cs="宋体"/>
          <w:b/>
          <w:bCs/>
          <w:color w:val="000000" w:themeColor="text1"/>
          <w:lang w:val="en-US" w:eastAsia="zh-CN"/>
          <w14:textFill>
            <w14:solidFill>
              <w14:schemeClr w14:val="tx1"/>
            </w14:solidFill>
          </w14:textFill>
        </w:rPr>
        <w:t>合同期内招标方收取管理费，本项目采用BOO模式，</w:t>
      </w:r>
      <w:bookmarkEnd w:id="29"/>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中标方自主经营、自负盈亏。在校学生数量存在增减的可能，投标时应充分考虑。</w:t>
      </w:r>
    </w:p>
    <w:p>
      <w:pPr>
        <w:spacing w:line="240" w:lineRule="auto"/>
        <w:ind w:firstLine="480" w:firstLineChars="200"/>
        <w:jc w:val="both"/>
        <w:rPr>
          <w:rFonts w:hint="default" w:ascii="Times New Roman" w:hAnsi="Times New Roman"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2.4中标人独立安装水表电表计量，</w:t>
      </w:r>
      <w:bookmarkStart w:id="30" w:name="OLE_LINK24"/>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运营期间的水、电费用由中标人按照国家和地方水电费现行收费标准（当前电费：0.7元/度、水费：2.35元/吨；若水电费相关收费政策调整，收费也将进行相应调整）自行承担，学校每月从营业款中直接扣除。</w:t>
      </w:r>
    </w:p>
    <w:bookmarkEnd w:id="30"/>
    <w:p>
      <w:pPr>
        <w:spacing w:line="240" w:lineRule="auto"/>
        <w:ind w:firstLine="480" w:firstLineChars="200"/>
        <w:jc w:val="both"/>
        <w:rPr>
          <w:rFonts w:hint="eastAsia" w:ascii="宋体" w:hAnsi="宋体" w:cs="宋体"/>
          <w:b/>
          <w:bCs/>
          <w:i w:val="0"/>
          <w:iCs w:val="0"/>
          <w:color w:val="000000" w:themeColor="text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2.5结算方式：</w:t>
      </w:r>
      <w:r>
        <w:rPr>
          <w:rFonts w:hint="eastAsia" w:ascii="宋体" w:hAnsi="宋体" w:cs="Arial"/>
          <w:b/>
          <w:bCs/>
          <w:color w:val="000000" w:themeColor="text1"/>
          <w:lang w:val="en-US" w:eastAsia="zh-CN"/>
          <w14:textFill>
            <w14:solidFill>
              <w14:schemeClr w14:val="tx1"/>
            </w14:solidFill>
          </w14:textFill>
        </w:rPr>
        <w:t>饮水机必须通过</w:t>
      </w:r>
      <w:bookmarkStart w:id="31" w:name="OLE_LINK18"/>
      <w:r>
        <w:rPr>
          <w:rFonts w:hint="eastAsia" w:ascii="宋体" w:hAnsi="宋体" w:cs="Arial"/>
          <w:b/>
          <w:bCs/>
          <w:color w:val="000000" w:themeColor="text1"/>
          <w:lang w:val="en-US" w:eastAsia="zh-CN"/>
          <w14:textFill>
            <w14:solidFill>
              <w14:schemeClr w14:val="tx1"/>
            </w14:solidFill>
          </w14:textFill>
        </w:rPr>
        <w:t>安装卡机或后台对接的方式接入我院校园一卡通系统，所有刷卡和扫描一卡通信息必须接入学校财务一卡通系统（目前学院一卡通系统供应商为正元智慧品牌的一卡通），消费完成后可显示单笔消费信息，所有营业额必须全部直接进入学校指定账户</w:t>
      </w:r>
      <w:bookmarkEnd w:id="31"/>
      <w:r>
        <w:rPr>
          <w:rFonts w:hint="eastAsia" w:ascii="宋体" w:hAnsi="宋体" w:cs="Arial"/>
          <w:b/>
          <w:bCs/>
          <w:color w:val="000000" w:themeColor="text1"/>
          <w:lang w:val="en-US" w:eastAsia="zh-CN"/>
          <w14:textFill>
            <w14:solidFill>
              <w14:schemeClr w14:val="tx1"/>
            </w14:solidFill>
          </w14:textFill>
        </w:rPr>
        <w:t>，校方监管审核，由总务处根据所报送营业额数据，扣除当月水电及其他需要扣除费用后财务处代为转付（中标人须出具该公司相应票据</w:t>
      </w:r>
      <w:r>
        <w:rPr>
          <w:rFonts w:hint="eastAsia" w:ascii="宋体" w:hAnsi="宋体" w:cs="宋体"/>
          <w:b/>
          <w:bCs/>
          <w:i w:val="0"/>
          <w:iCs w:val="0"/>
          <w:color w:val="000000" w:themeColor="text1"/>
          <w:szCs w:val="21"/>
          <w:lang w:val="en-US" w:eastAsia="zh-CN"/>
          <w14:textFill>
            <w14:solidFill>
              <w14:schemeClr w14:val="tx1"/>
            </w14:solidFill>
          </w14:textFill>
        </w:rPr>
        <w:t>）。</w:t>
      </w:r>
    </w:p>
    <w:p>
      <w:pPr>
        <w:spacing w:line="240" w:lineRule="auto"/>
        <w:ind w:firstLine="482" w:firstLineChars="200"/>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3.项目建设要求</w:t>
      </w:r>
    </w:p>
    <w:p>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3.1所投入直饮水设备基本技术参数需求</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 xml:space="preserve"> </w:t>
      </w:r>
    </w:p>
    <w:p>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bookmarkStart w:id="32" w:name="OLE_LINK1"/>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3.1.1</w:t>
      </w:r>
      <w:bookmarkEnd w:id="32"/>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直饮水系统按下列标准执行（以国家最新指导标准为准）</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（1）直饮水系统必须满足《建筑与小区管道直饮水系统技术规程》CJJ/T110-2017</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（2）中标方受托经营所生产的产品必须符合《饮用净水水质标准》CJ94-2005</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（3）《生活饮用水输配设备及防护材料的安全性评价标准》GB/T17219</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（4）《建筑电气工程施工质量验收规范》GB 50303-2019</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（5）净水处理设备应符合国家《水处理设备技术条件》NB/T 10790-2021</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（6）直饮水系统必须满足《管道直饮水（饮用净水）给水系统技术规程（CJJ/T 110-2017）》</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（7）直饮水系统必须满足《食品安全国家标准 食品接触用橡胶材料及制品》（GB 4806.11-2023）</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（8）直饮水系统必须满足《食品安全国家标准 食品接触用塑料材料及制品》（GB 4806.7-2023）</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（9）直饮水系统必须满足《食品安全国家标准食品接触用金属材料及制品》（GB 4806.9-2023）</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投标人所投直饮水产品制造商必须具有质量技术监督部门颁发的全国工业产品生产许可证以及具有卫生部门颁布的《涉及饮用水卫生安全产品卫生许可批件》；所投产品具有CCC认证证书。投标文件中提供3C认证证书复印件。</w:t>
      </w:r>
    </w:p>
    <w:p>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3.1.2供水方式</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1-8号学生公寓</w:t>
      </w:r>
      <w:r>
        <w:rPr>
          <w:rFonts w:hint="eastAsia"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、本部（</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办公楼、教学南北楼、图书馆、实训南北楼、综合楼、实训大楼</w:t>
      </w:r>
      <w:r>
        <w:rPr>
          <w:rFonts w:hint="eastAsia"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等）</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新区（</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理论楼、院系楼、新实训大楼等</w:t>
      </w:r>
      <w:r>
        <w:rPr>
          <w:rFonts w:hint="eastAsia"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各公共区域楼栋建设</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不少于2套</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中央净化过滤系统集中制水，经加压泵通过全封闭循环管路输送至各楼层商务一体机固定取水点，即供水方式为直饮水制水主机+循环管网+终端商务一体机固定取水点；中标单位自行配置制水主机、商务一体机品牌、规格、型号、数量，</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但</w:t>
      </w:r>
      <w:bookmarkStart w:id="33" w:name="OLE_LINK9"/>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必须满足学生</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和职工</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对各种用水（</w:t>
      </w:r>
      <w:bookmarkStart w:id="34" w:name="OLE_LINK12"/>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开水直饮水、常温直饮水</w:t>
      </w:r>
      <w:bookmarkEnd w:id="34"/>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）的水量需求。</w:t>
      </w:r>
      <w:bookmarkEnd w:id="33"/>
    </w:p>
    <w:p>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3.1.3</w:t>
      </w:r>
      <w:r>
        <w:rPr>
          <w:rFonts w:hint="eastAsia"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项目建设要求</w:t>
      </w:r>
    </w:p>
    <w:p>
      <w:pPr>
        <w:spacing w:line="240" w:lineRule="auto"/>
        <w:ind w:firstLine="482" w:firstLineChars="200"/>
        <w:jc w:val="both"/>
        <w:rPr>
          <w:rFonts w:hint="default" w:ascii="Times New Roman" w:hAnsi="Times New Roman" w:cs="Times New Roman"/>
          <w:b w:val="0"/>
          <w:bCs w:val="0"/>
          <w:color w:val="000000" w:themeColor="text1"/>
          <w:sz w:val="24"/>
          <w:szCs w:val="24"/>
          <w:highlight w:val="none"/>
          <w:u w:val="single"/>
          <w:shd w:val="clear" w:color="auto" w:fill="auto"/>
          <w:lang w:val="en-US" w:eastAsia="zh-CN"/>
          <w14:textFill>
            <w14:solidFill>
              <w14:schemeClr w14:val="tx1"/>
            </w14:solidFill>
          </w14:textFill>
        </w:rPr>
      </w:pP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中标人自行投入</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建设</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不少于2套</w:t>
      </w:r>
      <w:r>
        <w:rPr>
          <w:rFonts w:hint="default" w:ascii="Times New Roman" w:hAnsi="Times New Roman" w:cs="Times New Roman"/>
          <w:b w:val="0"/>
          <w:bCs w:val="0"/>
          <w:color w:val="000000" w:themeColor="text1"/>
          <w:sz w:val="24"/>
          <w:szCs w:val="24"/>
          <w:highlight w:val="none"/>
          <w:u w:val="single"/>
          <w:shd w:val="clear" w:color="auto" w:fill="auto"/>
          <w:lang w:val="en-US" w:eastAsia="zh-CN"/>
          <w14:textFill>
            <w14:solidFill>
              <w14:schemeClr w14:val="tx1"/>
            </w14:solidFill>
          </w14:textFill>
        </w:rPr>
        <w:t>（≥</w:t>
      </w:r>
      <w:r>
        <w:rPr>
          <w:rFonts w:hint="eastAsia" w:cs="Times New Roman"/>
          <w:b w:val="0"/>
          <w:bCs w:val="0"/>
          <w:color w:val="000000" w:themeColor="text1"/>
          <w:sz w:val="24"/>
          <w:szCs w:val="24"/>
          <w:highlight w:val="none"/>
          <w:u w:val="single"/>
          <w:shd w:val="clear" w:color="auto" w:fill="auto"/>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shd w:val="clear" w:color="auto" w:fill="auto"/>
          <w:lang w:val="en-US" w:eastAsia="zh-CN"/>
          <w14:textFill>
            <w14:solidFill>
              <w14:schemeClr w14:val="tx1"/>
            </w14:solidFill>
          </w14:textFill>
        </w:rPr>
        <w:t>T/H）</w:t>
      </w:r>
      <w:bookmarkStart w:id="35" w:name="OLE_LINK51"/>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中央净化过滤系统集中制水</w:t>
      </w:r>
      <w:bookmarkEnd w:id="35"/>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（具体位置自行踏勘）</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，经加压泵通过全封闭循环管路输送至各楼层商务一体机固定取水点，即供水方式为</w:t>
      </w:r>
      <w:r>
        <w:rPr>
          <w:rFonts w:hint="default" w:ascii="Times New Roman" w:hAnsi="Times New Roman" w:cs="Times New Roman"/>
          <w:b w:val="0"/>
          <w:bCs w:val="0"/>
          <w:color w:val="000000" w:themeColor="text1"/>
          <w:sz w:val="24"/>
          <w:szCs w:val="24"/>
          <w:highlight w:val="none"/>
          <w:u w:val="single"/>
          <w:shd w:val="clear" w:color="auto" w:fill="auto"/>
          <w:lang w:val="en-US" w:eastAsia="zh-CN"/>
          <w14:textFill>
            <w14:solidFill>
              <w14:schemeClr w14:val="tx1"/>
            </w14:solidFill>
          </w14:textFill>
        </w:rPr>
        <w:t>直饮水制水主机+循环管网+终端商务一体机固定取水点（一开一直饮）。</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必须满足学生</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和职工</w:t>
      </w: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对各种用水（开水直饮水、常温直饮水）的水量需求。</w:t>
      </w:r>
    </w:p>
    <w:p>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bookmarkStart w:id="36" w:name="OLE_LINK3"/>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3.1.3.1</w:t>
      </w:r>
      <w:bookmarkEnd w:id="36"/>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直饮水</w:t>
      </w:r>
      <w:bookmarkStart w:id="37" w:name="OLE_LINK2"/>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制水主机</w:t>
      </w:r>
      <w:bookmarkEnd w:id="37"/>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要求</w:t>
      </w: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 xml:space="preserve"> </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（1）制水主机设备含由制水系统、供水系统、杀菌系统、控制系统、TDS值仪表显示、水箱及其相应的连接管路等，制水量需满足各区域用户需求（允许通过设备组合进行供水）。</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（2）供水方式采用变频式恒压供水：输送水方式为循环式供水，早晚必须至少各循环一次，循环时间为30分钟以上。</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3）过滤技术：前置预处理采用石英砂粗滤、活性炭吸附、PP棉过滤，后置处理采用RO膜反渗透技术，出水水质达到《生活饮用水卫生标准》（GB5749-2022）及以上标准。其中石英砂滤料，填充量不少于≥50Kg，活性炭滤料，填充量不少于25Kg。</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（4）杀菌技术：采用过流式紫外线杀菌，且满足过流杀菌效果。</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（5）控制技术：系统采用继承电路全自动控制，实现无人值守，远程监测。</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（6）配置基本要求：</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①机柜钢板厚度不少于0.8mm，采用喷塑或喷漆工艺，安全锁控装置；</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②RO膜壳采用304不锈钢材质：</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③供水泵外壳采用304不锈钢材质，且需一用一备。供水泵扬程不低于35m；</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④原水箱采用玻璃钢或304不锈钢(食品级）材质；净水箱采用304不锈钢(食品级）材质且无菌水箱，且提供涉水批件或卫生许可证。</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⑤全自动冲洗阀；</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⑥变频器数控可调，220V电源。</w:t>
      </w:r>
    </w:p>
    <w:p>
      <w:pPr>
        <w:spacing w:line="240" w:lineRule="auto"/>
        <w:ind w:firstLine="482" w:firstLineChars="200"/>
        <w:jc w:val="both"/>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shd w:val="clear" w:color="auto" w:fill="auto"/>
          <w:lang w:val="en-US" w:eastAsia="zh-CN"/>
          <w14:textFill>
            <w14:solidFill>
              <w14:schemeClr w14:val="tx1"/>
            </w14:solidFill>
          </w14:textFill>
        </w:rPr>
        <w:t>3.1.3.2管线直饮水设备要求</w:t>
      </w:r>
      <w:r>
        <w:rPr>
          <w:rFonts w:hint="eastAsia" w:cs="Times New Roman"/>
          <w:b/>
          <w:bCs/>
          <w:color w:val="000000" w:themeColor="text1"/>
          <w:sz w:val="24"/>
          <w:szCs w:val="24"/>
          <w:highlight w:val="none"/>
          <w:shd w:val="clear" w:color="auto" w:fill="auto"/>
          <w:lang w:val="en-US" w:eastAsia="zh-CN"/>
          <w14:textFill>
            <w14:solidFill>
              <w14:schemeClr w14:val="tx1"/>
            </w14:solidFill>
          </w14:textFill>
        </w:rPr>
        <w:t>（如后期需要安装）</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（1）防触电保护I类，电源配置220V挂壁式刷卡饮水机，充分考虑线路负荷情况下，额定功率：500W-800W。</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（2）分常温水和热水两种出水方式，热水出水温度控制在不低于95℃。</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（3）机内安装紫外线杀菌器，及机内安装流量计可精准计费。</w:t>
      </w:r>
    </w:p>
    <w:p>
      <w:pPr>
        <w:spacing w:line="240" w:lineRule="auto"/>
        <w:ind w:firstLine="480" w:firstLineChars="200"/>
        <w:jc w:val="both"/>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shd w:val="clear" w:color="auto" w:fill="auto"/>
          <w:lang w:val="en-US" w:eastAsia="zh-CN"/>
          <w14:textFill>
            <w14:solidFill>
              <w14:schemeClr w14:val="tx1"/>
            </w14:solidFill>
          </w14:textFill>
        </w:rPr>
        <w:t>（4）管材具有卫生许可证批件，采用食品级PPR管或304不锈钢管，建筑物内管道采用沿墙管卡铺设。</w:t>
      </w:r>
    </w:p>
    <w:p>
      <w:pPr>
        <w:spacing w:line="240" w:lineRule="auto"/>
        <w:ind w:firstLine="482" w:firstLineChars="200"/>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bookmarkStart w:id="38" w:name="OLE_LINK23"/>
      <w:r>
        <w:rPr>
          <w:rFonts w:hint="default" w:ascii="Times New Roman" w:hAnsi="Times New Roman" w:cs="Times New Roman"/>
          <w:b/>
          <w:bCs/>
          <w:color w:val="000000" w:themeColor="text1"/>
          <w:sz w:val="24"/>
          <w:szCs w:val="24"/>
          <w:lang w:val="en-US" w:eastAsia="zh-CN"/>
          <w14:textFill>
            <w14:solidFill>
              <w14:schemeClr w14:val="tx1"/>
            </w14:solidFill>
          </w14:textFill>
        </w:rPr>
        <w:t>3.1.4</w:t>
      </w:r>
      <w:bookmarkEnd w:id="38"/>
      <w:r>
        <w:rPr>
          <w:rFonts w:hint="default" w:ascii="Times New Roman" w:hAnsi="Times New Roman" w:eastAsia="宋体" w:cs="Times New Roman"/>
          <w:b/>
          <w:bCs/>
          <w:i w:val="0"/>
          <w:iCs w:val="0"/>
          <w:caps w:val="0"/>
          <w:color w:val="000000" w:themeColor="text1"/>
          <w:spacing w:val="0"/>
          <w:sz w:val="24"/>
          <w:szCs w:val="24"/>
          <w:highlight w:val="none"/>
          <w14:textFill>
            <w14:solidFill>
              <w14:schemeClr w14:val="tx1"/>
            </w14:solidFill>
          </w14:textFill>
        </w:rPr>
        <w:t>商务一体机</w:t>
      </w:r>
      <w:r>
        <w:rPr>
          <w:rFonts w:hint="default" w:ascii="Times New Roman" w:hAnsi="Times New Roman" w:cs="Times New Roman"/>
          <w:b/>
          <w:bCs/>
          <w:color w:val="000000" w:themeColor="text1"/>
          <w:sz w:val="24"/>
          <w:szCs w:val="24"/>
          <w:lang w:val="en-US" w:eastAsia="zh-CN"/>
          <w14:textFill>
            <w14:solidFill>
              <w14:schemeClr w14:val="tx1"/>
            </w14:solidFill>
          </w14:textFill>
        </w:rPr>
        <w:t>项目建设需求</w:t>
      </w:r>
    </w:p>
    <w:p>
      <w:pPr>
        <w:spacing w:line="240" w:lineRule="auto"/>
        <w:ind w:firstLine="360" w:firstLineChars="200"/>
        <w:jc w:val="cente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bookmarkStart w:id="39" w:name="OLE_LINK21"/>
      <w:r>
        <w:rPr>
          <w:rFonts w:hint="default" w:ascii="Times New Roman" w:hAnsi="Times New Roman" w:eastAsia="宋体" w:cs="Times New Roman"/>
          <w:i w:val="0"/>
          <w:iCs w:val="0"/>
          <w:caps w:val="0"/>
          <w:color w:val="000000" w:themeColor="text1"/>
          <w:spacing w:val="0"/>
          <w:sz w:val="18"/>
          <w:szCs w:val="18"/>
          <w:highlight w:val="none"/>
          <w14:textFill>
            <w14:solidFill>
              <w14:schemeClr w14:val="tx1"/>
            </w14:solidFill>
          </w14:textFill>
        </w:rPr>
        <w:t>商务一体机</w:t>
      </w:r>
      <w:bookmarkEnd w:id="39"/>
      <w:bookmarkStart w:id="40" w:name="OLE_LINK15"/>
      <w:r>
        <w:rPr>
          <w:rFonts w:hint="default" w:ascii="Times New Roman" w:hAnsi="Times New Roman" w:eastAsia="宋体" w:cs="Times New Roman"/>
          <w:i w:val="0"/>
          <w:iCs w:val="0"/>
          <w:caps w:val="0"/>
          <w:color w:val="000000" w:themeColor="text1"/>
          <w:spacing w:val="0"/>
          <w:sz w:val="18"/>
          <w:szCs w:val="18"/>
          <w:highlight w:val="none"/>
          <w:lang w:val="en-US" w:eastAsia="zh-CN"/>
          <w14:textFill>
            <w14:solidFill>
              <w14:schemeClr w14:val="tx1"/>
            </w14:solidFill>
          </w14:textFill>
        </w:rPr>
        <w:t>配置</w:t>
      </w:r>
      <w:bookmarkEnd w:id="40"/>
      <w:r>
        <w:rPr>
          <w:rFonts w:hint="default" w:ascii="Times New Roman" w:hAnsi="Times New Roman" w:eastAsia="宋体" w:cs="Times New Roman"/>
          <w:i w:val="0"/>
          <w:iCs w:val="0"/>
          <w:caps w:val="0"/>
          <w:color w:val="000000" w:themeColor="text1"/>
          <w:spacing w:val="0"/>
          <w:sz w:val="18"/>
          <w:szCs w:val="18"/>
          <w:highlight w:val="none"/>
          <w:lang w:val="en-US" w:eastAsia="zh-CN"/>
          <w14:textFill>
            <w14:solidFill>
              <w14:schemeClr w14:val="tx1"/>
            </w14:solidFill>
          </w14:textFill>
        </w:rPr>
        <w:t>要求</w:t>
      </w:r>
    </w:p>
    <w:tbl>
      <w:tblPr>
        <w:tblStyle w:val="25"/>
        <w:tblW w:w="8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080"/>
        <w:gridCol w:w="1167"/>
        <w:gridCol w:w="663"/>
        <w:gridCol w:w="3587"/>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bookmarkStart w:id="41" w:name="OLE_LINK38"/>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楼号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设备名称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数量</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安装位置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1栋</w:t>
            </w:r>
          </w:p>
        </w:tc>
        <w:tc>
          <w:tcPr>
            <w:tcW w:w="11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bookmarkStart w:id="42" w:name="OLE_LINK10"/>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w:t>
            </w:r>
            <w:bookmarkEnd w:id="42"/>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60升自助开水直饮水商务一体机</w:t>
            </w: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各楼东/西侧公共盥洗室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2</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2栋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各楼东/西侧公共盥洗室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3</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3栋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各楼中间公共盥洗室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各楼东/西侧公共盥洗室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各楼东/西侧公共盥洗室/连廊处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10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各楼东/西侧连廊处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7栋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各楼东/西侧楼梯口处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8栋</w:t>
            </w:r>
          </w:p>
        </w:tc>
        <w:tc>
          <w:tcPr>
            <w:tcW w:w="1167"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各楼中间公共盥洗室/东西侧楼梯口处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9</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办公楼</w:t>
            </w:r>
          </w:p>
        </w:tc>
        <w:tc>
          <w:tcPr>
            <w:tcW w:w="11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各楼中间公共盥洗室</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图书馆</w:t>
            </w:r>
          </w:p>
        </w:tc>
        <w:tc>
          <w:tcPr>
            <w:tcW w:w="11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2</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各楼男侧公共盥洗室外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2楼和3楼各1台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11</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实训大楼</w:t>
            </w:r>
          </w:p>
        </w:tc>
        <w:tc>
          <w:tcPr>
            <w:tcW w:w="11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12</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实训北楼</w:t>
            </w:r>
          </w:p>
        </w:tc>
        <w:tc>
          <w:tcPr>
            <w:tcW w:w="11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13</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教学南楼</w:t>
            </w:r>
          </w:p>
        </w:tc>
        <w:tc>
          <w:tcPr>
            <w:tcW w:w="11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教学北楼</w:t>
            </w:r>
          </w:p>
        </w:tc>
        <w:tc>
          <w:tcPr>
            <w:tcW w:w="1167"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4</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14</w:t>
            </w:r>
          </w:p>
        </w:tc>
        <w:tc>
          <w:tcPr>
            <w:tcW w:w="108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理论教学楼</w:t>
            </w:r>
          </w:p>
        </w:tc>
        <w:tc>
          <w:tcPr>
            <w:tcW w:w="11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≥60升自助开水直饮水商务一体机（具体放置尺寸需现场考察、定制）</w:t>
            </w: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普通教室东侧开水器放置处</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1167" w:type="dxa"/>
            <w:vMerge w:val="continue"/>
            <w:tcBorders>
              <w:left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5</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阶梯教室西侧开水器放置处</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15</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院系楼</w:t>
            </w:r>
          </w:p>
        </w:tc>
        <w:tc>
          <w:tcPr>
            <w:tcW w:w="11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12</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各楼西侧公共盥洗室外</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每层1台，2栋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16</w:t>
            </w:r>
          </w:p>
        </w:tc>
        <w:tc>
          <w:tcPr>
            <w:tcW w:w="10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新实训大楼</w:t>
            </w:r>
          </w:p>
        </w:tc>
        <w:tc>
          <w:tcPr>
            <w:tcW w:w="11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≥60升自助开水直饮水</w:t>
            </w:r>
            <w:bookmarkStart w:id="43" w:name="OLE_LINK13"/>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商务一体机</w:t>
            </w:r>
            <w:bookmarkEnd w:id="43"/>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10</w:t>
            </w:r>
          </w:p>
        </w:tc>
        <w:tc>
          <w:tcPr>
            <w:tcW w:w="3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各楼东侧或西侧开水器放置处</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17</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综合楼</w:t>
            </w:r>
          </w:p>
        </w:tc>
        <w:tc>
          <w:tcPr>
            <w:tcW w:w="1167"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11</w:t>
            </w:r>
          </w:p>
        </w:tc>
        <w:tc>
          <w:tcPr>
            <w:tcW w:w="3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东西侧公共盥洗室</w:t>
            </w:r>
          </w:p>
        </w:tc>
        <w:tc>
          <w:tcPr>
            <w:tcW w:w="10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0"/>
                <w:szCs w:val="20"/>
                <w:highlight w:val="none"/>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每层1台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t>总计</w:t>
            </w:r>
          </w:p>
        </w:tc>
        <w:tc>
          <w:tcPr>
            <w:tcW w:w="11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p>
        </w:tc>
        <w:tc>
          <w:tcPr>
            <w:tcW w:w="6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b/>
                <w:bCs/>
                <w:i w:val="0"/>
                <w:iCs w:val="0"/>
                <w:color w:val="000000" w:themeColor="text1"/>
                <w:kern w:val="0"/>
                <w:sz w:val="20"/>
                <w:szCs w:val="20"/>
                <w:highlight w:val="none"/>
                <w:u w:val="none"/>
                <w:lang w:val="en-US" w:eastAsia="zh-CN" w:bidi="ar"/>
                <w14:textFill>
                  <w14:solidFill>
                    <w14:schemeClr w14:val="tx1"/>
                  </w14:solidFill>
                </w14:textFill>
              </w:rPr>
              <w:t>117</w:t>
            </w:r>
          </w:p>
        </w:tc>
        <w:tc>
          <w:tcPr>
            <w:tcW w:w="35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p>
        </w:tc>
      </w:tr>
      <w:bookmarkEnd w:id="41"/>
    </w:tbl>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以上配置统计为拟投入数量及位置，具体</w:t>
      </w:r>
      <w:r>
        <w:rPr>
          <w:rFonts w:hint="eastAsia" w:cs="Times New Roman"/>
          <w:b/>
          <w:bCs/>
          <w:color w:val="000000" w:themeColor="text1"/>
          <w:kern w:val="2"/>
          <w:sz w:val="24"/>
          <w:szCs w:val="24"/>
          <w:highlight w:val="none"/>
          <w:lang w:val="en-US" w:eastAsia="zh-CN" w:bidi="ar-SA"/>
          <w14:textFill>
            <w14:solidFill>
              <w14:schemeClr w14:val="tx1"/>
            </w14:solidFill>
          </w14:textFill>
        </w:rPr>
        <w:t>根据学院使用需求</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以实际投入为准。</w:t>
      </w:r>
    </w:p>
    <w:p>
      <w:pPr>
        <w:pageBreakBefore w:val="0"/>
        <w:widowControl w:val="0"/>
        <w:kinsoku/>
        <w:wordWrap/>
        <w:overflowPunct/>
        <w:topLinePunct w:val="0"/>
        <w:autoSpaceDE/>
        <w:autoSpaceDN/>
        <w:bidi w:val="0"/>
        <w:adjustRightInd/>
        <w:snapToGrid/>
        <w:spacing w:line="240" w:lineRule="auto"/>
        <w:ind w:left="479" w:leftChars="228" w:firstLine="0" w:firstLineChars="0"/>
        <w:textAlignment w:val="auto"/>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xml:space="preserve">电源：380V，50Hz；功率≥8KW </w:t>
      </w:r>
    </w:p>
    <w:p>
      <w:pPr>
        <w:pageBreakBefore w:val="0"/>
        <w:widowControl w:val="0"/>
        <w:kinsoku/>
        <w:wordWrap/>
        <w:overflowPunct/>
        <w:topLinePunct w:val="0"/>
        <w:autoSpaceDE/>
        <w:autoSpaceDN/>
        <w:bidi w:val="0"/>
        <w:adjustRightInd/>
        <w:snapToGrid/>
        <w:spacing w:line="240" w:lineRule="auto"/>
        <w:ind w:left="479" w:leftChars="228" w:firstLine="0" w:firstLineChars="0"/>
        <w:textAlignment w:val="auto"/>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）两龙头，出水方式一加热、一常温，热水出水温度控制在不低于95℃</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3</w:t>
      </w: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xml:space="preserve">出水量：开水≥30L/h，直饮水≥60L/h； </w:t>
      </w:r>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4</w:t>
      </w:r>
      <w:r>
        <w:rPr>
          <w:rFonts w:hint="eastAsia"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设备为柜式结构，外观美丽大方、多方位不锈钢梁设计，坚固耐用安全、边角部位均经过严格的抛光处理，平整光滑、其易触及零部件棱边无角且光滑；面板、侧板、门板采用不锈钢黑钛金无指纹板材，厚度≥0.8mm。</w:t>
      </w:r>
    </w:p>
    <w:p>
      <w:pPr>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5</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）饮水机至少带有2套及以上的防漏电保护装置</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xml:space="preserve"> </w:t>
      </w:r>
    </w:p>
    <w:p>
      <w:pPr>
        <w:pStyle w:val="24"/>
        <w:ind w:left="0" w:leftChars="0" w:firstLine="480" w:firstLineChars="200"/>
        <w:rPr>
          <w:rFonts w:hint="eastAsia"/>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6</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每学期开学前要对饮水机进行水质检测，并对饮水机内胆进行清洗。</w:t>
      </w:r>
    </w:p>
    <w:p>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highlight w:val="none"/>
          <w:u w:val="single"/>
          <w:lang w:val="en-US" w:eastAsia="zh-CN" w:bidi="ar-SA"/>
          <w14:textFill>
            <w14:solidFill>
              <w14:schemeClr w14:val="tx1"/>
            </w14:solidFill>
          </w14:textFill>
        </w:rPr>
        <w:t>备注：投标文件中提供所投管线直饮水设备及商务一体机直饮水设备的品牌和规格型号。</w:t>
      </w:r>
    </w:p>
    <w:p>
      <w:pPr>
        <w:pStyle w:val="24"/>
        <w:spacing w:line="240" w:lineRule="auto"/>
        <w:ind w:left="0" w:leftChars="0" w:firstLine="482" w:firstLineChars="200"/>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3.1.</w:t>
      </w:r>
      <w:r>
        <w:rPr>
          <w:rFonts w:hint="eastAsia" w:hAnsi="Times New Roman"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 xml:space="preserve">其他要求 </w:t>
      </w:r>
    </w:p>
    <w:p>
      <w:pPr>
        <w:pStyle w:val="24"/>
        <w:numPr>
          <w:ilvl w:val="0"/>
          <w:numId w:val="0"/>
        </w:numPr>
        <w:spacing w:line="240" w:lineRule="auto"/>
        <w:ind w:firstLine="480" w:firstLineChars="200"/>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hAnsi="Times New Roman" w:cs="Times New Roman"/>
          <w:b w:val="0"/>
          <w:bCs w:val="0"/>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 xml:space="preserve">中标人所投资的设施设备型号、品质和相关材料必须与投标时所提供的信息完全一致，如需更换需提前报招标人审批，擅自变动的，招标人有权取消其托管经营资格。 </w:t>
      </w:r>
    </w:p>
    <w:p>
      <w:pPr>
        <w:pStyle w:val="24"/>
        <w:numPr>
          <w:ilvl w:val="0"/>
          <w:numId w:val="0"/>
        </w:numPr>
        <w:spacing w:line="240" w:lineRule="auto"/>
        <w:ind w:leftChars="200"/>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hAnsi="Times New Roman" w:cs="Times New Roman"/>
          <w:b w:val="0"/>
          <w:bCs w:val="0"/>
          <w:color w:val="000000" w:themeColor="text1"/>
          <w:kern w:val="2"/>
          <w:sz w:val="24"/>
          <w:szCs w:val="24"/>
          <w:highlight w:val="none"/>
          <w:lang w:val="en-US" w:eastAsia="zh-CN" w:bidi="ar-SA"/>
          <w14:textFill>
            <w14:solidFill>
              <w14:schemeClr w14:val="tx1"/>
            </w14:solidFill>
          </w14:textFill>
        </w:rPr>
        <w:t>（2）</w:t>
      </w:r>
      <w:bookmarkStart w:id="44" w:name="OLE_LINK35"/>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中标人须承诺</w:t>
      </w:r>
      <w:bookmarkStart w:id="45" w:name="OLE_LINK34"/>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合同期内</w:t>
      </w:r>
      <w:bookmarkEnd w:id="45"/>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响应招标人根据现实情况提出的设备数量、改造要求及安装位置变动的要求，</w:t>
      </w:r>
      <w:r>
        <w:rPr>
          <w:rFonts w:hint="eastAsia"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同时承诺</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学院职工在任何区域内均免费使用，</w:t>
      </w:r>
      <w:bookmarkEnd w:id="44"/>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 xml:space="preserve">投标时投标文件中提供承诺函并加盖公章，格式自拟。 </w:t>
      </w:r>
    </w:p>
    <w:p>
      <w:pPr>
        <w:pStyle w:val="24"/>
        <w:numPr>
          <w:ilvl w:val="0"/>
          <w:numId w:val="0"/>
        </w:numPr>
        <w:spacing w:line="240" w:lineRule="auto"/>
        <w:ind w:firstLine="480" w:firstLineChars="200"/>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（3）进场后若发生人员变化需提前15天报招标人审批，新更换人员必须满足承诺标准。</w:t>
      </w:r>
    </w:p>
    <w:p>
      <w:pPr>
        <w:pStyle w:val="24"/>
        <w:spacing w:line="240" w:lineRule="auto"/>
        <w:ind w:left="0" w:leftChars="0" w:firstLine="0" w:firstLineChars="0"/>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3.</w:t>
      </w:r>
      <w:r>
        <w:rPr>
          <w:rFonts w:hint="eastAsia" w:hAnsi="Times New Roman" w:cs="Times New Roman"/>
          <w:b/>
          <w:bCs/>
          <w:color w:val="000000" w:themeColor="text1"/>
          <w:kern w:val="2"/>
          <w:sz w:val="24"/>
          <w:szCs w:val="24"/>
          <w:highlight w:val="none"/>
          <w:lang w:val="en-US" w:eastAsia="zh-CN" w:bidi="ar-SA"/>
          <w14:textFill>
            <w14:solidFill>
              <w14:schemeClr w14:val="tx1"/>
            </w14:solidFill>
          </w14:textFill>
        </w:rPr>
        <w:t>2</w:t>
      </w:r>
      <w:r>
        <w:rPr>
          <w:rFonts w:hint="default"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项目设计方案要求</w:t>
      </w:r>
    </w:p>
    <w:p>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2.1</w:t>
      </w: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系统的设计</w:t>
      </w:r>
    </w:p>
    <w:p>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lang w:val="en-US" w:eastAsia="zh-CN" w:bidi="ar-SA"/>
          <w14:textFill>
            <w14:solidFill>
              <w14:schemeClr w14:val="tx1"/>
            </w14:solidFill>
          </w14:textFill>
        </w:rPr>
        <w:t>根据项目的需求情况，确定设备的品牌、规格、型</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号、投放数量、摆放布局</w:t>
      </w:r>
      <w:r>
        <w:rPr>
          <w:rFonts w:hint="default" w:ascii="Times New Roman" w:hAnsi="Times New Roman" w:eastAsia="宋体" w:cs="Times New Roman"/>
          <w:b w:val="0"/>
          <w:bCs w:val="0"/>
          <w:i w:val="0"/>
          <w:iCs w:val="0"/>
          <w:caps w:val="0"/>
          <w:color w:val="000000" w:themeColor="text1"/>
          <w:spacing w:val="0"/>
          <w:sz w:val="24"/>
          <w:szCs w:val="24"/>
          <w:highlight w:val="none"/>
          <w:lang w:val="en-US" w:eastAsia="zh-CN"/>
          <w14:textFill>
            <w14:solidFill>
              <w14:schemeClr w14:val="tx1"/>
            </w14:solidFill>
          </w14:textFill>
        </w:rPr>
        <w:t>及给排水系统的设计方案</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w:t>
      </w:r>
    </w:p>
    <w:p>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.2支付系统要求</w:t>
      </w:r>
    </w:p>
    <w:p>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bookmarkStart w:id="46" w:name="OLE_LINK31"/>
      <w:r>
        <w:rPr>
          <w:rFonts w:hint="default" w:ascii="Times New Roman" w:hAnsi="Times New Roman" w:eastAsia="宋体" w:cs="Times New Roman"/>
          <w:b w:val="0"/>
          <w:bCs w:val="0"/>
          <w:i w:val="0"/>
          <w:iCs w:val="0"/>
          <w:caps w:val="0"/>
          <w:color w:val="000000" w:themeColor="text1"/>
          <w:spacing w:val="0"/>
          <w:sz w:val="24"/>
          <w:szCs w:val="24"/>
          <w:highlight w:val="none"/>
          <w:lang w:val="en-US" w:eastAsia="zh-CN"/>
          <w14:textFill>
            <w14:solidFill>
              <w14:schemeClr w14:val="tx1"/>
            </w14:solidFill>
          </w14:textFill>
        </w:rPr>
        <w:t>☑</w:t>
      </w:r>
      <w:bookmarkEnd w:id="46"/>
      <w:bookmarkStart w:id="47" w:name="OLE_LINK19"/>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开水直饮水、常温直饮水采用流量收费。</w:t>
      </w:r>
      <w:bookmarkEnd w:id="47"/>
    </w:p>
    <w:p>
      <w:pPr>
        <w:pStyle w:val="24"/>
        <w:ind w:left="0" w:leftChars="0" w:firstLine="480" w:firstLineChars="200"/>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highlight w:val="none"/>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提供</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校园</w:t>
      </w:r>
      <w:bookmarkStart w:id="48" w:name="OLE_LINK20"/>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一卡</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通刷卡或</w:t>
      </w:r>
      <w:r>
        <w:rPr>
          <w:rFonts w:hint="default"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手机</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智能支付</w:t>
      </w:r>
      <w:r>
        <w:rPr>
          <w:rFonts w:hint="default"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功能</w:t>
      </w:r>
      <w:bookmarkEnd w:id="48"/>
      <w:r>
        <w:rPr>
          <w:rFonts w:hint="default"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所有刷卡和智能支付的消费信息必须接入学校财务一卡通系统</w:t>
      </w:r>
      <w:bookmarkStart w:id="49" w:name="OLE_LINK44"/>
      <w:bookmarkStart w:id="50" w:name="OLE_LINK49"/>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（目前学院一卡通系统供应商为正元智慧品牌的一卡通）</w:t>
      </w:r>
      <w:bookmarkEnd w:id="49"/>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，消费完成后可显示单笔消费信息，所有营业额必须全部直接进入学校指定账户。</w:t>
      </w:r>
    </w:p>
    <w:bookmarkEnd w:id="50"/>
    <w:p>
      <w:pPr>
        <w:pStyle w:val="24"/>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w:t>
      </w:r>
      <w:r>
        <w:rPr>
          <w:rFonts w:hint="default" w:ascii="Times New Roman" w:hAnsi="Times New Roman" w:cs="Times New Roman"/>
          <w:b w:val="0"/>
          <w:bCs w:val="0"/>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.3信息系统及数据接口要求</w:t>
      </w:r>
    </w:p>
    <w:p>
      <w:pPr>
        <w:pStyle w:val="19"/>
        <w:ind w:left="479" w:leftChars="228" w:firstLine="0" w:firstLineChars="0"/>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highlight w:val="none"/>
          <w:lang w:val="en-US" w:eastAsia="zh-CN"/>
          <w14:textFill>
            <w14:solidFill>
              <w14:schemeClr w14:val="tx1"/>
            </w14:solidFill>
          </w14:textFill>
        </w:rPr>
        <w:t>☑消费场景智能应用要求：</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师生可通过校园一卡通或微信、支付宝等智能支</w:t>
      </w:r>
    </w:p>
    <w:p>
      <w:pPr>
        <w:pStyle w:val="19"/>
        <w:ind w:left="0" w:leftChars="0" w:firstLine="0" w:firstLineChars="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付方式扫码使用、</w:t>
      </w:r>
      <w:bookmarkStart w:id="51" w:name="OLE_LINK37"/>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在线故障报修、在线退款、在线咨询、在线投诉等功能</w:t>
      </w:r>
      <w:bookmarkEnd w:id="51"/>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，其智能支付系统接入学校一卡通系统。</w:t>
      </w:r>
    </w:p>
    <w:p>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3.</w:t>
      </w:r>
      <w:r>
        <w:rPr>
          <w:rFonts w:hint="eastAsia" w:ascii="Times New Roman" w:hAnsi="Times New Roman" w:cs="Times New Roman"/>
          <w:b/>
          <w:bCs/>
          <w:color w:val="000000" w:themeColor="text1"/>
          <w:kern w:val="2"/>
          <w:sz w:val="24"/>
          <w:szCs w:val="24"/>
          <w:lang w:val="en-US" w:eastAsia="zh-CN" w:bidi="ar-SA"/>
          <w14:textFill>
            <w14:solidFill>
              <w14:schemeClr w14:val="tx1"/>
            </w14:solidFill>
          </w14:textFill>
        </w:rPr>
        <w:t>3</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安装工程施工要求</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3.3.1</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应满足楼内学生用水高峰时段的基本需求，按照各楼状况进行具体设计，提供相应的设备安装使用的标准方案、主机配置及计算依据（包括基本工艺流程、出水水龙头数量、适合我校场地及要求的设备尺寸和设备品牌等）。</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3.3.2</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供水设备安装。涉及楼层间连接的施工，应做好防水处理，平时做好防水维修。管道线路铺设要安全、简洁、合理、美观、有序，所用材料应有卫生安全检验合格证明或卫生安全许可批件。</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3.3.3</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电气施工及安全。运行方在设备安装前负责检测并保障安装场所的电路安全负荷能力，需改线路的由运行方负责；电气控制及安全保护应符合国家标准和规范。</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3.3.4</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施工要求。运行方在安装施工过程中应采取合理的施工工艺措施，减少开挖刨掘、穿墙打洞，保护磋商人原有路面、设施、建筑物等，如有损坏应予以无偿恢复。</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3.3.5</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项目建设期：合同签订后的20个</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日历天</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内完成设备安装调试，确保设备正常使用。</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3.3.6</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中标人工程改造施工过程中必须保证施工现场安全、环境卫生清洁，不得影响校园环境和正常教学秩序，施工垃圾由中标人免费清运出校外。</w:t>
      </w:r>
    </w:p>
    <w:p>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4</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验收标准</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（1）项目竣工后设备产品原始样本技术数据、投标文件承诺的数据和实测数据一致，符合国家有关技术规范和技术标准。</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 xml:space="preserve">（2）本项目建设完毕后，中标人负责进行调试，试运行不少于七个工作日。试运行完毕，中标人应书面通知甲方进行验收，由双方确定验收日期，甲方按合同要求对设备安装和水质安全等技术指标情况进行验收。 </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（3）数据接口、支付方式验收标准：学生通过</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一卡通刷卡或</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微信、支付宝等智能支付方式扫码使用按流量计费，其智能支付系统必须接入学校财务一卡通系统。在</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师生</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的智能终端（手机）上，须实现在</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线</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扫描二维码用水、在线故障报修、在线退款、在线咨询、在线投诉等功能。</w:t>
      </w:r>
    </w:p>
    <w:p>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5</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项目运营要求</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5.1服务期限：</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3</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年。</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5.2设备的购买、安装、调试、维护、运营和交税等所有费用全部由中标人负责投资，且在此期间发生的一切意外与事故，责任均由中标人自行承担。中标人需配备专业的服务团队，每月对机器进行彻底消毒，定期对机器进行卫生清理。报修、维修时间不得超过24小时。如遇维修不好，需及时更换机器，并返还使用者费用或重新洗涤。中标人保证设备的使用安全，符合安全要求，并做好防止漏电等安全保护措施，发生任何安全事故全部由成交供应商承担赔偿等责任。</w:t>
      </w:r>
    </w:p>
    <w:p>
      <w:pPr>
        <w:pStyle w:val="24"/>
        <w:numPr>
          <w:ilvl w:val="0"/>
          <w:numId w:val="0"/>
        </w:numPr>
        <w:ind w:leftChars="0" w:firstLine="482" w:firstLineChars="200"/>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5.3一卡通安装调试费用和</w:t>
      </w:r>
      <w:bookmarkStart w:id="52" w:name="OLE_LINK48"/>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手机智能支付系统</w:t>
      </w:r>
      <w:bookmarkEnd w:id="52"/>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对接费用：</w:t>
      </w:r>
    </w:p>
    <w:p>
      <w:pPr>
        <w:pStyle w:val="24"/>
        <w:numPr>
          <w:ilvl w:val="0"/>
          <w:numId w:val="0"/>
        </w:numPr>
        <w:ind w:leftChars="0" w:firstLine="482" w:firstLineChars="200"/>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学院拟建设117台两龙头商务一体机，投标人如采用一卡通刷卡支付功能（目前学院一卡通系统供应商为正元智慧品牌的一卡通），需投入234台一卡通刷卡器，每台约550元，总计约128700元，请中标单位自行考虑一卡通刷卡支付功能的投入费用，一卡通安装调试</w:t>
      </w:r>
      <w:bookmarkStart w:id="53" w:name="OLE_LINK50"/>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产生的一切费用均由投标人自行承担。</w:t>
      </w:r>
      <w:bookmarkEnd w:id="53"/>
    </w:p>
    <w:p>
      <w:pPr>
        <w:pStyle w:val="24"/>
        <w:numPr>
          <w:ilvl w:val="0"/>
          <w:numId w:val="0"/>
        </w:numPr>
        <w:ind w:leftChars="0" w:firstLine="482"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如投标人采用手机智能支付系统，该系统必须接入学院一卡通系统（目前学院一卡通系统供应商为</w:t>
      </w:r>
      <w:bookmarkStart w:id="54" w:name="OLE_LINK55"/>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正元智慧品牌的一卡通</w:t>
      </w:r>
      <w:bookmarkEnd w:id="54"/>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），两个系统对接产生的一切费用均由投标人自行承担。</w:t>
      </w:r>
    </w:p>
    <w:p>
      <w:pPr>
        <w:pStyle w:val="19"/>
        <w:ind w:left="0" w:leftChars="0" w:firstLine="480"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4</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中标人安装的</w:t>
      </w:r>
      <w:bookmarkStart w:id="55" w:name="OLE_LINK26"/>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开水直饮水、常温直饮水</w:t>
      </w:r>
      <w:bookmarkEnd w:id="55"/>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采用流量收费。计费系统应具备</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一卡通刷卡或</w:t>
      </w:r>
      <w:r>
        <w:rPr>
          <w:rFonts w:hint="default"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手机</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微信、支付宝等智能支付功能。</w:t>
      </w:r>
    </w:p>
    <w:p>
      <w:pPr>
        <w:spacing w:line="240" w:lineRule="auto"/>
        <w:ind w:firstLine="480" w:firstLineChars="200"/>
        <w:jc w:val="both"/>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w:t>
      </w:r>
      <w:r>
        <w:rPr>
          <w:rFonts w:hint="eastAsia" w:cs="Times New Roman" w:eastAsiaTheme="minorEastAsia"/>
          <w:b w:val="0"/>
          <w:bCs w:val="0"/>
          <w:color w:val="000000" w:themeColor="text1"/>
          <w:kern w:val="2"/>
          <w:sz w:val="24"/>
          <w:szCs w:val="24"/>
          <w:lang w:val="en-US" w:eastAsia="zh-CN" w:bidi="ar-SA"/>
          <w14:textFill>
            <w14:solidFill>
              <w14:schemeClr w14:val="tx1"/>
            </w14:solidFill>
          </w14:textFill>
        </w:rPr>
        <w:t>5</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项目运行产生的所有水电费用均由中标人全额承担。</w:t>
      </w:r>
      <w:r>
        <w:rPr>
          <w:rFonts w:hint="default" w:ascii="Times New Roman" w:hAnsi="Times New Roman" w:cs="Times New Roman"/>
          <w:b/>
          <w:bCs/>
          <w:color w:val="000000" w:themeColor="text1"/>
          <w:sz w:val="24"/>
          <w:szCs w:val="24"/>
          <w:lang w:val="en-US" w:eastAsia="zh-CN"/>
          <w14:textFill>
            <w14:solidFill>
              <w14:schemeClr w14:val="tx1"/>
            </w14:solidFill>
          </w14:textFill>
        </w:rPr>
        <w:t>运营期间的水、电费用由中标人按照国家和地方水电费现行收费标准（当前电费：0.7元/度、水费：2.35元/吨；若水电费相关收费政策调整，收费也将进行相应调整）自行承担，学校每月从营业款中直接扣除。</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5.</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6</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项目运行期间严格按照上级主管部门和学校各项管理要求，按时提供自助开水直饮水机、更换滤芯等涉水产品卫生许可批件，滤芯更换记录，消毒记录等材料。</w:t>
      </w:r>
    </w:p>
    <w:p>
      <w:pPr>
        <w:pStyle w:val="19"/>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6</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设备保养、维修</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合同有效期内，中标人负责保养、维修、更换，费用由中标人承担。应建立相应的保养维修管理制度。</w:t>
      </w:r>
    </w:p>
    <w:p>
      <w:pPr>
        <w:pStyle w:val="19"/>
        <w:ind w:left="0" w:leftChars="0" w:firstLine="0" w:firstLineChars="0"/>
        <w:rPr>
          <w:rFonts w:hint="default" w:ascii="Times New Roman" w:hAnsi="Times New Roman" w:cs="Times New Roman" w:eastAsiaTheme="minorEastAsia"/>
          <w:b/>
          <w:bCs/>
          <w:i w:val="0"/>
          <w:i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i w:val="0"/>
          <w:iCs w:val="0"/>
          <w:color w:val="000000" w:themeColor="text1"/>
          <w:kern w:val="2"/>
          <w:sz w:val="24"/>
          <w:szCs w:val="24"/>
          <w:lang w:val="en-US" w:eastAsia="zh-CN" w:bidi="ar-SA"/>
          <w14:textFill>
            <w14:solidFill>
              <w14:schemeClr w14:val="tx1"/>
            </w14:solidFill>
          </w14:textFill>
        </w:rPr>
        <w:t>7</w:t>
      </w:r>
      <w:r>
        <w:rPr>
          <w:rFonts w:hint="eastAsia" w:ascii="Times New Roman" w:hAnsi="Times New Roman" w:cs="Times New Roman" w:eastAsiaTheme="minorEastAsia"/>
          <w:b/>
          <w:bCs/>
          <w:i w:val="0"/>
          <w:iCs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i w:val="0"/>
          <w:iCs w:val="0"/>
          <w:color w:val="000000" w:themeColor="text1"/>
          <w:kern w:val="2"/>
          <w:sz w:val="24"/>
          <w:szCs w:val="24"/>
          <w:lang w:val="en-US" w:eastAsia="zh-CN" w:bidi="ar-SA"/>
          <w14:textFill>
            <w14:solidFill>
              <w14:schemeClr w14:val="tx1"/>
            </w14:solidFill>
          </w14:textFill>
        </w:rPr>
        <w:t>项目移交要求</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7.1运营合同期满，所有投资设备由中标人自行拆除并运离项目现场，且保证原有基础设施完好。</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7.2合作期间如遇校园整体规划调整需要拆除、移动自助开水直饮水设备系统，无法达到规定年限，甲乙双方友好协商解决。</w:t>
      </w:r>
    </w:p>
    <w:p>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8</w:t>
      </w: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投标报价要求</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8.1投标报价包括但不限于设计、所有设备设施、材料、管路、收费设备、安装工程、装修工程以及运营期间的维修、水电费用等投资成本，所有经营、管理费用、税金利润。</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8.2运营期间，直饮水系统使用收费标准的调整</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运营期间，价格不做调整</w:t>
      </w:r>
      <w:r>
        <w:rPr>
          <w:rFonts w:hint="eastAsia"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w:t>
      </w:r>
    </w:p>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8.3本次招标限价详见下表。</w:t>
      </w:r>
    </w:p>
    <w:p>
      <w:pPr>
        <w:pStyle w:val="19"/>
        <w:ind w:left="0" w:leftChars="0" w:firstLine="0" w:firstLineChars="0"/>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招标限价</w:t>
      </w:r>
    </w:p>
    <w:tbl>
      <w:tblPr>
        <w:tblStyle w:val="25"/>
        <w:tblW w:w="4822" w:type="pct"/>
        <w:jc w:val="center"/>
        <w:tblLayout w:type="autofit"/>
        <w:tblCellMar>
          <w:top w:w="0" w:type="dxa"/>
          <w:left w:w="108" w:type="dxa"/>
          <w:bottom w:w="0" w:type="dxa"/>
          <w:right w:w="108" w:type="dxa"/>
        </w:tblCellMar>
      </w:tblPr>
      <w:tblGrid>
        <w:gridCol w:w="4215"/>
        <w:gridCol w:w="4218"/>
      </w:tblGrid>
      <w:tr>
        <w:tblPrEx>
          <w:tblCellMar>
            <w:top w:w="0" w:type="dxa"/>
            <w:left w:w="108" w:type="dxa"/>
            <w:bottom w:w="0" w:type="dxa"/>
            <w:right w:w="108" w:type="dxa"/>
          </w:tblCellMar>
        </w:tblPrEx>
        <w:trPr>
          <w:trHeight w:val="20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bookmarkStart w:id="56" w:name="OLE_LINK39" w:colFirst="0" w:colLast="1"/>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项目类别</w:t>
            </w:r>
          </w:p>
        </w:tc>
        <w:tc>
          <w:tcPr>
            <w:tcW w:w="250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限价</w:t>
            </w:r>
          </w:p>
        </w:tc>
      </w:tr>
      <w:tr>
        <w:tblPrEx>
          <w:tblCellMar>
            <w:top w:w="0" w:type="dxa"/>
            <w:left w:w="108" w:type="dxa"/>
            <w:bottom w:w="0" w:type="dxa"/>
            <w:right w:w="108" w:type="dxa"/>
          </w:tblCellMar>
        </w:tblPrEx>
        <w:trPr>
          <w:trHeight w:val="200"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管理费</w:t>
            </w:r>
          </w:p>
        </w:tc>
        <w:tc>
          <w:tcPr>
            <w:tcW w:w="2500"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最低限价：350元/台/年（暂定安装117台，最终以学校实际安装数量为准）</w:t>
            </w:r>
          </w:p>
        </w:tc>
      </w:tr>
      <w:tr>
        <w:tblPrEx>
          <w:tblCellMar>
            <w:top w:w="0" w:type="dxa"/>
            <w:left w:w="108" w:type="dxa"/>
            <w:bottom w:w="0" w:type="dxa"/>
            <w:right w:w="108" w:type="dxa"/>
          </w:tblCellMar>
        </w:tblPrEx>
        <w:trPr>
          <w:trHeight w:val="212" w:hRule="atLeast"/>
          <w:jc w:val="center"/>
        </w:trPr>
        <w:tc>
          <w:tcPr>
            <w:tcW w:w="4215" w:type="dxa"/>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开水直饮水</w:t>
            </w:r>
          </w:p>
        </w:tc>
        <w:tc>
          <w:tcPr>
            <w:tcW w:w="4218" w:type="dxa"/>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最高限价：0.12</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元/升</w:t>
            </w:r>
          </w:p>
        </w:tc>
      </w:tr>
      <w:tr>
        <w:tblPrEx>
          <w:tblCellMar>
            <w:top w:w="0" w:type="dxa"/>
            <w:left w:w="108" w:type="dxa"/>
            <w:bottom w:w="0" w:type="dxa"/>
            <w:right w:w="108" w:type="dxa"/>
          </w:tblCellMar>
        </w:tblPrEx>
        <w:trPr>
          <w:trHeight w:val="212"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bookmarkStart w:id="57" w:name="OLE_LINK47" w:colFirst="0" w:colLast="1"/>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常温直饮水</w:t>
            </w:r>
          </w:p>
        </w:tc>
        <w:tc>
          <w:tcPr>
            <w:tcW w:w="2500"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最高限价：0.12</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元/升</w:t>
            </w:r>
          </w:p>
        </w:tc>
      </w:tr>
      <w:bookmarkEnd w:id="56"/>
      <w:bookmarkEnd w:id="57"/>
    </w:tbl>
    <w:p>
      <w:pPr>
        <w:pStyle w:val="19"/>
        <w:ind w:left="0" w:leftChars="0" w:firstLine="0" w:firstLineChars="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9.</w:t>
      </w: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现场踏勘</w:t>
      </w:r>
    </w:p>
    <w:p>
      <w:pPr>
        <w:pStyle w:val="19"/>
        <w:ind w:left="0" w:leftChars="0"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投标人须自行组织现场踏勘，了解项目现场情况。踏勘现场所发生的费用由投标人自行承担。投标人未到服务现场实地踏勘的，成交后签订合同时和履约过程中，不得以不完全了解现场情况为由，提出任何形式的增加合同价款或索赔的要求。</w:t>
      </w:r>
    </w:p>
    <w:p>
      <w:pPr>
        <w:pStyle w:val="24"/>
        <w:spacing w:line="240" w:lineRule="auto"/>
        <w:ind w:left="0" w:leftChars="0" w:firstLine="480" w:firstLineChars="200"/>
        <w:rPr>
          <w:rFonts w:hint="default" w:ascii="Times New Roman" w:hAnsi="Times New Roman" w:eastAsia="宋体" w:cs="Times New Roman"/>
          <w:bCs/>
          <w:snapToGrid w:val="0"/>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现场踏勘联系人：</w:t>
      </w:r>
      <w:r>
        <w:rPr>
          <w:rFonts w:hint="default" w:ascii="Times New Roman" w:hAnsi="Times New Roman" w:eastAsia="宋体" w:cs="Times New Roman"/>
          <w:bCs/>
          <w:snapToGrid w:val="0"/>
          <w:color w:val="000000" w:themeColor="text1"/>
          <w:kern w:val="0"/>
          <w:sz w:val="24"/>
          <w:szCs w:val="24"/>
          <w:lang w:val="en-US" w:eastAsia="zh-CN" w:bidi="ar-SA"/>
          <w14:textFill>
            <w14:solidFill>
              <w14:schemeClr w14:val="tx1"/>
            </w14:solidFill>
          </w14:textFill>
        </w:rPr>
        <w:t>赵老师，电话：17719346657</w:t>
      </w:r>
    </w:p>
    <w:p>
      <w:pPr>
        <w:pStyle w:val="34"/>
        <w:ind w:firstLine="482" w:firstLineChars="200"/>
        <w:jc w:val="left"/>
        <w:rPr>
          <w:rFonts w:hint="eastAsia"/>
          <w:b/>
          <w:bCs/>
          <w:color w:val="000000" w:themeColor="text1"/>
          <w:spacing w:val="0"/>
          <w:sz w:val="24"/>
          <w:szCs w:val="24"/>
          <w14:textFill>
            <w14:solidFill>
              <w14:schemeClr w14:val="tx1"/>
            </w14:solidFill>
          </w14:textFill>
        </w:rPr>
        <w:sectPr>
          <w:pgSz w:w="11906" w:h="16838"/>
          <w:pgMar w:top="1440" w:right="1689" w:bottom="1440" w:left="1689" w:header="851" w:footer="992" w:gutter="0"/>
          <w:pgNumType w:fmt="decimal"/>
          <w:cols w:space="0" w:num="1"/>
          <w:rtlGutter w:val="0"/>
          <w:docGrid w:type="lines" w:linePitch="315" w:charSpace="0"/>
        </w:sectPr>
      </w:pPr>
    </w:p>
    <w:p>
      <w:pPr>
        <w:pStyle w:val="3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二、商务要求</w:t>
      </w:r>
      <w:bookmarkEnd w:id="26"/>
      <w:bookmarkEnd w:id="27"/>
    </w:p>
    <w:tbl>
      <w:tblPr>
        <w:tblStyle w:val="25"/>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23"/>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内容</w:t>
            </w:r>
          </w:p>
        </w:tc>
        <w:tc>
          <w:tcPr>
            <w:tcW w:w="64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1</w:t>
            </w:r>
          </w:p>
        </w:tc>
        <w:tc>
          <w:tcPr>
            <w:tcW w:w="1623" w:type="dxa"/>
            <w:tcBorders>
              <w:top w:val="single" w:color="auto" w:sz="4" w:space="0"/>
              <w:left w:val="nil"/>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服务标准</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满足采购文件及采购人要求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w:t>
            </w:r>
          </w:p>
        </w:tc>
        <w:tc>
          <w:tcPr>
            <w:tcW w:w="1623" w:type="dxa"/>
            <w:tcBorders>
              <w:top w:val="single" w:color="auto" w:sz="4" w:space="0"/>
              <w:left w:val="nil"/>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服务</w:t>
            </w:r>
            <w:r>
              <w:rPr>
                <w:rFonts w:hint="eastAsia" w:ascii="宋体" w:hAnsi="宋体"/>
                <w:b/>
                <w:bCs/>
                <w:color w:val="000000" w:themeColor="text1"/>
                <w:sz w:val="24"/>
                <w:szCs w:val="24"/>
                <w:lang w:eastAsia="zh-CN"/>
                <w14:textFill>
                  <w14:solidFill>
                    <w14:schemeClr w14:val="tx1"/>
                  </w14:solidFill>
                </w14:textFill>
              </w:rPr>
              <w:t>期限</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365日历日（采用“3+2”模式，中标后先签订3年经营服务合同，3年期满师生满意度考核达85%及以上，再续签第2年合同。合同期内中标方投资改造或建设的设备所有权及运营权归中标方所有。合同期内招标方收取管理费，本项目采用BOO模式，中标方自主经营、自负盈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3</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服务地点</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采购人</w:t>
            </w:r>
            <w:r>
              <w:rPr>
                <w:rFonts w:hint="eastAsia" w:ascii="宋体" w:hAnsi="宋体" w:cs="宋体"/>
                <w:color w:val="000000" w:themeColor="text1"/>
                <w:shd w:val="clear" w:color="auto" w:fill="FFFFFF"/>
                <w:lang w:eastAsia="zh-CN"/>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4</w:t>
            </w:r>
          </w:p>
        </w:tc>
        <w:tc>
          <w:tcPr>
            <w:tcW w:w="162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验收</w:t>
            </w:r>
          </w:p>
        </w:tc>
        <w:tc>
          <w:tcPr>
            <w:tcW w:w="641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default"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5</w:t>
            </w:r>
          </w:p>
        </w:tc>
        <w:tc>
          <w:tcPr>
            <w:tcW w:w="162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付款</w:t>
            </w:r>
          </w:p>
        </w:tc>
        <w:tc>
          <w:tcPr>
            <w:tcW w:w="641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付款人：皖北卫生职业学院</w:t>
            </w:r>
          </w:p>
          <w:p>
            <w:pPr>
              <w:spacing w:line="360" w:lineRule="auto"/>
              <w:rPr>
                <w:rFonts w:hint="eastAsia"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付款方式：</w:t>
            </w:r>
            <w:bookmarkStart w:id="58" w:name="OLE_LINK40"/>
            <w:r>
              <w:rPr>
                <w:rFonts w:hint="eastAsia" w:ascii="宋体" w:hAnsi="宋体" w:cs="Arial"/>
                <w:b/>
                <w:bCs/>
                <w:color w:val="000000" w:themeColor="text1"/>
                <w:lang w:val="en-US" w:eastAsia="zh-CN"/>
                <w14:textFill>
                  <w14:solidFill>
                    <w14:schemeClr w14:val="tx1"/>
                  </w14:solidFill>
                </w14:textFill>
              </w:rPr>
              <w:t>饮水机必须通过安装卡机或后台对接的方式接入我院校园一卡通系统，所有刷卡和扫码一卡通信息必须接入学校财务一卡通系统（目前学院一卡通系统供应商为正元智慧品牌的一卡通），消费完成后可显示单笔消费信息，所有营业额必须全部直接进入学校指定账户，校方监管审核，由总务处根据所报送营业额数据，扣除当月水电及其他需要扣除费用后财务处代为转付（中标人须出具该公司相应票据</w:t>
            </w:r>
            <w:r>
              <w:rPr>
                <w:rFonts w:hint="eastAsia" w:ascii="宋体" w:hAnsi="宋体" w:cs="宋体"/>
                <w:b/>
                <w:bCs/>
                <w:i w:val="0"/>
                <w:iCs w:val="0"/>
                <w:color w:val="000000" w:themeColor="text1"/>
                <w:szCs w:val="21"/>
                <w:lang w:val="en-US" w:eastAsia="zh-CN"/>
                <w14:textFill>
                  <w14:solidFill>
                    <w14:schemeClr w14:val="tx1"/>
                  </w14:solidFill>
                </w14:textFill>
              </w:rPr>
              <w:t>）。</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6</w:t>
            </w:r>
          </w:p>
        </w:tc>
        <w:tc>
          <w:tcPr>
            <w:tcW w:w="162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cs="Arial"/>
                <w:b/>
                <w:bCs/>
                <w:color w:val="000000" w:themeColor="text1"/>
                <w:sz w:val="24"/>
                <w:szCs w:val="24"/>
                <w:lang w:eastAsia="zh-CN"/>
                <w14:textFill>
                  <w14:solidFill>
                    <w14:schemeClr w14:val="tx1"/>
                  </w14:solidFill>
                </w14:textFill>
              </w:rPr>
              <w:t>履约保证金</w:t>
            </w:r>
          </w:p>
        </w:tc>
        <w:tc>
          <w:tcPr>
            <w:tcW w:w="641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default" w:ascii="宋体" w:hAnsi="宋体" w:cs="宋体"/>
                <w:b w:val="0"/>
                <w:bCs w:val="0"/>
                <w:i w:val="0"/>
                <w:iCs w:val="0"/>
                <w:color w:val="000000" w:themeColor="text1"/>
                <w:szCs w:val="21"/>
                <w:lang w:val="en-US" w:eastAsia="zh-CN"/>
                <w14:textFill>
                  <w14:solidFill>
                    <w14:schemeClr w14:val="tx1"/>
                  </w14:solidFill>
                </w14:textFill>
              </w:rPr>
            </w:pPr>
            <w:bookmarkStart w:id="59" w:name="OLE_LINK5"/>
            <w:r>
              <w:rPr>
                <w:rFonts w:hint="eastAsia" w:ascii="宋体" w:hAnsi="宋体" w:cs="宋体"/>
                <w:b w:val="0"/>
                <w:bCs w:val="0"/>
                <w:i w:val="0"/>
                <w:iCs w:val="0"/>
                <w:color w:val="000000" w:themeColor="text1"/>
                <w:szCs w:val="21"/>
                <w:lang w:val="en-US" w:eastAsia="zh-CN"/>
                <w14:textFill>
                  <w14:solidFill>
                    <w14:schemeClr w14:val="tx1"/>
                  </w14:solidFill>
                </w14:textFill>
              </w:rPr>
              <w:t>30000元：</w:t>
            </w:r>
            <w:r>
              <w:rPr>
                <w:rFonts w:hint="default" w:ascii="宋体" w:hAnsi="宋体" w:cs="宋体"/>
                <w:b w:val="0"/>
                <w:bCs w:val="0"/>
                <w:i w:val="0"/>
                <w:iCs w:val="0"/>
                <w:color w:val="000000" w:themeColor="text1"/>
                <w:szCs w:val="21"/>
                <w:lang w:val="en-US" w:eastAsia="zh-CN"/>
                <w14:textFill>
                  <w14:solidFill>
                    <w14:schemeClr w14:val="tx1"/>
                  </w14:solidFill>
                </w14:textFill>
              </w:rPr>
              <w:t>签订合同前向采购人履约保证金。</w:t>
            </w:r>
          </w:p>
          <w:bookmarkEnd w:id="59"/>
          <w:p>
            <w:pPr>
              <w:spacing w:line="360" w:lineRule="auto"/>
              <w:rPr>
                <w:rFonts w:hint="eastAsia"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default" w:ascii="宋体" w:hAnsi="宋体" w:eastAsia="宋体" w:cs="宋体"/>
                <w:color w:val="000000" w:themeColor="text1"/>
                <w:shd w:val="clear" w:color="auto" w:fill="FFFFFF"/>
                <w:lang w:val="en-US" w:eastAsia="zh-CN"/>
                <w14:textFill>
                  <w14:solidFill>
                    <w14:schemeClr w14:val="tx1"/>
                  </w14:solidFill>
                </w14:textFill>
              </w:rPr>
              <w:t>履约保证金形式：转账、电汇、保函。</w:t>
            </w:r>
          </w:p>
        </w:tc>
      </w:tr>
    </w:tbl>
    <w:p>
      <w:pPr>
        <w:pStyle w:val="32"/>
        <w:spacing w:line="480" w:lineRule="exact"/>
        <w:rPr>
          <w:rFonts w:hint="eastAsia" w:ascii="黑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60" w:name="_Toc511899300"/>
      <w:bookmarkEnd w:id="60"/>
      <w:bookmarkStart w:id="61" w:name="_Toc55"/>
      <w:r>
        <w:rPr>
          <w:rFonts w:hint="eastAsia" w:ascii="黑体"/>
          <w:color w:val="000000" w:themeColor="text1"/>
          <w14:textFill>
            <w14:solidFill>
              <w14:schemeClr w14:val="tx1"/>
            </w14:solidFill>
          </w14:textFill>
        </w:rPr>
        <w:t>第四章</w:t>
      </w:r>
      <w:bookmarkEnd w:id="61"/>
      <w:r>
        <w:rPr>
          <w:rFonts w:hint="eastAsia" w:ascii="黑体"/>
          <w:color w:val="000000" w:themeColor="text1"/>
          <w:lang w:eastAsia="zh-CN"/>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资格性和符合性审查</w:t>
      </w:r>
    </w:p>
    <w:p>
      <w:pPr>
        <w:pStyle w:val="6"/>
        <w:numPr>
          <w:ilvl w:val="0"/>
          <w:numId w:val="3"/>
        </w:numPr>
        <w:spacing w:before="0" w:after="0" w:line="415" w:lineRule="auto"/>
        <w:ind w:firstLine="2891" w:firstLineChars="900"/>
        <w:rPr>
          <w:rFonts w:hint="eastAsia"/>
          <w:color w:val="000000" w:themeColor="text1"/>
          <w14:textFill>
            <w14:solidFill>
              <w14:schemeClr w14:val="tx1"/>
            </w14:solidFill>
          </w14:textFill>
        </w:rPr>
      </w:pPr>
      <w:bookmarkStart w:id="62" w:name="_Toc18817"/>
      <w:bookmarkStart w:id="63" w:name="_Toc3006"/>
      <w:r>
        <w:rPr>
          <w:rFonts w:hint="eastAsia"/>
          <w:color w:val="000000" w:themeColor="text1"/>
          <w14:textFill>
            <w14:solidFill>
              <w14:schemeClr w14:val="tx1"/>
            </w14:solidFill>
          </w14:textFill>
        </w:rPr>
        <w:t>资格性审查表</w:t>
      </w:r>
      <w:bookmarkEnd w:id="62"/>
      <w:bookmarkEnd w:id="63"/>
    </w:p>
    <w:tbl>
      <w:tblPr>
        <w:tblStyle w:val="2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59"/>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127" w:type="dxa"/>
            <w:tcBorders>
              <w:bottom w:val="single" w:color="auto" w:sz="4" w:space="0"/>
            </w:tcBorders>
            <w:noWrap w:val="0"/>
            <w:vAlign w:val="center"/>
          </w:tcPr>
          <w:p>
            <w:pPr>
              <w:pStyle w:val="49"/>
              <w:pBdr>
                <w:bottom w:val="none" w:color="auto" w:sz="0" w:space="0"/>
              </w:pBdr>
              <w:snapToGrid w:val="0"/>
              <w:spacing w:line="360" w:lineRule="auto"/>
              <w:ind w:right="-10"/>
              <w:textAlignment w:val="auto"/>
              <w:rPr>
                <w:rFonts w:hint="eastAsia" w:ascii="宋体" w:hAnsi="宋体" w:cs="宋体"/>
                <w:color w:val="000000" w:themeColor="text1"/>
                <w:kern w:val="2"/>
                <w:szCs w:val="24"/>
                <w14:textFill>
                  <w14:solidFill>
                    <w14:schemeClr w14:val="tx1"/>
                  </w14:solidFill>
                </w14:textFill>
              </w:rPr>
            </w:pPr>
            <w:r>
              <w:rPr>
                <w:rFonts w:hint="eastAsia" w:ascii="宋体" w:hAnsi="宋体" w:cs="宋体"/>
                <w:color w:val="000000" w:themeColor="text1"/>
                <w:kern w:val="2"/>
                <w:szCs w:val="24"/>
                <w14:textFill>
                  <w14:solidFill>
                    <w14:schemeClr w14:val="tx1"/>
                  </w14:solidFill>
                </w14:textFill>
              </w:rPr>
              <w:t>指标名称</w:t>
            </w:r>
          </w:p>
        </w:tc>
        <w:tc>
          <w:tcPr>
            <w:tcW w:w="3459"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指标要求</w:t>
            </w:r>
          </w:p>
        </w:tc>
        <w:tc>
          <w:tcPr>
            <w:tcW w:w="2459"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127" w:type="dxa"/>
            <w:noWrap w:val="0"/>
            <w:vAlign w:val="center"/>
          </w:tcPr>
          <w:p>
            <w:pPr>
              <w:spacing w:after="50" w:line="360" w:lineRule="auto"/>
              <w:ind w:right="-1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营业执照</w:t>
            </w:r>
          </w:p>
        </w:tc>
        <w:tc>
          <w:tcPr>
            <w:tcW w:w="3459" w:type="dxa"/>
            <w:noWrap w:val="0"/>
            <w:vAlign w:val="center"/>
          </w:tcPr>
          <w:p>
            <w:pPr>
              <w:spacing w:after="50" w:line="360" w:lineRule="auto"/>
              <w:ind w:right="-1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合法有效，符合</w:t>
            </w:r>
            <w:r>
              <w:rPr>
                <w:rFonts w:hint="eastAsia" w:ascii="宋体" w:hAnsi="宋体" w:cs="宋体"/>
                <w:color w:val="000000" w:themeColor="text1"/>
                <w:sz w:val="24"/>
                <w:szCs w:val="28"/>
                <w:lang w:eastAsia="zh-CN"/>
                <w14:textFill>
                  <w14:solidFill>
                    <w14:schemeClr w14:val="tx1"/>
                  </w14:solidFill>
                </w14:textFill>
              </w:rPr>
              <w:t>磋商</w:t>
            </w:r>
            <w:r>
              <w:rPr>
                <w:rFonts w:hint="eastAsia" w:ascii="宋体" w:hAnsi="宋体" w:cs="宋体"/>
                <w:color w:val="000000" w:themeColor="text1"/>
                <w:sz w:val="24"/>
                <w:szCs w:val="28"/>
                <w14:textFill>
                  <w14:solidFill>
                    <w14:schemeClr w14:val="tx1"/>
                  </w14:solidFill>
                </w14:textFill>
              </w:rPr>
              <w:t>文件第一章要求</w:t>
            </w:r>
          </w:p>
        </w:tc>
        <w:tc>
          <w:tcPr>
            <w:tcW w:w="2459" w:type="dxa"/>
            <w:vMerge w:val="restart"/>
            <w:noWrap w:val="0"/>
            <w:vAlign w:val="center"/>
          </w:tcPr>
          <w:p>
            <w:pPr>
              <w:adjustRightInd w:val="0"/>
              <w:snapToGrid w:val="0"/>
              <w:spacing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提供有效的营业执照和税务登记证的（接受合一的证书），</w:t>
            </w:r>
            <w:r>
              <w:rPr>
                <w:rFonts w:hint="eastAsia" w:ascii="宋体" w:hAnsi="宋体" w:cs="宋体"/>
                <w:b/>
                <w:bCs/>
                <w:color w:val="000000" w:themeColor="text1"/>
                <w:szCs w:val="21"/>
                <w14:textFill>
                  <w14:solidFill>
                    <w14:schemeClr w14:val="tx1"/>
                  </w14:solidFill>
                </w14:textFill>
              </w:rPr>
              <w:t>应完整的体现出营业执照和税务登记证的全部内容。联合体</w:t>
            </w:r>
            <w:r>
              <w:rPr>
                <w:rFonts w:hint="eastAsia" w:ascii="宋体" w:hAnsi="宋体" w:cs="宋体"/>
                <w:b/>
                <w:bCs/>
                <w:color w:val="000000" w:themeColor="text1"/>
                <w:szCs w:val="21"/>
                <w:lang w:eastAsia="zh-CN"/>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采购的，联合体各方均须提供。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127" w:type="dxa"/>
            <w:noWrap w:val="0"/>
            <w:vAlign w:val="center"/>
          </w:tcPr>
          <w:p>
            <w:pPr>
              <w:spacing w:after="50" w:line="360" w:lineRule="auto"/>
              <w:ind w:right="-1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税务登记证</w:t>
            </w:r>
          </w:p>
        </w:tc>
        <w:tc>
          <w:tcPr>
            <w:tcW w:w="3459" w:type="dxa"/>
            <w:noWrap w:val="0"/>
            <w:vAlign w:val="center"/>
          </w:tcPr>
          <w:p>
            <w:pPr>
              <w:spacing w:after="50" w:line="360" w:lineRule="auto"/>
              <w:ind w:right="-1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合法有效</w:t>
            </w:r>
          </w:p>
        </w:tc>
        <w:tc>
          <w:tcPr>
            <w:tcW w:w="2459" w:type="dxa"/>
            <w:vMerge w:val="continue"/>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127" w:type="dxa"/>
            <w:noWrap w:val="0"/>
            <w:vAlign w:val="center"/>
          </w:tcPr>
          <w:p>
            <w:pPr>
              <w:spacing w:line="360" w:lineRule="auto"/>
              <w:ind w:right="-10" w:rightChars="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财务状况</w:t>
            </w:r>
          </w:p>
        </w:tc>
        <w:tc>
          <w:tcPr>
            <w:tcW w:w="3459" w:type="dxa"/>
            <w:noWrap w:val="0"/>
            <w:vAlign w:val="center"/>
          </w:tcPr>
          <w:p>
            <w:pPr>
              <w:spacing w:line="360" w:lineRule="auto"/>
              <w:ind w:right="-10" w:rightChars="0"/>
              <w:jc w:val="center"/>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color w:val="000000" w:themeColor="text1"/>
                <w14:textFill>
                  <w14:solidFill>
                    <w14:schemeClr w14:val="tx1"/>
                  </w14:solidFill>
                </w14:textFill>
              </w:rPr>
              <w:t>财务状况声明函</w:t>
            </w:r>
          </w:p>
        </w:tc>
        <w:tc>
          <w:tcPr>
            <w:tcW w:w="2459" w:type="dxa"/>
            <w:noWrap w:val="0"/>
            <w:vAlign w:val="center"/>
          </w:tcPr>
          <w:p>
            <w:pPr>
              <w:adjustRightInd w:val="0"/>
              <w:snapToGrid w:val="0"/>
              <w:spacing w:line="360" w:lineRule="auto"/>
              <w:ind w:right="-10" w:rightChars="0"/>
              <w:jc w:val="center"/>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127" w:type="dxa"/>
            <w:noWrap w:val="0"/>
            <w:vAlign w:val="center"/>
          </w:tcPr>
          <w:p>
            <w:pPr>
              <w:ind w:right="-11" w:rightChars="0"/>
              <w:jc w:val="center"/>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依法缴纳税收</w:t>
            </w:r>
          </w:p>
        </w:tc>
        <w:tc>
          <w:tcPr>
            <w:tcW w:w="3459" w:type="dxa"/>
            <w:noWrap w:val="0"/>
            <w:vAlign w:val="center"/>
          </w:tcPr>
          <w:p>
            <w:pPr>
              <w:spacing w:line="360" w:lineRule="auto"/>
              <w:ind w:right="-10" w:rightChars="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olor w:val="000000" w:themeColor="text1"/>
                <w14:textFill>
                  <w14:solidFill>
                    <w14:schemeClr w14:val="tx1"/>
                  </w14:solidFill>
                </w14:textFill>
              </w:rPr>
              <w:t>依法缴纳税收的声明函</w:t>
            </w:r>
          </w:p>
        </w:tc>
        <w:tc>
          <w:tcPr>
            <w:tcW w:w="2459" w:type="dxa"/>
            <w:noWrap w:val="0"/>
            <w:vAlign w:val="center"/>
          </w:tcPr>
          <w:p>
            <w:pPr>
              <w:adjustRightInd w:val="0"/>
              <w:snapToGrid w:val="0"/>
              <w:spacing w:line="360" w:lineRule="auto"/>
              <w:ind w:right="-10" w:rightChars="0"/>
              <w:jc w:val="center"/>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127" w:type="dxa"/>
            <w:noWrap w:val="0"/>
            <w:vAlign w:val="center"/>
          </w:tcPr>
          <w:p>
            <w:pPr>
              <w:spacing w:line="360" w:lineRule="exact"/>
              <w:ind w:right="-11" w:rightChars="0"/>
              <w:jc w:val="center"/>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依法缴纳社会保障资金</w:t>
            </w:r>
          </w:p>
        </w:tc>
        <w:tc>
          <w:tcPr>
            <w:tcW w:w="3459" w:type="dxa"/>
            <w:noWrap w:val="0"/>
            <w:vAlign w:val="center"/>
          </w:tcPr>
          <w:p>
            <w:pPr>
              <w:spacing w:line="360" w:lineRule="auto"/>
              <w:ind w:right="-10" w:rightChars="0"/>
              <w:jc w:val="center"/>
              <w:rPr>
                <w:rFonts w:hint="eastAsia" w:ascii="宋体" w:hAnsi="宋体" w:cs="宋体"/>
                <w:bCs/>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依法缴纳社会保障资金的声明函</w:t>
            </w:r>
          </w:p>
        </w:tc>
        <w:tc>
          <w:tcPr>
            <w:tcW w:w="2459" w:type="dxa"/>
            <w:noWrap w:val="0"/>
            <w:vAlign w:val="center"/>
          </w:tcPr>
          <w:p>
            <w:pPr>
              <w:adjustRightInd w:val="0"/>
              <w:snapToGrid w:val="0"/>
              <w:spacing w:line="360" w:lineRule="auto"/>
              <w:ind w:right="-10" w:rightChars="0"/>
              <w:jc w:val="center"/>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127" w:type="dxa"/>
            <w:noWrap w:val="0"/>
            <w:vAlign w:val="center"/>
          </w:tcPr>
          <w:p>
            <w:pPr>
              <w:spacing w:line="360" w:lineRule="exact"/>
              <w:ind w:right="-11" w:rightChars="0"/>
              <w:jc w:val="center"/>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具备履行合同所必须的设备和专业技术能力</w:t>
            </w:r>
          </w:p>
        </w:tc>
        <w:tc>
          <w:tcPr>
            <w:tcW w:w="3459" w:type="dxa"/>
            <w:noWrap w:val="0"/>
            <w:vAlign w:val="center"/>
          </w:tcPr>
          <w:p>
            <w:pPr>
              <w:spacing w:line="360" w:lineRule="auto"/>
              <w:ind w:right="-10" w:rightChars="0"/>
              <w:jc w:val="center"/>
              <w:rPr>
                <w:rFonts w:hint="eastAsia" w:ascii="宋体" w:hAnsi="宋体" w:cs="宋体"/>
                <w:color w:val="000000" w:themeColor="text1"/>
                <w:sz w:val="24"/>
                <w:szCs w:val="28"/>
                <w14:textFill>
                  <w14:solidFill>
                    <w14:schemeClr w14:val="tx1"/>
                  </w14:solidFill>
                </w14:textFill>
              </w:rPr>
            </w:pPr>
            <w:r>
              <w:rPr>
                <w:rFonts w:hint="eastAsia" w:ascii="宋体" w:hAnsi="宋体"/>
                <w:color w:val="000000" w:themeColor="text1"/>
                <w14:textFill>
                  <w14:solidFill>
                    <w14:schemeClr w14:val="tx1"/>
                  </w14:solidFill>
                </w14:textFill>
              </w:rPr>
              <w:t>具备履行合同所必须的设备和专业技术能力声明函</w:t>
            </w:r>
          </w:p>
        </w:tc>
        <w:tc>
          <w:tcPr>
            <w:tcW w:w="2459" w:type="dxa"/>
            <w:noWrap w:val="0"/>
            <w:vAlign w:val="center"/>
          </w:tcPr>
          <w:p>
            <w:pPr>
              <w:adjustRightInd w:val="0"/>
              <w:snapToGrid w:val="0"/>
              <w:spacing w:line="360" w:lineRule="auto"/>
              <w:ind w:right="-10" w:rightChars="0"/>
              <w:jc w:val="center"/>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127" w:type="dxa"/>
            <w:noWrap w:val="0"/>
            <w:vAlign w:val="center"/>
          </w:tcPr>
          <w:p>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保证金</w:t>
            </w:r>
          </w:p>
        </w:tc>
        <w:tc>
          <w:tcPr>
            <w:tcW w:w="3459" w:type="dxa"/>
            <w:noWrap w:val="0"/>
            <w:vAlign w:val="center"/>
          </w:tcPr>
          <w:p>
            <w:pPr>
              <w:spacing w:after="50" w:line="360" w:lineRule="auto"/>
              <w:ind w:right="-1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w:t>
            </w: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文件</w:t>
            </w:r>
            <w:r>
              <w:rPr>
                <w:rFonts w:hint="eastAsia" w:ascii="宋体" w:hAnsi="宋体" w:cs="宋体"/>
                <w:color w:val="000000" w:themeColor="text1"/>
                <w:szCs w:val="21"/>
                <w:lang w:eastAsia="zh-CN"/>
                <w14:textFill>
                  <w14:solidFill>
                    <w14:schemeClr w14:val="tx1"/>
                  </w14:solidFill>
                </w14:textFill>
              </w:rPr>
              <w:t>前附表需求</w:t>
            </w:r>
          </w:p>
        </w:tc>
        <w:tc>
          <w:tcPr>
            <w:tcW w:w="2459" w:type="dxa"/>
            <w:noWrap w:val="0"/>
            <w:vAlign w:val="center"/>
          </w:tcPr>
          <w:p>
            <w:pPr>
              <w:adjustRightInd w:val="0"/>
              <w:snapToGrid w:val="0"/>
              <w:spacing w:line="360" w:lineRule="auto"/>
              <w:ind w:right="-1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磋商保证金承诺函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8 </w:t>
            </w:r>
          </w:p>
        </w:tc>
        <w:tc>
          <w:tcPr>
            <w:tcW w:w="2127" w:type="dxa"/>
            <w:noWrap w:val="0"/>
            <w:vAlign w:val="center"/>
          </w:tcPr>
          <w:p>
            <w:pPr>
              <w:spacing w:after="50" w:line="360" w:lineRule="auto"/>
              <w:ind w:right="-10"/>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投标情况</w:t>
            </w:r>
          </w:p>
        </w:tc>
        <w:tc>
          <w:tcPr>
            <w:tcW w:w="3459" w:type="dxa"/>
            <w:noWrap w:val="0"/>
            <w:vAlign w:val="center"/>
          </w:tcPr>
          <w:p>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供应商须在学校进行报名，否则其递交的投标响应文件将被视为无效</w:t>
            </w:r>
          </w:p>
        </w:tc>
        <w:tc>
          <w:tcPr>
            <w:tcW w:w="245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127" w:type="dxa"/>
            <w:noWrap w:val="0"/>
            <w:vAlign w:val="center"/>
          </w:tcPr>
          <w:p>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法定代表人授权委托书和身份证明书</w:t>
            </w:r>
          </w:p>
        </w:tc>
        <w:tc>
          <w:tcPr>
            <w:tcW w:w="3459" w:type="dxa"/>
            <w:noWrap w:val="0"/>
            <w:vAlign w:val="center"/>
          </w:tcPr>
          <w:p>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w:t>
            </w: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文件要求</w:t>
            </w:r>
          </w:p>
        </w:tc>
        <w:tc>
          <w:tcPr>
            <w:tcW w:w="2459" w:type="dxa"/>
            <w:noWrap w:val="0"/>
            <w:vAlign w:val="center"/>
          </w:tcPr>
          <w:p>
            <w:pPr>
              <w:adjustRightInd w:val="0"/>
              <w:snapToGrid w:val="0"/>
              <w:spacing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法人代表参加</w:t>
            </w: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0</w:t>
            </w:r>
          </w:p>
        </w:tc>
        <w:tc>
          <w:tcPr>
            <w:tcW w:w="2127" w:type="dxa"/>
            <w:noWrap w:val="0"/>
            <w:vAlign w:val="center"/>
          </w:tcPr>
          <w:p>
            <w:pPr>
              <w:spacing w:after="50" w:line="360" w:lineRule="auto"/>
              <w:ind w:right="-1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w:t>
            </w:r>
            <w:r>
              <w:rPr>
                <w:rFonts w:hint="eastAsia" w:ascii="宋体" w:hAnsi="宋体" w:cs="宋体"/>
                <w:color w:val="000000" w:themeColor="text1"/>
                <w:szCs w:val="21"/>
                <w:lang w:eastAsia="zh-CN"/>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采购</w:t>
            </w:r>
          </w:p>
        </w:tc>
        <w:tc>
          <w:tcPr>
            <w:tcW w:w="3459" w:type="dxa"/>
            <w:noWrap w:val="0"/>
            <w:vAlign w:val="center"/>
          </w:tcPr>
          <w:p>
            <w:pPr>
              <w:spacing w:after="50" w:line="360" w:lineRule="auto"/>
              <w:ind w:right="-1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符合第一章供应商资格要求</w:t>
            </w:r>
          </w:p>
        </w:tc>
        <w:tc>
          <w:tcPr>
            <w:tcW w:w="2459" w:type="dxa"/>
            <w:noWrap w:val="0"/>
            <w:vAlign w:val="center"/>
          </w:tcPr>
          <w:p>
            <w:pPr>
              <w:adjustRightInd w:val="0"/>
              <w:snapToGrid w:val="0"/>
              <w:spacing w:line="360" w:lineRule="auto"/>
              <w:ind w:right="-1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1</w:t>
            </w:r>
          </w:p>
        </w:tc>
        <w:tc>
          <w:tcPr>
            <w:tcW w:w="2127" w:type="dxa"/>
            <w:noWrap w:val="0"/>
            <w:vAlign w:val="center"/>
          </w:tcPr>
          <w:p>
            <w:pPr>
              <w:spacing w:line="360" w:lineRule="auto"/>
              <w:ind w:right="-1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信誉要求</w:t>
            </w:r>
          </w:p>
        </w:tc>
        <w:tc>
          <w:tcPr>
            <w:tcW w:w="3459" w:type="dxa"/>
            <w:noWrap w:val="0"/>
            <w:vAlign w:val="center"/>
          </w:tcPr>
          <w:p>
            <w:pPr>
              <w:spacing w:line="400" w:lineRule="exact"/>
              <w:ind w:right="-11"/>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符合</w:t>
            </w:r>
            <w:r>
              <w:rPr>
                <w:rFonts w:hint="eastAsia" w:ascii="宋体" w:hAnsi="宋体" w:cs="宋体"/>
                <w:b/>
                <w:bCs/>
                <w:color w:val="000000" w:themeColor="text1"/>
                <w:szCs w:val="21"/>
                <w14:textFill>
                  <w14:solidFill>
                    <w14:schemeClr w14:val="tx1"/>
                  </w14:solidFill>
                </w14:textFill>
              </w:rPr>
              <w:t>竞争性</w:t>
            </w:r>
            <w:r>
              <w:rPr>
                <w:rFonts w:hint="eastAsia" w:ascii="宋体" w:hAnsi="宋体" w:cs="宋体"/>
                <w:b/>
                <w:bCs/>
                <w:color w:val="000000" w:themeColor="text1"/>
                <w:szCs w:val="21"/>
                <w:lang w:eastAsia="zh-CN"/>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公告第二.3条要求</w:t>
            </w:r>
          </w:p>
        </w:tc>
        <w:tc>
          <w:tcPr>
            <w:tcW w:w="2459" w:type="dxa"/>
            <w:noWrap w:val="0"/>
            <w:vAlign w:val="center"/>
          </w:tcPr>
          <w:p>
            <w:pPr>
              <w:adjustRightInd w:val="0"/>
              <w:snapToGrid w:val="0"/>
              <w:spacing w:line="360" w:lineRule="auto"/>
              <w:ind w:right="-1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按</w:t>
            </w:r>
            <w:r>
              <w:rPr>
                <w:rFonts w:hint="eastAsia" w:ascii="宋体" w:hAnsi="宋体" w:cs="宋体"/>
                <w:b/>
                <w:bCs/>
                <w:color w:val="000000" w:themeColor="text1"/>
                <w:szCs w:val="21"/>
                <w:lang w:eastAsia="zh-CN"/>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公告第二.3条要求提供相关资料（网站查询结果</w:t>
            </w:r>
            <w:r>
              <w:rPr>
                <w:rFonts w:hint="eastAsia" w:ascii="宋体" w:hAnsi="宋体" w:cs="宋体"/>
                <w:b/>
                <w:bCs/>
                <w:color w:val="000000" w:themeColor="text1"/>
                <w:szCs w:val="21"/>
                <w:lang w:eastAsia="zh-CN"/>
                <w14:textFill>
                  <w14:solidFill>
                    <w14:schemeClr w14:val="tx1"/>
                  </w14:solidFill>
                </w14:textFill>
              </w:rPr>
              <w:t>截图</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lang w:eastAsia="zh-CN"/>
                <w14:textFill>
                  <w14:solidFill>
                    <w14:schemeClr w14:val="tx1"/>
                  </w14:solidFill>
                </w14:textFill>
              </w:rPr>
              <w:t>附于投标文件内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w:t>
            </w:r>
          </w:p>
        </w:tc>
        <w:tc>
          <w:tcPr>
            <w:tcW w:w="2127" w:type="dxa"/>
            <w:noWrap w:val="0"/>
            <w:vAlign w:val="center"/>
          </w:tcPr>
          <w:p>
            <w:pPr>
              <w:spacing w:line="360" w:lineRule="auto"/>
              <w:ind w:right="-1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无行贿犯罪记录承诺函</w:t>
            </w:r>
          </w:p>
        </w:tc>
        <w:tc>
          <w:tcPr>
            <w:tcW w:w="3459" w:type="dxa"/>
            <w:noWrap w:val="0"/>
            <w:vAlign w:val="center"/>
          </w:tcPr>
          <w:p>
            <w:pPr>
              <w:spacing w:line="400" w:lineRule="exact"/>
              <w:ind w:right="-11"/>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符合</w:t>
            </w:r>
            <w:r>
              <w:rPr>
                <w:rFonts w:hint="eastAsia" w:ascii="宋体" w:hAnsi="宋体" w:cs="宋体"/>
                <w:b/>
                <w:bCs/>
                <w:color w:val="000000" w:themeColor="text1"/>
                <w:szCs w:val="21"/>
                <w14:textFill>
                  <w14:solidFill>
                    <w14:schemeClr w14:val="tx1"/>
                  </w14:solidFill>
                </w14:textFill>
              </w:rPr>
              <w:t>竞争性</w:t>
            </w:r>
            <w:r>
              <w:rPr>
                <w:rFonts w:hint="eastAsia" w:ascii="宋体" w:hAnsi="宋体" w:cs="宋体"/>
                <w:b/>
                <w:bCs/>
                <w:color w:val="000000" w:themeColor="text1"/>
                <w:szCs w:val="21"/>
                <w:lang w:eastAsia="zh-CN"/>
                <w14:textFill>
                  <w14:solidFill>
                    <w14:schemeClr w14:val="tx1"/>
                  </w14:solidFill>
                </w14:textFill>
              </w:rPr>
              <w:t>磋商</w:t>
            </w:r>
            <w:r>
              <w:rPr>
                <w:rFonts w:hint="eastAsia" w:ascii="宋体" w:hAnsi="宋体" w:cs="宋体"/>
                <w:b/>
                <w:bCs/>
                <w:color w:val="000000" w:themeColor="text1"/>
                <w:szCs w:val="21"/>
                <w14:textFill>
                  <w14:solidFill>
                    <w14:schemeClr w14:val="tx1"/>
                  </w14:solidFill>
                </w14:textFill>
              </w:rPr>
              <w:t>公告第二.3条要求</w:t>
            </w:r>
          </w:p>
        </w:tc>
        <w:tc>
          <w:tcPr>
            <w:tcW w:w="2459" w:type="dxa"/>
            <w:noWrap w:val="0"/>
            <w:vAlign w:val="center"/>
          </w:tcPr>
          <w:p>
            <w:pPr>
              <w:adjustRightInd w:val="0"/>
              <w:snapToGrid w:val="0"/>
              <w:spacing w:line="360" w:lineRule="auto"/>
              <w:ind w:right="-1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提供承诺函，添加至投标文件内，格式自拟</w:t>
            </w:r>
          </w:p>
        </w:tc>
      </w:tr>
    </w:tbl>
    <w:p>
      <w:pPr>
        <w:numPr>
          <w:ilvl w:val="0"/>
          <w:numId w:val="0"/>
        </w:numPr>
        <w:rPr>
          <w:color w:val="000000" w:themeColor="text1"/>
          <w14:textFill>
            <w14:solidFill>
              <w14:schemeClr w14:val="tx1"/>
            </w14:solidFill>
          </w14:textFill>
        </w:rPr>
      </w:pPr>
    </w:p>
    <w:p>
      <w:pPr>
        <w:pStyle w:val="33"/>
        <w:ind w:firstLine="420"/>
        <w:rPr>
          <w:rFonts w:ascii="宋体" w:hAnsi="宋体"/>
          <w:color w:val="000000" w:themeColor="text1"/>
          <w14:textFill>
            <w14:solidFill>
              <w14:schemeClr w14:val="tx1"/>
            </w14:solidFill>
          </w14:textFill>
        </w:rPr>
      </w:pPr>
    </w:p>
    <w:p>
      <w:pPr>
        <w:pStyle w:val="6"/>
        <w:spacing w:before="0" w:after="0" w:line="415" w:lineRule="auto"/>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64" w:name="_Toc1833"/>
    </w:p>
    <w:p>
      <w:pPr>
        <w:pStyle w:val="6"/>
        <w:spacing w:before="0" w:after="0" w:line="415" w:lineRule="auto"/>
        <w:ind w:firstLine="2570" w:firstLineChars="800"/>
        <w:rPr>
          <w:color w:val="000000" w:themeColor="text1"/>
          <w14:textFill>
            <w14:solidFill>
              <w14:schemeClr w14:val="tx1"/>
            </w14:solidFill>
          </w14:textFill>
        </w:rPr>
      </w:pPr>
      <w:bookmarkStart w:id="65" w:name="_Toc14744"/>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、符合性审查表</w:t>
      </w:r>
      <w:bookmarkEnd w:id="64"/>
      <w:bookmarkEnd w:id="65"/>
    </w:p>
    <w:p>
      <w:pPr>
        <w:rPr>
          <w:color w:val="000000" w:themeColor="text1"/>
          <w14:textFill>
            <w14:solidFill>
              <w14:schemeClr w14:val="tx1"/>
            </w14:solidFill>
          </w14:textFill>
        </w:rPr>
      </w:pPr>
    </w:p>
    <w:tbl>
      <w:tblPr>
        <w:tblStyle w:val="2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13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技术要求响应情况</w:t>
            </w:r>
          </w:p>
        </w:tc>
        <w:tc>
          <w:tcPr>
            <w:tcW w:w="341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货物服务清单及技术要求响应</w:t>
            </w:r>
          </w:p>
        </w:tc>
        <w:tc>
          <w:tcPr>
            <w:tcW w:w="252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采购</w:t>
            </w:r>
            <w:r>
              <w:rPr>
                <w:rFonts w:hint="eastAsia"/>
                <w:color w:val="000000" w:themeColor="text1"/>
                <w14:textFill>
                  <w14:solidFill>
                    <w14:schemeClr w14:val="tx1"/>
                  </w14:solidFill>
                </w14:textFill>
              </w:rPr>
              <w:t>文件第三章</w:t>
            </w:r>
            <w:r>
              <w:rPr>
                <w:rFonts w:hint="eastAsia"/>
                <w:color w:val="000000" w:themeColor="text1"/>
                <w:lang w:eastAsia="zh-CN"/>
                <w14:textFill>
                  <w14:solidFill>
                    <w14:schemeClr w14:val="tx1"/>
                  </w14:solidFill>
                </w14:textFill>
              </w:rPr>
              <w:t>第一项</w:t>
            </w:r>
            <w:r>
              <w:rPr>
                <w:rFonts w:hint="eastAsia"/>
                <w:color w:val="000000" w:themeColor="text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13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商务要求响应情况</w:t>
            </w:r>
          </w:p>
        </w:tc>
        <w:tc>
          <w:tcPr>
            <w:tcW w:w="341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付款商务报价要求等。</w:t>
            </w:r>
          </w:p>
        </w:tc>
        <w:tc>
          <w:tcPr>
            <w:tcW w:w="252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符合投标文件第三章</w:t>
            </w:r>
            <w:r>
              <w:rPr>
                <w:rFonts w:hint="eastAsia"/>
                <w:color w:val="000000" w:themeColor="text1"/>
                <w:lang w:eastAsia="zh-CN"/>
                <w14:textFill>
                  <w14:solidFill>
                    <w14:schemeClr w14:val="tx1"/>
                  </w14:solidFill>
                </w14:textFill>
              </w:rPr>
              <w:t>第二项</w:t>
            </w:r>
            <w:r>
              <w:rPr>
                <w:rFonts w:hint="eastAsia"/>
                <w:color w:val="000000" w:themeColor="text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13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标书规范性</w:t>
            </w:r>
          </w:p>
        </w:tc>
        <w:tc>
          <w:tcPr>
            <w:tcW w:w="3419" w:type="dxa"/>
            <w:vAlign w:val="center"/>
          </w:tcPr>
          <w:p>
            <w:pPr>
              <w:pStyle w:val="1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符合投标采购文件要求（按照规定的要求进行编制、装订、标记和签署）</w:t>
            </w:r>
          </w:p>
        </w:tc>
        <w:tc>
          <w:tcPr>
            <w:tcW w:w="2529" w:type="dxa"/>
            <w:vAlign w:val="center"/>
          </w:tcPr>
          <w:p>
            <w:pPr>
              <w:pStyle w:val="11"/>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11"/>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139" w:type="dxa"/>
            <w:shd w:val="clear" w:color="auto" w:fill="auto"/>
            <w:vAlign w:val="center"/>
          </w:tcPr>
          <w:p>
            <w:pPr>
              <w:spacing w:line="460" w:lineRule="exact"/>
              <w:ind w:right="-11" w:rightChars="0"/>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磋商响应函</w:t>
            </w:r>
          </w:p>
        </w:tc>
        <w:tc>
          <w:tcPr>
            <w:tcW w:w="3419" w:type="dxa"/>
            <w:shd w:val="clear" w:color="auto" w:fill="auto"/>
            <w:vAlign w:val="center"/>
          </w:tcPr>
          <w:p>
            <w:pPr>
              <w:spacing w:line="460" w:lineRule="exact"/>
              <w:ind w:right="-11" w:rightChars="0" w:firstLine="840" w:firstLineChars="40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符合磋商文件要求</w:t>
            </w:r>
          </w:p>
        </w:tc>
        <w:tc>
          <w:tcPr>
            <w:tcW w:w="2529" w:type="dxa"/>
            <w:vAlign w:val="center"/>
          </w:tcPr>
          <w:p>
            <w:pPr>
              <w:pStyle w:val="11"/>
              <w:jc w:val="center"/>
              <w:rPr>
                <w:color w:val="000000" w:themeColor="text1"/>
                <w14:textFill>
                  <w14:solidFill>
                    <w14:schemeClr w14:val="tx1"/>
                  </w14:solidFill>
                </w14:textFill>
              </w:rPr>
            </w:pPr>
          </w:p>
        </w:tc>
      </w:tr>
    </w:tbl>
    <w:p>
      <w:pPr>
        <w:pStyle w:val="10"/>
        <w:spacing w:line="360" w:lineRule="auto"/>
        <w:ind w:right="-10"/>
        <w:rPr>
          <w:rFonts w:ascii="宋体" w:hAnsi="宋体"/>
          <w:bCs/>
          <w:color w:val="000000" w:themeColor="text1"/>
          <w:szCs w:val="21"/>
          <w14:textFill>
            <w14:solidFill>
              <w14:schemeClr w14:val="tx1"/>
            </w14:solidFill>
          </w14:textFill>
        </w:rPr>
      </w:pPr>
    </w:p>
    <w:p>
      <w:pPr>
        <w:pStyle w:val="10"/>
        <w:spacing w:line="360" w:lineRule="auto"/>
        <w:ind w:right="-10"/>
        <w:rPr>
          <w:rFonts w:ascii="宋体" w:hAnsi="宋体"/>
          <w:bCs/>
          <w:color w:val="000000" w:themeColor="text1"/>
          <w:szCs w:val="21"/>
          <w14:textFill>
            <w14:solidFill>
              <w14:schemeClr w14:val="tx1"/>
            </w14:solidFill>
          </w14:textFill>
        </w:rPr>
      </w:pPr>
    </w:p>
    <w:p>
      <w:pPr>
        <w:pStyle w:val="33"/>
        <w:ind w:left="0" w:leftChars="0" w:firstLine="0" w:firstLineChars="0"/>
        <w:rPr>
          <w:rFonts w:ascii="黑体"/>
          <w:color w:val="000000" w:themeColor="text1"/>
          <w14:textFill>
            <w14:solidFill>
              <w14:schemeClr w14:val="tx1"/>
            </w14:solidFill>
          </w14:textFill>
        </w:rPr>
      </w:pPr>
      <w:bookmarkStart w:id="66" w:name="_Toc511899301"/>
      <w:bookmarkEnd w:id="66"/>
      <w:r>
        <w:rPr>
          <w:rFonts w:hint="eastAsia"/>
          <w:color w:val="000000" w:themeColor="text1"/>
          <w14:textFill>
            <w14:solidFill>
              <w14:schemeClr w14:val="tx1"/>
            </w14:solidFill>
          </w14:textFill>
        </w:rPr>
        <w:br w:type="page"/>
      </w:r>
      <w:bookmarkStart w:id="67" w:name="_Toc511899303"/>
      <w:bookmarkEnd w:id="67"/>
    </w:p>
    <w:p>
      <w:pPr>
        <w:pStyle w:val="33"/>
        <w:numPr>
          <w:ilvl w:val="0"/>
          <w:numId w:val="4"/>
        </w:numPr>
        <w:ind w:firstLine="0" w:firstLineChars="0"/>
        <w:jc w:val="center"/>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评分办法</w:t>
      </w:r>
    </w:p>
    <w:tbl>
      <w:tblPr>
        <w:tblStyle w:val="25"/>
        <w:tblW w:w="8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1262"/>
        <w:gridCol w:w="5654"/>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条款号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条款内容</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编列内容</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分值构成（总分100分</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商务报价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部分：</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60</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分</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技术报价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部分：</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40</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分</w:t>
            </w: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cs="宋体"/>
                <w:b/>
                <w:bCs/>
                <w:i w:val="0"/>
                <w:iCs w:val="0"/>
                <w:color w:val="000000" w:themeColor="text1"/>
                <w:sz w:val="18"/>
                <w:szCs w:val="18"/>
                <w:u w:val="none"/>
                <w:lang w:val="en-US" w:eastAsia="zh-CN"/>
                <w14:textFill>
                  <w14:solidFill>
                    <w14:schemeClr w14:val="tx1"/>
                  </w14:solidFill>
                </w14:textFill>
              </w:rPr>
              <w:t>1.商务要求（60分）</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投标报价得分计算方法</w:t>
            </w:r>
          </w:p>
        </w:tc>
        <w:tc>
          <w:tcPr>
            <w:tcW w:w="5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1.投标报价分值组成</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投标报价分值满分60分，其中管理费满分30分，直饮开水报价满分15分；直饮常温水报价满分15分。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即：投标报价得分=各单项报价得分总和。</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2.管理费报价得分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最高报价得30分，低于最高有效报价者的报价分数计算下列公式计算：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报价得分=（投标报价÷最高报价）×30（保留小数点后两位数）。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注：最低报价350元/台/年，低于此报价为无效报价</w:t>
            </w:r>
            <w:bookmarkStart w:id="68" w:name="OLE_LINK29"/>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，按废标处理。</w:t>
            </w:r>
            <w:bookmarkEnd w:id="68"/>
            <w:bookmarkStart w:id="69" w:name="OLE_LINK4"/>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3.开水直饮水报价得分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最低报价得15分，高于最低有效报价者的报价分数计算下列公式计算：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报价得分=（最低报价÷投标报价）×15（保留小数点后两位数）。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注：最高报价0.12元/升，高于此报价为无效标报价，按废标处理。</w:t>
            </w:r>
          </w:p>
          <w:bookmarkEnd w:id="69"/>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4.常温直饮水报价得分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  最低报价得15分，高于最低有效报价者的报价分数计算下列公式计算：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报价得分=（最低报价÷投标报价）×15（保留小数点后两位数）。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注：最高报价0.12元/升，高于此报价为无效标报价，按废标处理。</w:t>
            </w:r>
          </w:p>
          <w:p>
            <w:pPr>
              <w:keepNext w:val="0"/>
              <w:keepLines w:val="0"/>
              <w:widowControl/>
              <w:suppressLineNumbers w:val="0"/>
              <w:spacing w:line="240" w:lineRule="auto"/>
              <w:jc w:val="left"/>
              <w:textAlignment w:val="center"/>
              <w:rPr>
                <w:rFonts w:hint="eastAsia"/>
                <w:color w:val="000000" w:themeColor="text1"/>
                <w14:textFill>
                  <w14:solidFill>
                    <w14:schemeClr w14:val="tx1"/>
                  </w14:solidFill>
                </w14:textFill>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4"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条款号</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评分因素</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评分标准</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814"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bookmarkStart w:id="70" w:name="OLE_LINK22" w:colFirst="3" w:colLast="3"/>
            <w:r>
              <w:rPr>
                <w:rFonts w:hint="eastAsia" w:ascii="宋体" w:hAnsi="宋体" w:cs="宋体"/>
                <w:b/>
                <w:bCs/>
                <w:i w:val="0"/>
                <w:iCs w:val="0"/>
                <w:color w:val="000000" w:themeColor="text1"/>
                <w:sz w:val="18"/>
                <w:szCs w:val="18"/>
                <w:u w:val="none"/>
                <w:lang w:val="en-US" w:eastAsia="zh-CN"/>
                <w14:textFill>
                  <w14:solidFill>
                    <w14:schemeClr w14:val="tx1"/>
                  </w14:solidFill>
                </w14:textFill>
              </w:rPr>
              <w:t>2.技术要求（40分）</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投标人综合能力</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1.投标人具有经中国国家认证认可监督管理委员会认证机构颁发的有效期内的质量管理体系认证证书得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2.投标人具有环境管理体系认证证书的得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3.投标人具有职业健康安全管理体系认证证书的得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注:提供以上证书复印件，同时另附证书在中国国家认证认可监督管理委员会官网查询截图，并加盖投标人公章，证书原件中标后备查。</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投标人具有自2020年1月1日以来（以合同签订时间为准）服务高校开水或直饮水经营项目的，每个业绩得1分，最高</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注：（1）同一所高校同类项目业绩只计算一个，同一所高校不同类服务项目业绩分别计算；</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2）提供与服务单位签订的合同复印件，复印件应能辨识双方公章或合同专用章标的信息；如业绩合同不能体现以上全部内容，可提供业绩合同甲方盖公章的证明复印件，否则不得分。投标人与其关联公司(单位负责人为同一人或者存在直接控股、管理关系的不同投标人)之间签订的合同，均不予认可。</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项目的设计方案</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评委根据投标人提供的项目的设计方案（</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包括</w:t>
            </w:r>
            <w:r>
              <w:rPr>
                <w:rFonts w:hint="default"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中央净化过滤系统集中制水</w:t>
            </w: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平面图、效果图、水电管网施工图等</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），进行综合评分：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1.对本项目特点和难点理解准确，有</w:t>
            </w:r>
            <w:bookmarkStart w:id="71" w:name="OLE_LINK52"/>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平面图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、效</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果图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、水电施工图</w:t>
            </w:r>
            <w:bookmarkEnd w:id="71"/>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，方案优于本项目采购需求完整详细，可行性、实用性、针对性强，得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2.对本项目特点和难点理解基本准确，有平面图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、效</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果图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、水电施工图</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，方案适合本项目采购需求，完整详细，具有可行性、实用性和针对性，得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3.对本项目特点和难点理解有待提升，无平面图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、效</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果图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、水电施工图</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，方案基本适合本项目采购需求，可行性、实用性、针对性有待改普，得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4.未提供以及提供但不能满足采购需求的不得分。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7"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投资预算及成本分析</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评委根据投标人提供的投资预算及成本分析，进行综合评分：                                  1.对本项目特点和难点理解准确，设施设备投入与设计方案相匹配，投资预算符合市场正常水平，成本分析精细准确无逻辑和计算错误，方案优于本项目采购需求完整详细，可行性、实用性、针对性强，得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对本项目特点和难点理解基本准确，设施设备投入与设计方案相匹配，投资预算符合市场正常水平，成本分析精细准确无逻辑和计算错误，方案适合本项目采购需求，完整详细，具有可行性、实用性和针对性，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3.对本项目特点和难点理解有待提升，设施设备投入与设计方案有出入，投资预算偏离市场正常水平，成本分析无逻辑和计算错误，方案基本适合本项目采购需求，可行性、实用性、针对性有待改善，得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4.未提供、或提供但不能满足采购需求的、或成本分析有错误、或投入的设施设备有明显缺失的不得分。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投标文件中需同时提供投资与收益预算表、改造投资规模预算、工期，若投入的设施设备有明显缺失，或投资预算（包含但不限于设备概算、施工概算、运营概算等，需提供每项概算的具体明细与计价）明显低于市场成本，或无相关内容的，本项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投资设备、设施品质</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1.所投饮水机的水效等级Ⅰ级（提供《中国节水产品认证证书》），得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分；水效等级Ⅱ级，得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分；净水产水率≥60%（提供第三方检测机构出具的检测报告），得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分。（最高</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2.所投饮水机自带纯水TDS检测功能且在后台可以显示实际数值的，得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分，不提供或不满足的不得分。（最高</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3.所投直饮水机产品提供涉及饮用水卫生安全产品卫生许可批件的得</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分，不提供或不满足的不得分。（最高</w:t>
            </w: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*投标文件中上述设备必须标明品牌、型号，前后必须一致，否则该项不得分。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施工方案</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据本项目制定专用设备清单、安装工程清单、施工进度计划及措施、施工组织机构、人力资源配备计划的。工程项目有施工前期准备，明确施工工期等，施工方案措施完、方法合理，内容全面的得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分，良好的得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分，一般的得1分，较差的或未提供的不得分。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2.6投资设施设备技术先进性</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评委根据投标人提供的直饮水设备相关技术参数，进行综合评分：</w:t>
            </w:r>
          </w:p>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1.所投入直饮水设备相关技术参明显数优于基本技术参数，</w:t>
            </w:r>
            <w:bookmarkStart w:id="72" w:name="OLE_LINK53"/>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且提供拟配置的制水主机、商务一体机品牌、规格、型号、数量等具体参数，以及设备的彩图。</w:t>
            </w:r>
            <w:bookmarkEnd w:id="72"/>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得3分；</w:t>
            </w:r>
          </w:p>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2.所投入直饮水设备相关技术参数满足基本技术参数，</w:t>
            </w:r>
            <w:bookmarkStart w:id="73" w:name="OLE_LINK54"/>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且提供拟配置的制水主机、商务一体机品牌、规格、型号、数量等具体参数，以及设备的彩图。</w:t>
            </w:r>
            <w:bookmarkEnd w:id="73"/>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得2分；</w:t>
            </w:r>
          </w:p>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3.所投入直饮水设备相关技术参数仅满足基本技术参数，未提供拟配置的制水主机、商务一体机品牌、规格、型号、数量等具体参数，以及设备的彩图。得1分；</w:t>
            </w:r>
          </w:p>
          <w:p>
            <w:pPr>
              <w:pStyle w:val="2"/>
              <w:keepNext w:val="0"/>
              <w:keepLines w:val="0"/>
              <w:widowControl/>
              <w:suppressLineNumbers w:val="0"/>
              <w:spacing w:line="240" w:lineRule="auto"/>
              <w:ind w:left="0" w:firstLine="0" w:firstLineChars="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4.提供但不能满足基本技术参数需求及未提供技术参数需求的不得分。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6"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2.7</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运营方案</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在建成后运营方案中针对运行管理人员配置、巡查制度、维修维护制度、处理问题时间规定，以及在满足招标文件要求前提下，细化岗位及人员分配、职能，制定后期管理相关规定。对比各投标人的后期运行管理方案进行综合评价：</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1.对本项目特点和难点理解准确，方案优于本项目采购需求，完整详细，可行性、实用性、针对性强，得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2.对本项目特点和难点理解基本准确，方案适合本项目采购需求，完整详细，具有可行性、实用性和针对性，得</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3.对本项目特点和难点理解有待提升，方案基本适合本项目采购需求，可行性、实用性、针对性有待改普，得1分；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4.未提供以及提供但不能满足采购需求的不得分。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投标人建立了完善的售后服务，能够很好的解决学生使用期间碰到的各种疑问，配置了</w:t>
            </w: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在线故障报修、在线退款、在线咨询、在线投诉等功能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，得2分。（评审依据：需提供平台截图。不提供不得分。）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814"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人员配备</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1.投标人拟派的项目经理具有大专及以上学历的得1分，具有高校服务经历6个月以上的得 1分。需提供服务高校单位盖章材料，并提供项目经理在本单位自开标之日上推六个月内任意连续三个月的社保缴费凭证，不提供以及提供但不能满足的不得分。（最高</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2.投标人拟派的维修人员具有四级（或中级）及以上电工职业技能等级证书（或职业资格证书）的，得1分；具有有效的健康证的，得1分。（最高2分）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注：①上述拟派驻人员信息需由投标人提供相关人员身份证复印件、证书复印件并加盖公章。否则不得分</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814"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增值服务</w:t>
            </w:r>
          </w:p>
        </w:tc>
        <w:tc>
          <w:tcPr>
            <w:tcW w:w="5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投标人承诺提供第三方专业检测机构出具的该项目直饮水合格检测报告(每学期至少1次)的，承诺提供者得2分。</w:t>
            </w:r>
            <w:bookmarkStart w:id="74" w:name="OLE_LINK36"/>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注：投标人需提供承诺函并加盖公章，格式自拟。否则不得分。</w:t>
            </w:r>
            <w:bookmarkEnd w:id="74"/>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w:t>
            </w: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标人须承诺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合同期内</w:t>
            </w:r>
            <w: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t>响应招标人根据现实情况提出的设备数量、改造要求及安装位置变动的要求，</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同时承诺学院职工在任何区域均免费使用，承诺提供者得2分。</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注：投标人需提供承诺函并加盖公章，格式自拟。否则不得分。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.投标人可提供勤工助学岗位的，每提供1个得1分，最多</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得2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分，勤工助学岗位津贴不得低于2025年宿州市非全日制小时最低工资标准。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注：投标人提供承诺函并加盖投标人公章，格式自拟。否则不得分。                             提示：投标人提供承诺但进场后若不能提供岗位的，招标人有权按勤工助学岗位三倍津贴标准从营业款中扣除，另行设岗。</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分</w:t>
            </w:r>
          </w:p>
        </w:tc>
      </w:tr>
      <w:bookmarkEnd w:id="70"/>
    </w:tbl>
    <w:p>
      <w:pPr>
        <w:pStyle w:val="33"/>
        <w:numPr>
          <w:ilvl w:val="0"/>
          <w:numId w:val="0"/>
        </w:numPr>
        <w:jc w:val="both"/>
        <w:rPr>
          <w:rFonts w:hint="eastAsia"/>
          <w:b/>
          <w:bCs/>
          <w:color w:val="000000" w:themeColor="text1"/>
          <w:sz w:val="32"/>
          <w:szCs w:val="32"/>
          <w14:textFill>
            <w14:solidFill>
              <w14:schemeClr w14:val="tx1"/>
            </w14:solidFill>
          </w14:textFill>
        </w:rPr>
      </w:pPr>
    </w:p>
    <w:p>
      <w:pPr>
        <w:rPr>
          <w:color w:val="000000" w:themeColor="text1"/>
          <w14:textFill>
            <w14:solidFill>
              <w14:schemeClr w14:val="tx1"/>
            </w14:solidFill>
          </w14:textFill>
        </w:rPr>
      </w:pPr>
      <w:bookmarkStart w:id="75" w:name="_Toc511899304"/>
      <w:bookmarkEnd w:id="75"/>
      <w:bookmarkStart w:id="76" w:name="_Toc28130"/>
    </w:p>
    <w:p>
      <w:pPr>
        <w:pStyle w:val="10"/>
        <w:spacing w:line="360" w:lineRule="auto"/>
        <w:ind w:right="-10"/>
        <w:rPr>
          <w:rFonts w:hint="eastAsia" w:ascii="宋体" w:hAnsi="宋体"/>
          <w:b/>
          <w:bCs/>
          <w:color w:val="000000" w:themeColor="text1"/>
          <w:sz w:val="24"/>
          <w14:textFill>
            <w14:solidFill>
              <w14:schemeClr w14:val="tx1"/>
            </w14:solidFill>
          </w14:textFill>
        </w:rPr>
      </w:pPr>
    </w:p>
    <w:p>
      <w:pPr>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77" w:name="_Toc17460"/>
    </w:p>
    <w:p>
      <w:pPr>
        <w:pStyle w:val="32"/>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第六章供应商须知</w:t>
      </w:r>
      <w:bookmarkEnd w:id="76"/>
      <w:bookmarkEnd w:id="77"/>
    </w:p>
    <w:p>
      <w:pPr>
        <w:pStyle w:val="34"/>
        <w:rPr>
          <w:color w:val="000000" w:themeColor="text1"/>
          <w14:textFill>
            <w14:solidFill>
              <w14:schemeClr w14:val="tx1"/>
            </w14:solidFill>
          </w14:textFill>
        </w:rPr>
      </w:pPr>
      <w:bookmarkStart w:id="78" w:name="_Toc511899305"/>
      <w:bookmarkEnd w:id="78"/>
      <w:bookmarkStart w:id="79" w:name="_Toc25200"/>
      <w:bookmarkStart w:id="80" w:name="_Toc31883"/>
      <w:r>
        <w:rPr>
          <w:rFonts w:hint="eastAsia"/>
          <w:color w:val="000000" w:themeColor="text1"/>
          <w14:textFill>
            <w14:solidFill>
              <w14:schemeClr w14:val="tx1"/>
            </w14:solidFill>
          </w14:textFill>
        </w:rPr>
        <w:t>一、总则</w:t>
      </w:r>
      <w:bookmarkEnd w:id="79"/>
      <w:bookmarkEnd w:id="80"/>
    </w:p>
    <w:p>
      <w:pPr>
        <w:numPr>
          <w:ilvl w:val="0"/>
          <w:numId w:val="5"/>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适用范围</w:t>
      </w:r>
    </w:p>
    <w:p>
      <w:pPr>
        <w:spacing w:line="500" w:lineRule="exact"/>
        <w:ind w:left="267" w:leftChars="127"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1.1本磋商文件仅适用于本次采购项目。</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1.2本磋商文件的最终解释权归采购单位所有。</w:t>
      </w:r>
    </w:p>
    <w:p>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2、定义</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2.1货物服务：既是指本范本适用于货物采购或服务采购，也是指货物采购所伴随的服务或服务采购中伴随的货物采购。</w:t>
      </w:r>
    </w:p>
    <w:p>
      <w:pPr>
        <w:tabs>
          <w:tab w:val="center" w:pos="4153"/>
        </w:tabs>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2.2工程：既是指本范本适用于</w:t>
      </w:r>
      <w:r>
        <w:rPr>
          <w:rFonts w:hint="eastAsia" w:ascii="宋体" w:hAnsi="宋体" w:cs="Arial"/>
          <w:color w:val="000000" w:themeColor="text1"/>
          <w14:textFill>
            <w14:solidFill>
              <w14:schemeClr w14:val="tx1"/>
            </w14:solidFill>
          </w14:textFill>
        </w:rPr>
        <w:tab/>
      </w:r>
      <w:r>
        <w:rPr>
          <w:rFonts w:hint="eastAsia" w:ascii="宋体" w:hAnsi="宋体" w:cs="Arial"/>
          <w:color w:val="000000" w:themeColor="text1"/>
          <w14:textFill>
            <w14:solidFill>
              <w14:schemeClr w14:val="tx1"/>
            </w14:solidFill>
          </w14:textFill>
        </w:rPr>
        <w:t>按照招标投标法及其实施条例必须进行招标的工程建设项目以外的</w:t>
      </w:r>
      <w:r>
        <w:rPr>
          <w:rFonts w:ascii="宋体" w:hAnsi="宋体" w:cs="Arial"/>
          <w:color w:val="000000" w:themeColor="text1"/>
          <w14:textFill>
            <w14:solidFill>
              <w14:schemeClr w14:val="tx1"/>
            </w14:solidFill>
          </w14:textFill>
        </w:rPr>
        <w:t>工程建设项目。</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2.3采购单位：是指具体负责和从事采购业务的社会中介代理机构和采购人的总称。</w:t>
      </w:r>
    </w:p>
    <w:p>
      <w:pPr>
        <w:spacing w:line="500" w:lineRule="exact"/>
        <w:ind w:firstLine="413" w:firstLineChars="19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 xml:space="preserve">3、供应商要求 </w:t>
      </w:r>
    </w:p>
    <w:p>
      <w:pPr>
        <w:spacing w:line="500" w:lineRule="exact"/>
        <w:rPr>
          <w:rFonts w:ascii="宋体" w:hAnsi="宋体" w:cs="Arial"/>
          <w:color w:val="000000" w:themeColor="text1"/>
          <w14:textFill>
            <w14:solidFill>
              <w14:schemeClr w14:val="tx1"/>
            </w14:solidFill>
          </w14:textFill>
        </w:rPr>
      </w:pPr>
      <w:bookmarkStart w:id="81" w:name="_Toc12596"/>
      <w:bookmarkEnd w:id="81"/>
      <w:bookmarkStart w:id="82" w:name="_Toc9010"/>
      <w:bookmarkEnd w:id="82"/>
      <w:bookmarkStart w:id="83" w:name="_Toc8996"/>
      <w:bookmarkEnd w:id="83"/>
      <w:r>
        <w:rPr>
          <w:rFonts w:hint="eastAsia" w:ascii="宋体" w:hAnsi="宋体" w:cs="Arial"/>
          <w:b/>
          <w:bCs/>
          <w:color w:val="000000" w:themeColor="text1"/>
          <w14:textFill>
            <w14:solidFill>
              <w14:schemeClr w14:val="tx1"/>
            </w14:solidFill>
          </w14:textFill>
        </w:rPr>
        <w:t>3.1 供应商资格要求详见竞争性磋商公告</w:t>
      </w:r>
      <w:r>
        <w:rPr>
          <w:rFonts w:hint="eastAsia" w:ascii="宋体" w:hAnsi="宋体" w:cs="Arial"/>
          <w:color w:val="000000" w:themeColor="text1"/>
          <w14:textFill>
            <w14:solidFill>
              <w14:schemeClr w14:val="tx1"/>
            </w14:solidFill>
          </w14:textFill>
        </w:rPr>
        <w:t>。</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3.2 为采购项目提供整体设计、规范编制或者项目管理、监理、检测等服务的供应商，不得再参加该采购项目的其他采购活动。</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3.3供应商存在以下不良信用记录情形之一的，不得推荐为成交候选供应商，不得确定为成交供应商：</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（1）供应商被人民法院列入失信被执行人的；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（2）供应商或其法定代表人或拟派项目经理（项目负责人）被列入行贿犯罪档案的；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（3）供应商被工商行政管理部门列入企业经营异常名录的；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（4）供应商被税务部门列入重大税收违法案件当事人名单的；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（5）供应商被政府采购监管部门列入政府采购严重违法失信行为记录名单的。</w:t>
      </w:r>
    </w:p>
    <w:p>
      <w:pPr>
        <w:wordWrap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投标截止时间。</w:t>
      </w:r>
    </w:p>
    <w:p>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情形（2）由供应商提供无行贿犯罪记录承诺函。</w:t>
      </w:r>
    </w:p>
    <w:p>
      <w:pPr>
        <w:numPr>
          <w:ilvl w:val="0"/>
          <w:numId w:val="6"/>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供应商参与磋商活动的费用</w:t>
      </w:r>
    </w:p>
    <w:p>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4.1供应商必须自行承担所有与参采购活动的有关费用。不论结果如何，采购单位在任何情况下均无义务和责任承担这些费用。</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5、保密</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参与政府采购活动的各方主体应对磋商文件和磋商响应文件中的商业和技术等秘密保密，违者应对由此造成的后果承担法律责任。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6、语言文字</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磋商及磋商响应文件使用的语言文字、</w:t>
      </w:r>
      <w:r>
        <w:rPr>
          <w:rFonts w:hint="eastAsia" w:ascii="宋体" w:hAnsi="宋体" w:cs="Arial"/>
          <w:color w:val="000000" w:themeColor="text1"/>
          <w14:textFill>
            <w14:solidFill>
              <w14:schemeClr w14:val="tx1"/>
            </w14:solidFill>
          </w14:textFill>
        </w:rPr>
        <w:t>以及供应商与采购单位就磋商相关事项的所有往来函电均须使用</w:t>
      </w:r>
      <w:r>
        <w:rPr>
          <w:rFonts w:hint="eastAsia" w:ascii="宋体" w:hAnsi="宋体"/>
          <w:color w:val="000000" w:themeColor="text1"/>
          <w14:textFill>
            <w14:solidFill>
              <w14:schemeClr w14:val="tx1"/>
            </w14:solidFill>
          </w14:textFill>
        </w:rPr>
        <w:t>简体中文（部分专用术语需使用外文的除外）。</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7、计量单位</w:t>
      </w:r>
    </w:p>
    <w:p>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8、勘察现场（供应商自行踏勘）</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采购单位根据项目的具体情况，可以组织潜在供应商现场考察或者召开开标前答疑会，但不得单独或者分别组织只有一个供应商参加的现场考察。本项目不组织。</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9、偏离</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磋商文件允许磋商响应文件偏离某些要求的，偏离应当符合磋商文件规定的偏离范围和幅度。</w:t>
      </w:r>
    </w:p>
    <w:p>
      <w:pPr>
        <w:pStyle w:val="34"/>
        <w:rPr>
          <w:color w:val="000000" w:themeColor="text1"/>
          <w14:textFill>
            <w14:solidFill>
              <w14:schemeClr w14:val="tx1"/>
            </w14:solidFill>
          </w14:textFill>
        </w:rPr>
      </w:pPr>
      <w:bookmarkStart w:id="84" w:name="_Toc511899306"/>
      <w:bookmarkEnd w:id="84"/>
      <w:bookmarkStart w:id="85" w:name="_Toc17878"/>
      <w:bookmarkStart w:id="86" w:name="_Toc27346"/>
      <w:r>
        <w:rPr>
          <w:rFonts w:hint="eastAsia"/>
          <w:color w:val="000000" w:themeColor="text1"/>
          <w14:textFill>
            <w14:solidFill>
              <w14:schemeClr w14:val="tx1"/>
            </w14:solidFill>
          </w14:textFill>
        </w:rPr>
        <w:t>二、竞争性磋商文件</w:t>
      </w:r>
      <w:bookmarkEnd w:id="85"/>
      <w:bookmarkEnd w:id="86"/>
    </w:p>
    <w:p>
      <w:pPr>
        <w:numPr>
          <w:ilvl w:val="1"/>
          <w:numId w:val="7"/>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竞争性磋商文件构成</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10.1竞争性磋商文件包括：</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第一章 竞争性磋商公告</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第二章 供应商须知前附表</w:t>
      </w:r>
    </w:p>
    <w:p>
      <w:pPr>
        <w:spacing w:line="5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第三章 项目要求</w:t>
      </w:r>
    </w:p>
    <w:p>
      <w:pPr>
        <w:spacing w:line="54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第四章 </w:t>
      </w:r>
      <w:r>
        <w:rPr>
          <w:rFonts w:hint="eastAsia" w:ascii="宋体" w:hAnsi="宋体"/>
          <w:color w:val="000000" w:themeColor="text1"/>
          <w14:textFill>
            <w14:solidFill>
              <w14:schemeClr w14:val="tx1"/>
            </w14:solidFill>
          </w14:textFill>
        </w:rPr>
        <w:t>实质性响应审查</w:t>
      </w:r>
    </w:p>
    <w:p>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第五章 评分办法</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第六章 供应商须知</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第七章 合同条款及格式</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第八章 磋商响应文件</w:t>
      </w:r>
    </w:p>
    <w:p>
      <w:pPr>
        <w:spacing w:line="500" w:lineRule="exact"/>
        <w:ind w:left="267" w:leftChars="127"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10.2供应商应认真阅读和充分理解竞争性磋商文件中所有的内容。如果其磋商响应书没有满足竞争性磋商文件的有关要求，其风险由供应商自行承担。</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11、竞争性磋商文件的澄清和修改</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11.1</w:t>
      </w:r>
      <w:r>
        <w:rPr>
          <w:rFonts w:hint="eastAsia" w:ascii="宋体" w:hAnsi="宋体" w:cs="Arial"/>
          <w:b/>
          <w:bCs/>
          <w:color w:val="000000" w:themeColor="text1"/>
          <w14:textFill>
            <w14:solidFill>
              <w14:schemeClr w14:val="tx1"/>
            </w14:solidFill>
          </w14:textFill>
        </w:rPr>
        <w:t>采购人可以对竞争性磋商文件中的有关问题进行澄清、修改。</w:t>
      </w:r>
    </w:p>
    <w:p>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11.2</w:t>
      </w:r>
      <w:r>
        <w:rPr>
          <w:rFonts w:hint="eastAsia" w:ascii="宋体" w:hAnsi="宋体"/>
          <w:color w:val="000000" w:themeColor="text1"/>
          <w14:textFill>
            <w14:solidFill>
              <w14:schemeClr w14:val="tx1"/>
            </w14:solidFill>
          </w14:textFill>
        </w:rPr>
        <w:t>采购人、代理机构或者磋商小组在提交首次磋商响应文件截止时间前可以对已发出的竞争性磋商文件进行必要的澄清或者修改，澄清或修改将在本项目公示网站上公布，但不指明问题的来源，所有潜在供应商均有义务自行查看该澄清或修改的内容。采购人、代理机构</w:t>
      </w:r>
      <w:r>
        <w:rPr>
          <w:rFonts w:hint="eastAsia" w:ascii="宋体" w:hAnsi="宋体" w:cs="Arial"/>
          <w:color w:val="000000" w:themeColor="text1"/>
          <w14:textFill>
            <w14:solidFill>
              <w14:schemeClr w14:val="tx1"/>
            </w14:solidFill>
          </w14:textFill>
        </w:rPr>
        <w:t>对竞争性磋商文件进行</w:t>
      </w:r>
      <w:r>
        <w:rPr>
          <w:rFonts w:hint="eastAsia" w:ascii="宋体" w:hAnsi="宋体"/>
          <w:color w:val="000000" w:themeColor="text1"/>
          <w14:textFill>
            <w14:solidFill>
              <w14:schemeClr w14:val="tx1"/>
            </w14:solidFill>
          </w14:textFill>
        </w:rPr>
        <w:t>澄清或者修改的内容作为磋商文件的组成部分。澄清或者修改的内容可能影响响应文件编制的，采购人或者代理机构应当在递交首次磋商响应文件截止之日5日前发布，不足</w:t>
      </w:r>
      <w:r>
        <w:rPr>
          <w:rFonts w:hint="eastAsia"/>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日的，应当顺延提交响应文件截止之日。</w:t>
      </w:r>
    </w:p>
    <w:p>
      <w:pPr>
        <w:spacing w:line="500" w:lineRule="exact"/>
        <w:ind w:firstLine="527" w:firstLineChars="250"/>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12、竞争性磋商文件</w:t>
      </w:r>
      <w:r>
        <w:rPr>
          <w:rFonts w:hint="eastAsia" w:ascii="宋体" w:hAnsi="宋体"/>
          <w:b/>
          <w:bCs/>
          <w:color w:val="000000" w:themeColor="text1"/>
          <w14:textFill>
            <w14:solidFill>
              <w14:schemeClr w14:val="tx1"/>
            </w14:solidFill>
          </w14:textFill>
        </w:rPr>
        <w:t>的质疑和答复</w:t>
      </w:r>
    </w:p>
    <w:p>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w:t>
      </w:r>
      <w:r>
        <w:rPr>
          <w:rFonts w:ascii="宋体" w:hAnsi="宋体" w:cs="Arial"/>
          <w:color w:val="000000" w:themeColor="text1"/>
          <w14:textFill>
            <w14:solidFill>
              <w14:schemeClr w14:val="tx1"/>
            </w14:solidFill>
          </w14:textFill>
        </w:rPr>
        <w:t>潜在供应商已依法获取</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文件的</w:t>
      </w:r>
      <w:r>
        <w:rPr>
          <w:rFonts w:hint="eastAsia" w:ascii="宋体" w:hAnsi="宋体" w:cs="Arial"/>
          <w:color w:val="000000" w:themeColor="text1"/>
          <w14:textFill>
            <w14:solidFill>
              <w14:schemeClr w14:val="tx1"/>
            </w14:solidFill>
          </w14:textFill>
        </w:rPr>
        <w:t>（应提供依法获取磋商文件的证明材料）</w:t>
      </w:r>
      <w:r>
        <w:rPr>
          <w:rFonts w:ascii="宋体" w:hAnsi="宋体" w:cs="Arial"/>
          <w:color w:val="000000" w:themeColor="text1"/>
          <w14:textFill>
            <w14:solidFill>
              <w14:schemeClr w14:val="tx1"/>
            </w14:solidFill>
          </w14:textFill>
        </w:rPr>
        <w:t>，可以对</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文件提出质疑。</w:t>
      </w:r>
      <w:r>
        <w:rPr>
          <w:rFonts w:hint="eastAsia" w:ascii="宋体" w:hAnsi="宋体" w:cs="Arial"/>
          <w:color w:val="000000" w:themeColor="text1"/>
          <w14:textFill>
            <w14:solidFill>
              <w14:schemeClr w14:val="tx1"/>
            </w14:solidFill>
          </w14:textFill>
        </w:rPr>
        <w:t>质疑</w:t>
      </w:r>
      <w:r>
        <w:rPr>
          <w:rFonts w:ascii="宋体" w:hAnsi="宋体" w:cs="Arial"/>
          <w:color w:val="000000" w:themeColor="text1"/>
          <w14:textFill>
            <w14:solidFill>
              <w14:schemeClr w14:val="tx1"/>
            </w14:solidFill>
          </w14:textFill>
        </w:rPr>
        <w:t>应当在获取</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文件或者</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文件公告期限届满之日起</w:t>
      </w:r>
      <w:r>
        <w:rPr>
          <w:rFonts w:ascii="Arial" w:hAnsi="Arial" w:cs="Arial"/>
          <w:color w:val="000000" w:themeColor="text1"/>
          <w14:textFill>
            <w14:solidFill>
              <w14:schemeClr w14:val="tx1"/>
            </w14:solidFill>
          </w14:textFill>
        </w:rPr>
        <w:t>7</w:t>
      </w:r>
      <w:r>
        <w:rPr>
          <w:rFonts w:ascii="宋体" w:hAnsi="宋体" w:cs="Arial"/>
          <w:color w:val="000000" w:themeColor="text1"/>
          <w14:textFill>
            <w14:solidFill>
              <w14:schemeClr w14:val="tx1"/>
            </w14:solidFill>
          </w14:textFill>
        </w:rPr>
        <w:t>个工作日内</w:t>
      </w:r>
      <w:r>
        <w:rPr>
          <w:rFonts w:hint="eastAsia" w:ascii="宋体" w:hAnsi="宋体"/>
          <w:color w:val="000000" w:themeColor="text1"/>
          <w14:textFill>
            <w14:solidFill>
              <w14:schemeClr w14:val="tx1"/>
            </w14:solidFill>
          </w14:textFill>
        </w:rPr>
        <w:t>以书面形式向采购人或代理机构提出，质疑函的内容应包括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w:t>
      </w:r>
    </w:p>
    <w:p>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12.2供应商对</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文件有质疑的，应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，采购人或代理机构不再接受同一供应商针对同一磋商文件提出的再次质疑（对同一质疑的补充除外）。</w:t>
      </w:r>
    </w:p>
    <w:p>
      <w:pPr>
        <w:pStyle w:val="36"/>
        <w:widowControl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12.3采购人或代理机构应当在收到质疑后7个工作日内作出答复。答复内容将在本项目公示网站中公布，所有获取</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文件的潜在供应商均有义务自行查看该答复内容。</w:t>
      </w:r>
    </w:p>
    <w:p>
      <w:pPr>
        <w:spacing w:line="500" w:lineRule="exact"/>
        <w:ind w:left="1365" w:hanging="735"/>
        <w:rPr>
          <w:rFonts w:ascii="宋体" w:hAnsi="宋体" w:cs="Arial"/>
          <w:color w:val="000000" w:themeColor="text1"/>
          <w14:textFill>
            <w14:solidFill>
              <w14:schemeClr w14:val="tx1"/>
            </w14:solidFill>
          </w14:textFill>
        </w:rPr>
      </w:pPr>
    </w:p>
    <w:p>
      <w:pPr>
        <w:pStyle w:val="34"/>
        <w:rPr>
          <w:color w:val="000000" w:themeColor="text1"/>
          <w14:textFill>
            <w14:solidFill>
              <w14:schemeClr w14:val="tx1"/>
            </w14:solidFill>
          </w14:textFill>
        </w:rPr>
      </w:pPr>
      <w:bookmarkStart w:id="87" w:name="_Toc511899307"/>
      <w:bookmarkEnd w:id="87"/>
      <w:bookmarkStart w:id="88" w:name="_Toc31012"/>
      <w:bookmarkStart w:id="89" w:name="_Toc20676"/>
      <w:r>
        <w:rPr>
          <w:rFonts w:hint="eastAsia"/>
          <w:color w:val="000000" w:themeColor="text1"/>
          <w14:textFill>
            <w14:solidFill>
              <w14:schemeClr w14:val="tx1"/>
            </w14:solidFill>
          </w14:textFill>
        </w:rPr>
        <w:t>三、磋商响应文件的编制</w:t>
      </w:r>
      <w:bookmarkEnd w:id="88"/>
      <w:bookmarkEnd w:id="89"/>
    </w:p>
    <w:p>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13、磋商响应文件构成</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13.1磋商响应文件应包括下列内容：</w:t>
      </w:r>
      <w:r>
        <w:rPr>
          <w:rFonts w:hint="eastAsia" w:ascii="宋体" w:hAnsi="宋体"/>
          <w:color w:val="000000" w:themeColor="text1"/>
          <w14:textFill>
            <w14:solidFill>
              <w14:schemeClr w14:val="tx1"/>
            </w14:solidFill>
          </w14:textFill>
        </w:rPr>
        <w:t>磋商响应</w:t>
      </w:r>
      <w:r>
        <w:rPr>
          <w:rFonts w:hint="eastAsia" w:ascii="宋体" w:hAnsi="宋体" w:cs="Arial"/>
          <w:color w:val="000000" w:themeColor="text1"/>
          <w14:textFill>
            <w14:solidFill>
              <w14:schemeClr w14:val="tx1"/>
            </w14:solidFill>
          </w14:textFill>
        </w:rPr>
        <w:t>函、开标一览表、项目要求响应情况表、商务要求响应情况表、本项目实施方案、资格证明文件及其他重要资料等。</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13.1.1证明供应商合格的资格文件</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应包括磋商文件要求的证明，以证明其有资格参加磋商，以及中标后有能力履行合同所必需的生产、技术、服务和财务管理等方面能力的证明文件。</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13.2供应商必须对其磋商响应文件的真实性与准确性负责。一旦中标，其磋商响应文件将作为合同的重要组成部分。 </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13.3供应商应在磋商响应文件中体现本文件要求的内容。</w:t>
      </w:r>
    </w:p>
    <w:p>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14、磋商报价</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14.1本项目只允许有一个方案、一个报价。多方案、多报价的磋商响应文件将不被接受。</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14.2开标一览表中的投标总报价应包括完成本项目的所有费用、税费等所有费用，即为履行合同的最终价格。</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14.3价格标的服务分项报价表上应清楚地标明供应商拟提供的服务或工程费用等内容，其合计价格应与开标一览表中的投标总报价保持一致。</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14.4供应商投标的货币为人民币。</w:t>
      </w:r>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15、磋商保证金</w:t>
      </w:r>
    </w:p>
    <w:p>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15.1</w:t>
      </w:r>
      <w:r>
        <w:rPr>
          <w:rFonts w:hint="eastAsia" w:ascii="宋体" w:hAnsi="宋体"/>
          <w:color w:val="000000" w:themeColor="text1"/>
          <w14:textFill>
            <w14:solidFill>
              <w14:schemeClr w14:val="tx1"/>
            </w14:solidFill>
          </w14:textFill>
        </w:rPr>
        <w:t>供应商在递交磋商响应文件的同时，应按供应商须知前附表规定的金额和形式递交磋商保证金。联合体参加磋商的，其磋商保证金由牵头人递交，并应符合供应商须知前附表的规定。</w:t>
      </w:r>
    </w:p>
    <w:p>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15.2</w:t>
      </w:r>
      <w:r>
        <w:rPr>
          <w:rFonts w:hint="eastAsia" w:ascii="宋体" w:hAnsi="宋体"/>
          <w:color w:val="000000" w:themeColor="text1"/>
          <w14:textFill>
            <w14:solidFill>
              <w14:schemeClr w14:val="tx1"/>
            </w14:solidFill>
          </w14:textFill>
        </w:rPr>
        <w:t>供应商不按供应商须知前附表要求提交磋商保证金的，其响应文件无效。</w:t>
      </w:r>
    </w:p>
    <w:p>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15.3</w:t>
      </w:r>
      <w:r>
        <w:rPr>
          <w:rFonts w:hint="eastAsia" w:ascii="宋体" w:hAnsi="宋体"/>
          <w:color w:val="000000" w:themeColor="text1"/>
          <w14:textFill>
            <w14:solidFill>
              <w14:schemeClr w14:val="tx1"/>
            </w14:solidFill>
          </w14:textFill>
        </w:rPr>
        <w:t>未成交供应商的磋商保证金应当在成交通知书发出后</w:t>
      </w:r>
      <w:r>
        <w:rPr>
          <w:rFonts w:ascii="宋体" w:hAnsi="宋体"/>
          <w:color w:val="000000" w:themeColor="text1"/>
          <w14:textFill>
            <w14:solidFill>
              <w14:schemeClr w14:val="tx1"/>
            </w14:solidFill>
          </w14:textFill>
        </w:rPr>
        <w:t>5个工作日内退还</w:t>
      </w:r>
      <w:r>
        <w:rPr>
          <w:rFonts w:hint="eastAsia" w:ascii="宋体" w:hAnsi="宋体" w:cs="Arial"/>
          <w:color w:val="000000" w:themeColor="text1"/>
          <w14:textFill>
            <w14:solidFill>
              <w14:schemeClr w14:val="tx1"/>
            </w14:solidFill>
          </w14:textFill>
        </w:rPr>
        <w:t>。</w:t>
      </w:r>
    </w:p>
    <w:p>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15.4</w:t>
      </w:r>
      <w:r>
        <w:rPr>
          <w:rFonts w:ascii="宋体" w:hAnsi="宋体"/>
          <w:color w:val="000000" w:themeColor="text1"/>
          <w14:textFill>
            <w14:solidFill>
              <w14:schemeClr w14:val="tx1"/>
            </w14:solidFill>
          </w14:textFill>
        </w:rPr>
        <w:t>成交供应商的磋商保证金应当在采购合同签订后5个工作日内退还</w:t>
      </w:r>
      <w:r>
        <w:rPr>
          <w:rFonts w:hint="eastAsia" w:ascii="宋体" w:hAnsi="宋体"/>
          <w:color w:val="000000" w:themeColor="text1"/>
          <w14:textFill>
            <w14:solidFill>
              <w14:schemeClr w14:val="tx1"/>
            </w14:solidFill>
          </w14:textFill>
        </w:rPr>
        <w:t>。</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15.5有下列情形之一的，不予退还磋商保证金：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15.5.1供应商在提交响应文件截止时间后撤回响应文件的；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15.5.2</w:t>
      </w:r>
      <w:r>
        <w:rPr>
          <w:rFonts w:ascii="宋体" w:hAnsi="宋体" w:cs="Arial"/>
          <w:color w:val="000000" w:themeColor="text1"/>
          <w14:textFill>
            <w14:solidFill>
              <w14:schemeClr w14:val="tx1"/>
            </w14:solidFill>
          </w14:textFill>
        </w:rPr>
        <w:t>供应商在响应文件中提供虚假材料的；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15.5.3</w:t>
      </w:r>
      <w:r>
        <w:rPr>
          <w:rFonts w:ascii="宋体" w:hAnsi="宋体" w:cs="Arial"/>
          <w:color w:val="000000" w:themeColor="text1"/>
          <w14:textFill>
            <w14:solidFill>
              <w14:schemeClr w14:val="tx1"/>
            </w14:solidFill>
          </w14:textFill>
        </w:rPr>
        <w:t>除因不可抗力或磋商文件认可的情形以外，成交供应商不与采购人签订合同的；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15.5.4</w:t>
      </w:r>
      <w:r>
        <w:rPr>
          <w:rFonts w:ascii="宋体" w:hAnsi="宋体" w:cs="Arial"/>
          <w:color w:val="000000" w:themeColor="text1"/>
          <w14:textFill>
            <w14:solidFill>
              <w14:schemeClr w14:val="tx1"/>
            </w14:solidFill>
          </w14:textFill>
        </w:rPr>
        <w:t>供应商与采购人、其他供应商或者采购代理机构恶意串通的；</w:t>
      </w:r>
    </w:p>
    <w:p>
      <w:pPr>
        <w:spacing w:line="500" w:lineRule="exact"/>
        <w:ind w:firstLine="525" w:firstLineChars="250"/>
        <w:rPr>
          <w:rFonts w:ascii="宋体" w:hAnsi="宋体"/>
          <w:color w:val="000000" w:themeColor="text1"/>
          <w:kern w:val="0"/>
          <w14:textFill>
            <w14:solidFill>
              <w14:schemeClr w14:val="tx1"/>
            </w14:solidFill>
          </w14:textFill>
        </w:rPr>
      </w:pPr>
      <w:r>
        <w:rPr>
          <w:rFonts w:hint="eastAsia" w:ascii="宋体" w:hAnsi="宋体" w:cs="Arial"/>
          <w:color w:val="000000" w:themeColor="text1"/>
          <w14:textFill>
            <w14:solidFill>
              <w14:schemeClr w14:val="tx1"/>
            </w14:solidFill>
          </w14:textFill>
        </w:rPr>
        <w:t>15.5.5</w:t>
      </w:r>
      <w:r>
        <w:rPr>
          <w:rFonts w:hint="eastAsia" w:ascii="宋体" w:hAnsi="宋体"/>
          <w:color w:val="000000" w:themeColor="text1"/>
          <w:kern w:val="0"/>
          <w14:textFill>
            <w14:solidFill>
              <w14:schemeClr w14:val="tx1"/>
            </w14:solidFill>
          </w14:textFill>
        </w:rPr>
        <w:t>供应商在规定的磋商有效期内撤销或修改其磋商响应文件或放弃候选供应商资格的；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15.5.6成交人在收到中标通知书后，未按磋商文件规定提交履约担保。</w:t>
      </w:r>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16、磋商有效期</w:t>
      </w:r>
    </w:p>
    <w:p>
      <w:pPr>
        <w:spacing w:line="500" w:lineRule="exact"/>
        <w:ind w:firstLine="514" w:firstLineChars="245"/>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16.1磋商有效期在“供应商须知前附表”中有明确的规定。供应商如未就此提出异议，则视同接受；如承诺的磋商有效期短于此规定时间的，将被视为非响应性投标而予以拒绝。</w:t>
      </w:r>
    </w:p>
    <w:p>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16.2在特殊情况下，采购单位可于原磋商有效期满之前，向供应商提出延长磋商有效期的要求。</w:t>
      </w:r>
      <w:r>
        <w:rPr>
          <w:rFonts w:hint="eastAsia" w:ascii="宋体" w:hAnsi="宋体"/>
          <w:color w:val="000000" w:themeColor="text1"/>
          <w14:textFill>
            <w14:solidFill>
              <w14:schemeClr w14:val="tx1"/>
            </w14:solidFill>
          </w14:textFill>
        </w:rPr>
        <w:t>供应商同意延长的，应相应延长其磋商保证金的有效期，但不得要求或被允许修改或撤销其磋商响应文件。供应商拒绝延长的</w:t>
      </w:r>
      <w:r>
        <w:rPr>
          <w:rFonts w:hint="eastAsia" w:ascii="宋体" w:hAnsi="宋体" w:cs="Arial"/>
          <w:color w:val="000000" w:themeColor="text1"/>
          <w14:textFill>
            <w14:solidFill>
              <w14:schemeClr w14:val="tx1"/>
            </w14:solidFill>
          </w14:textFill>
        </w:rPr>
        <w:t>，可以书面形式拒绝采购单位的这种要求而不失去其磋商保证金。如在规定的时间内未提出书面意见表示拒绝，将视为同意延长磋商有效期</w:t>
      </w:r>
      <w:r>
        <w:rPr>
          <w:rFonts w:hint="eastAsia" w:ascii="宋体" w:hAnsi="宋体"/>
          <w:color w:val="000000" w:themeColor="text1"/>
          <w14:textFill>
            <w14:solidFill>
              <w14:schemeClr w14:val="tx1"/>
            </w14:solidFill>
          </w14:textFill>
        </w:rPr>
        <w:t>。</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16.3在磋商有效期内，供应商撤销或修改其磋商响应文件的，应承担责任。</w:t>
      </w:r>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17、磋商响应文件签署</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17.1磋商响应文件应由供应商的法定代表人或其被授权代表正确签署。被授权代表须将法定代表人以书面形式出具的“法定代表人授权书”附在磋商响应文件中。</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17.2磋商响应文件不得行间插字、涂改或增删。如有修改错漏处，必须由供应商的法定代表人或其授权代表签字。</w:t>
      </w:r>
    </w:p>
    <w:p>
      <w:pPr>
        <w:spacing w:line="500" w:lineRule="exact"/>
        <w:rPr>
          <w:rFonts w:ascii="宋体" w:hAnsi="宋体" w:cs="Arial"/>
          <w:color w:val="000000" w:themeColor="text1"/>
          <w14:textFill>
            <w14:solidFill>
              <w14:schemeClr w14:val="tx1"/>
            </w14:solidFill>
          </w14:textFill>
        </w:rPr>
      </w:pPr>
    </w:p>
    <w:p>
      <w:pPr>
        <w:pStyle w:val="34"/>
        <w:rPr>
          <w:color w:val="000000" w:themeColor="text1"/>
          <w14:textFill>
            <w14:solidFill>
              <w14:schemeClr w14:val="tx1"/>
            </w14:solidFill>
          </w14:textFill>
        </w:rPr>
      </w:pPr>
      <w:bookmarkStart w:id="90" w:name="_Toc511899308"/>
      <w:bookmarkEnd w:id="90"/>
      <w:bookmarkStart w:id="91" w:name="_Toc9389"/>
      <w:bookmarkStart w:id="92" w:name="_Toc26763"/>
      <w:r>
        <w:rPr>
          <w:rFonts w:hint="eastAsia"/>
          <w:color w:val="000000" w:themeColor="text1"/>
          <w14:textFill>
            <w14:solidFill>
              <w14:schemeClr w14:val="tx1"/>
            </w14:solidFill>
          </w14:textFill>
        </w:rPr>
        <w:t>四、磋商响应文件的提交</w:t>
      </w:r>
      <w:bookmarkEnd w:id="91"/>
      <w:bookmarkEnd w:id="92"/>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18、磋商响应文件的封装</w:t>
      </w:r>
    </w:p>
    <w:p>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18.1</w:t>
      </w:r>
      <w:r>
        <w:rPr>
          <w:rFonts w:hint="eastAsia" w:ascii="宋体" w:hAnsi="宋体" w:cs="Arial"/>
          <w:b/>
          <w:bCs/>
          <w:color w:val="000000" w:themeColor="text1"/>
          <w14:textFill>
            <w14:solidFill>
              <w14:schemeClr w14:val="tx1"/>
            </w14:solidFill>
          </w14:textFill>
        </w:rPr>
        <w:t>磋商响应文件(纸质版)应胶装装订，封面加盖公章。密封包装，在封套的封口处（也可加贴封条）加盖供应商公章及法定代表人签名或盖章（或代理人签名）。</w:t>
      </w:r>
      <w:r>
        <w:rPr>
          <w:rFonts w:hint="eastAsia" w:ascii="宋体" w:hAnsi="宋体" w:cs="Arial"/>
          <w:color w:val="000000" w:themeColor="text1"/>
          <w14:textFill>
            <w14:solidFill>
              <w14:schemeClr w14:val="tx1"/>
            </w14:solidFill>
          </w14:textFill>
        </w:rPr>
        <w:t>磋商响应文件包装袋上必须清楚写明项目的名称、项目编号及供应商全称。</w:t>
      </w:r>
    </w:p>
    <w:p>
      <w:pPr>
        <w:spacing w:before="93" w:after="93" w:line="540" w:lineRule="exact"/>
        <w:ind w:left="359" w:leftChars="171" w:firstLine="211" w:firstLineChars="1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19、磋商响应文件的递交</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19.1供应商应按供应商须知前附表中规定的截止时间前递交磋商响应文件。</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19.2供应商递交磋商响应文件的地点：详见供应商须知前附表。</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19.3供应商所递交的磋商响应文件在磋商开始后不予退还。</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19.4采购单位收到磋商响应文件后，应及时登记并由供应商签字确认。</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19.5有下列情形之一的，</w:t>
      </w:r>
      <w:r>
        <w:rPr>
          <w:rFonts w:hint="eastAsia" w:ascii="宋体" w:hAnsi="宋体" w:cs="Arial"/>
          <w:b/>
          <w:bCs/>
          <w:color w:val="000000" w:themeColor="text1"/>
          <w14:textFill>
            <w14:solidFill>
              <w14:schemeClr w14:val="tx1"/>
            </w14:solidFill>
          </w14:textFill>
        </w:rPr>
        <w:t>采购人将不予受理</w:t>
      </w:r>
      <w:r>
        <w:rPr>
          <w:rFonts w:hint="eastAsia" w:ascii="宋体" w:hAnsi="宋体" w:cs="Arial"/>
          <w:color w:val="000000" w:themeColor="text1"/>
          <w14:textFill>
            <w14:solidFill>
              <w14:schemeClr w14:val="tx1"/>
            </w14:solidFill>
          </w14:textFill>
        </w:rPr>
        <w:t>：</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19.5.1逾期送达的或者未送达指定地点的磋商响应文件。</w:t>
      </w:r>
    </w:p>
    <w:p>
      <w:pPr>
        <w:spacing w:line="54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19.5.2未按本文件18.1、18.2条的要求密封和加写标记的磋商响应文件。</w:t>
      </w:r>
    </w:p>
    <w:p>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20、磋商响应文件的修改和撤回</w:t>
      </w:r>
    </w:p>
    <w:p>
      <w:pPr>
        <w:pStyle w:val="36"/>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20.1在供应商须知前附表规定的磋商响应文件递交截止时间前，供应商可以修改或撤回已递交的磋商响应文件，但应以书面形式通知采购人。</w:t>
      </w:r>
    </w:p>
    <w:p>
      <w:pPr>
        <w:pStyle w:val="36"/>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20.2供应商修改或撤回已递交磋商响应文件的书面通知应按照本文件第17条的要求签字或盖章。</w:t>
      </w:r>
    </w:p>
    <w:p>
      <w:pPr>
        <w:pStyle w:val="36"/>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20.3供应商撤回磋商响应文件的，受托人自收到供应商书面撤回通知之日起5个工作日内退还已收取的磋商保证金。</w:t>
      </w:r>
    </w:p>
    <w:p>
      <w:pPr>
        <w:pStyle w:val="36"/>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20.4修改的内容为磋商响应文件的组成部分。修改的磋商响应文件应按照本文件的要求进行编制、密封、标记和递交，并标明“修改”字样。</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21、联合体参加磋商（本项目不适用）</w:t>
      </w:r>
    </w:p>
    <w:p>
      <w:pPr>
        <w:spacing w:before="93" w:after="93" w:line="540" w:lineRule="exact"/>
        <w:ind w:firstLine="567" w:firstLineChars="27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由两家或两家以上供应商组成的联合体参与磋商时，应满足以下要求;</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21.1联合体成员除必须满足供应商资格的要求外，如本项目还有其他特定条件的，联合体各方中至少有一方符合特定的条件。</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21.2联合体应签订联合体协议，明确各方承担的职责和相应的责任，并授权其中的一个成员作为磋商代表，具体进行磋商、签署磋商响应文件、签订合同等事务。联合体协议应作为磋商响应文件的一部分。</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21.3联合体代表应能全权处理磋商过程中的有关问题。一旦成为成交供应商，该联合体代表应负责签订合同并负责合同的全面实施，包括合同款项的收付。</w:t>
      </w:r>
    </w:p>
    <w:p>
      <w:pPr>
        <w:spacing w:line="50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21.4联合体各方不得再以自己的名义单独参与同一项目磋商，也不得再组成新的联合体参与同一项目中的磋商。</w:t>
      </w:r>
    </w:p>
    <w:p>
      <w:pPr>
        <w:spacing w:line="500" w:lineRule="exact"/>
        <w:rPr>
          <w:rFonts w:ascii="宋体" w:hAnsi="宋体" w:cs="Arial"/>
          <w:color w:val="000000" w:themeColor="text1"/>
          <w14:textFill>
            <w14:solidFill>
              <w14:schemeClr w14:val="tx1"/>
            </w14:solidFill>
          </w14:textFill>
        </w:rPr>
      </w:pPr>
    </w:p>
    <w:p>
      <w:pPr>
        <w:pStyle w:val="34"/>
        <w:rPr>
          <w:color w:val="000000" w:themeColor="text1"/>
          <w14:textFill>
            <w14:solidFill>
              <w14:schemeClr w14:val="tx1"/>
            </w14:solidFill>
          </w14:textFill>
        </w:rPr>
      </w:pPr>
      <w:bookmarkStart w:id="93" w:name="_Toc511899309"/>
      <w:bookmarkEnd w:id="93"/>
      <w:bookmarkStart w:id="94" w:name="_Toc28816"/>
      <w:bookmarkStart w:id="95" w:name="_Toc30695"/>
      <w:r>
        <w:rPr>
          <w:rFonts w:hint="eastAsia"/>
          <w:color w:val="000000" w:themeColor="text1"/>
          <w14:textFill>
            <w14:solidFill>
              <w14:schemeClr w14:val="tx1"/>
            </w14:solidFill>
          </w14:textFill>
        </w:rPr>
        <w:t>五、磋商与评审</w:t>
      </w:r>
      <w:bookmarkEnd w:id="94"/>
      <w:bookmarkEnd w:id="95"/>
    </w:p>
    <w:p>
      <w:pPr>
        <w:spacing w:line="360" w:lineRule="auto"/>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22、磋商</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22.1采购单位将在“供应商须知前附表”规定的时间和地点组织磋商。</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w:t>
      </w:r>
      <w:r>
        <w:rPr>
          <w:rFonts w:hint="eastAsia" w:ascii="宋体" w:hAnsi="宋体" w:cs="Arial"/>
          <w:color w:val="000000" w:themeColor="text1"/>
          <w14:textFill>
            <w14:solidFill>
              <w14:schemeClr w14:val="tx1"/>
            </w14:solidFill>
          </w14:textFill>
        </w:rPr>
        <w:t>采购单位按规定组成三人或以上的磋商小组。</w:t>
      </w: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pPr>
        <w:spacing w:line="360" w:lineRule="auto"/>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磋商小组成员有下列情形之一的，应当回避：</w:t>
      </w:r>
    </w:p>
    <w:p>
      <w:pPr>
        <w:pStyle w:val="36"/>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（1）参加采购活动前三年内，与供应商存在劳动关系，或者担任过供应商的董事、监事，或者是供应商的控股股东或实际控制人；</w:t>
      </w:r>
    </w:p>
    <w:p>
      <w:pPr>
        <w:pStyle w:val="36"/>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）与供应商的法定代表人或者负责人有夫妻、直系血亲、三代以内旁系血亲或者近姻亲关系；</w:t>
      </w:r>
    </w:p>
    <w:p>
      <w:pPr>
        <w:pStyle w:val="36"/>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）与供应商有其他可能影响政府采购活动公平、公正进行的关系。</w:t>
      </w:r>
    </w:p>
    <w:p>
      <w:pPr>
        <w:pStyle w:val="36"/>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另外，磋商小组成员</w:t>
      </w:r>
      <w:r>
        <w:rPr>
          <w:rFonts w:ascii="宋体" w:hAnsi="宋体"/>
          <w:color w:val="000000" w:themeColor="text1"/>
          <w14:textFill>
            <w14:solidFill>
              <w14:schemeClr w14:val="tx1"/>
            </w14:solidFill>
          </w14:textFill>
        </w:rPr>
        <w:t>发现本人与参加采购活动的供应商有利害关系的，应当主动提出回避。采购人或者采购代理机构发现评审专家与参加采购活动的供应商有利害关系的，应当要求其回避。</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22.3竞争性磋商活动采用综合评分法评审。</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22.4为保证磋商活动顺利进行，供应商可派相关技术人员进行现场答疑。</w:t>
      </w:r>
    </w:p>
    <w:p>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23、评审</w:t>
      </w:r>
    </w:p>
    <w:p>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23.1实质性响应审查。（详见第四章）</w:t>
      </w:r>
    </w:p>
    <w:p>
      <w:pPr>
        <w:spacing w:line="360" w:lineRule="auto"/>
        <w:ind w:firstLine="42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23.2综合评审。（评分办法详见第五章）</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磋商小组只对实质上响应磋商文件要求的磋商响应文件按照评分细则进行综合评审。</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23.2.1各供应商通过抽签方式随机产生磋商排列顺序，磋商小组将按顺序分别与供应商就商务技术内容进行磋商并进行商务技术评分。</w:t>
      </w:r>
    </w:p>
    <w:p>
      <w:pPr>
        <w:spacing w:line="360" w:lineRule="auto"/>
        <w:ind w:firstLine="411" w:firstLineChars="196"/>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bCs/>
          <w:color w:val="000000" w:themeColor="text1"/>
          <w14:textFill>
            <w14:solidFill>
              <w14:schemeClr w14:val="tx1"/>
            </w14:solidFill>
          </w14:textFill>
        </w:rPr>
        <w:t>在磋商内容不做实质性变更及重大调整的前提下，供应商下轮报价不得高于上一轮报价。</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23.2.3磋商小组将供应商的商务技术分和价格分汇总后得到供应商的最终评审得分，按照最终评审得分由高到低推荐成交候选人。</w:t>
      </w:r>
    </w:p>
    <w:p>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最终评审得分出现两家或两家以上相同者，按最后报价由低到高排序确定成交候选供应商；评审总得分且最后报价相同的供应商，按照技术指标优劣顺序推荐。</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pPr>
        <w:spacing w:line="500" w:lineRule="exact"/>
        <w:ind w:firstLine="315" w:firstLineChars="150"/>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24、异常情况处理</w:t>
      </w:r>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24.1磋商时出现以下情况之一的，将重新组织磋商：</w:t>
      </w:r>
    </w:p>
    <w:p>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1）供应商的报价均超过了采购预算，经过多轮磋商仍不能降到预算内、且采购人不能支付的；</w:t>
      </w:r>
    </w:p>
    <w:p>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2）经过磋商，供应商所提供的货物服务仍无法满足磋商文件实质性要求、影响工作的；</w:t>
      </w:r>
    </w:p>
    <w:p>
      <w:pPr>
        <w:numPr>
          <w:ilvl w:val="0"/>
          <w:numId w:val="8"/>
        </w:num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出现影响采购公正的违法、违规行为的。</w:t>
      </w:r>
    </w:p>
    <w:p>
      <w:pPr>
        <w:spacing w:line="500" w:lineRule="exact"/>
        <w:rPr>
          <w:rFonts w:ascii="宋体" w:hAnsi="宋体" w:cs="Arial"/>
          <w:color w:val="000000" w:themeColor="text1"/>
          <w14:textFill>
            <w14:solidFill>
              <w14:schemeClr w14:val="tx1"/>
            </w14:solidFill>
          </w14:textFill>
        </w:rPr>
      </w:pPr>
    </w:p>
    <w:p>
      <w:pPr>
        <w:pStyle w:val="34"/>
        <w:rPr>
          <w:color w:val="000000" w:themeColor="text1"/>
          <w14:textFill>
            <w14:solidFill>
              <w14:schemeClr w14:val="tx1"/>
            </w14:solidFill>
          </w14:textFill>
        </w:rPr>
      </w:pPr>
      <w:bookmarkStart w:id="96" w:name="_Toc511899310"/>
      <w:bookmarkEnd w:id="96"/>
      <w:bookmarkStart w:id="97" w:name="_Toc18987"/>
      <w:bookmarkStart w:id="98" w:name="_Toc9704"/>
      <w:r>
        <w:rPr>
          <w:rFonts w:hint="eastAsia"/>
          <w:color w:val="000000" w:themeColor="text1"/>
          <w14:textFill>
            <w14:solidFill>
              <w14:schemeClr w14:val="tx1"/>
            </w14:solidFill>
          </w14:textFill>
        </w:rPr>
        <w:t>六、定标和授予合同</w:t>
      </w:r>
      <w:bookmarkEnd w:id="97"/>
      <w:bookmarkEnd w:id="98"/>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25、定标方式</w:t>
      </w:r>
    </w:p>
    <w:p>
      <w:pPr>
        <w:spacing w:line="500" w:lineRule="exact"/>
        <w:ind w:firstLine="525" w:firstLineChars="250"/>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25.1采购人应当在收到评审报告后</w:t>
      </w:r>
      <w:r>
        <w:rPr>
          <w:rFonts w:hint="eastAsia"/>
          <w:color w:val="000000" w:themeColor="text1"/>
          <w:shd w:val="clear" w:color="auto" w:fill="FFFFFF"/>
          <w14:textFill>
            <w14:solidFill>
              <w14:schemeClr w14:val="tx1"/>
            </w14:solidFill>
          </w14:textFill>
        </w:rPr>
        <w:t>5</w:t>
      </w:r>
      <w:r>
        <w:rPr>
          <w:rFonts w:hint="eastAsia" w:ascii="宋体" w:hAnsi="宋体"/>
          <w:color w:val="000000" w:themeColor="text1"/>
          <w:shd w:val="clear" w:color="auto" w:fill="FFFFFF"/>
          <w14:textFill>
            <w14:solidFill>
              <w14:schemeClr w14:val="tx1"/>
            </w14:solidFill>
          </w14:textFill>
        </w:rPr>
        <w:t>个工作日内，从评审报告提出的成交候选人中，按照排序由高到低的原则确定成交供应商。</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spacing w:line="500" w:lineRule="exact"/>
        <w:ind w:firstLine="527" w:firstLineChars="250"/>
        <w:rPr>
          <w:rFonts w:ascii="宋体" w:hAnsi="宋体"/>
          <w:color w:val="000000" w:themeColor="text1"/>
          <w:shd w:val="clear" w:color="auto" w:fill="FFFFFF"/>
          <w14:textFill>
            <w14:solidFill>
              <w14:schemeClr w14:val="tx1"/>
            </w14:solidFill>
          </w14:textFill>
        </w:rPr>
      </w:pPr>
      <w:r>
        <w:rPr>
          <w:rFonts w:hint="eastAsia" w:ascii="宋体" w:hAnsi="宋体" w:cs="Arial"/>
          <w:b/>
          <w:bCs/>
          <w:color w:val="000000" w:themeColor="text1"/>
          <w14:textFill>
            <w14:solidFill>
              <w14:schemeClr w14:val="tx1"/>
            </w14:solidFill>
          </w14:textFill>
        </w:rPr>
        <w:t>26、签订合同</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26.1采购人与成交人应当在成交通知书发出之日起</w:t>
      </w:r>
      <w:r>
        <w:rPr>
          <w:rFonts w:hint="eastAsia" w:ascii="宋体" w:hAnsi="宋体"/>
          <w:color w:val="000000" w:themeColor="text1"/>
          <w:shd w:val="clear" w:color="auto" w:fill="FFFFFF"/>
          <w:lang w:val="en-US" w:eastAsia="zh-CN"/>
          <w14:textFill>
            <w14:solidFill>
              <w14:schemeClr w14:val="tx1"/>
            </w14:solidFill>
          </w14:textFill>
        </w:rPr>
        <w:t>7个工作日</w:t>
      </w:r>
      <w:r>
        <w:rPr>
          <w:rFonts w:hint="eastAsia" w:ascii="宋体" w:hAnsi="宋体"/>
          <w:color w:val="000000" w:themeColor="text1"/>
          <w:shd w:val="clear" w:color="auto" w:fill="FFFFFF"/>
          <w14:textFill>
            <w14:solidFill>
              <w14:schemeClr w14:val="tx1"/>
            </w14:solidFill>
          </w14:textFill>
        </w:rPr>
        <w:t>内</w:t>
      </w:r>
      <w:r>
        <w:rPr>
          <w:rFonts w:hint="eastAsia" w:ascii="宋体" w:hAnsi="宋体" w:cs="Arial"/>
          <w:color w:val="000000" w:themeColor="text1"/>
          <w14:textFill>
            <w14:solidFill>
              <w14:schemeClr w14:val="tx1"/>
            </w14:solidFill>
          </w14:textFill>
        </w:rPr>
        <w:t>（具体时限本文件有约定的，按约定执行</w:t>
      </w:r>
      <w:r>
        <w:rPr>
          <w:rFonts w:hint="eastAsia" w:ascii="宋体" w:hAnsi="宋体"/>
          <w:color w:val="000000" w:themeColor="text1"/>
          <w:shd w:val="clear" w:color="auto" w:fill="FFFFFF"/>
          <w14:textFill>
            <w14:solidFill>
              <w14:schemeClr w14:val="tx1"/>
            </w14:solidFill>
          </w14:textFill>
        </w:rPr>
        <w:t>），按照磋商文件确定的合同文本以及采购标的、规格型号、采购金额、采购数量、技术和服务要求等事项签订政府采购合同。</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26.2采购人在签订合同时，可以在不改变合同其他条款的前提下变更采购数量，但变更的金额不得超过成交人原来总价的10%。</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26.3中标通知书发出后，采购人无正当理由不与成交供应商签订采购合同的，将依据相关规定给予处理。</w:t>
      </w:r>
    </w:p>
    <w:p>
      <w:pPr>
        <w:numPr>
          <w:ilvl w:val="0"/>
          <w:numId w:val="9"/>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履约保证金</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27.1 成交供应商在签订合同前必须按竞争性磋商文件的规定，及时、足额向采购人交纳履约保证金。</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spacing w:line="500" w:lineRule="exact"/>
        <w:ind w:left="840" w:hanging="840"/>
        <w:rPr>
          <w:rFonts w:ascii="宋体" w:hAnsi="宋体" w:cs="Arial"/>
          <w:color w:val="000000" w:themeColor="text1"/>
          <w14:textFill>
            <w14:solidFill>
              <w14:schemeClr w14:val="tx1"/>
            </w14:solidFill>
          </w14:textFill>
        </w:rPr>
      </w:pPr>
    </w:p>
    <w:p>
      <w:pPr>
        <w:pStyle w:val="34"/>
        <w:rPr>
          <w:color w:val="000000" w:themeColor="text1"/>
          <w14:textFill>
            <w14:solidFill>
              <w14:schemeClr w14:val="tx1"/>
            </w14:solidFill>
          </w14:textFill>
        </w:rPr>
      </w:pPr>
      <w:bookmarkStart w:id="99" w:name="_Toc511899311"/>
      <w:bookmarkEnd w:id="99"/>
      <w:bookmarkStart w:id="100" w:name="_Toc11095"/>
      <w:bookmarkStart w:id="101" w:name="_Toc18233"/>
      <w:r>
        <w:rPr>
          <w:rFonts w:hint="eastAsia"/>
          <w:color w:val="000000" w:themeColor="text1"/>
          <w14:textFill>
            <w14:solidFill>
              <w14:schemeClr w14:val="tx1"/>
            </w14:solidFill>
          </w14:textFill>
        </w:rPr>
        <w:t>七、质疑与投诉</w:t>
      </w:r>
      <w:bookmarkEnd w:id="100"/>
      <w:bookmarkEnd w:id="101"/>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28、质疑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28.1</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供应商（即递交了磋商响应文件的供应商）对成交结果提出质疑的，最迟可以在成交结果公告期限届满之日起七个工作日内，以书面形式向采购人或代理机构提出质疑。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28.2</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供应商（即递交了磋商响应文件的供应商）认为采购过程使自己的权益受到损害的，可以在各采购程序环节结束之日起七个工作日内，以书面形式向采购人或代理机构提出质疑。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28.3</w:t>
      </w:r>
      <w:r>
        <w:rPr>
          <w:rFonts w:hint="eastAsia" w:ascii="宋体" w:hAnsi="宋体"/>
          <w:color w:val="000000" w:themeColor="text1"/>
          <w14:textFill>
            <w14:solidFill>
              <w14:schemeClr w14:val="tx1"/>
            </w14:solidFill>
          </w14:textFill>
        </w:rPr>
        <w:t>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号）第十二条规定的内容，质疑函的格式可参照</w:t>
      </w:r>
      <w:r>
        <w:rPr>
          <w:rFonts w:hint="eastAsia" w:ascii="宋体" w:hAnsi="宋体"/>
          <w:color w:val="000000" w:themeColor="text1"/>
          <w14:textFill>
            <w14:solidFill>
              <w14:schemeClr w14:val="tx1"/>
            </w14:solidFill>
          </w14:textFill>
        </w:rPr>
        <w:t>宿州市公共资源交易中心门户网站办事流程--资料下载中的质疑函范本</w:t>
      </w:r>
      <w:r>
        <w:rPr>
          <w:rFonts w:hint="eastAsia" w:ascii="宋体" w:hAnsi="宋体" w:cs="Arial"/>
          <w:color w:val="000000" w:themeColor="text1"/>
          <w14:textFill>
            <w14:solidFill>
              <w14:schemeClr w14:val="tx1"/>
            </w14:solidFill>
          </w14:textFill>
        </w:rPr>
        <w:t>。</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514" w:firstLineChars="245"/>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28.5</w:t>
      </w:r>
      <w:r>
        <w:rPr>
          <w:rFonts w:hint="eastAsia" w:ascii="宋体" w:hAnsi="宋体"/>
          <w:color w:val="000000" w:themeColor="text1"/>
          <w14:textFill>
            <w14:solidFill>
              <w14:schemeClr w14:val="tx1"/>
            </w14:solidFill>
          </w14:textFill>
        </w:rPr>
        <w:t>供应商对同一环节的质疑，应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，采购人或代理机构不再接受同一供应商针对同一环节提出的再次质疑。</w:t>
      </w:r>
    </w:p>
    <w:p>
      <w:pPr>
        <w:spacing w:before="93" w:after="93" w:line="540" w:lineRule="exact"/>
        <w:ind w:firstLine="527" w:firstLineChars="25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29、投诉</w:t>
      </w:r>
    </w:p>
    <w:p>
      <w:pPr>
        <w:spacing w:line="500" w:lineRule="exact"/>
        <w:ind w:firstLine="525" w:firstLineChars="25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29.1质疑人对采购单位的答复不满意，或者采购单位未在规定的时间内答复的，可以在答复期满后十五个工作日内按有关规定，向上级主管部门进行投诉。</w:t>
      </w:r>
    </w:p>
    <w:p>
      <w:pPr>
        <w:rPr>
          <w:rFonts w:ascii="Arial" w:hAnsi="Arial" w:cs="Arial"/>
          <w:b/>
          <w:bCs/>
          <w:color w:val="000000" w:themeColor="text1"/>
          <w:sz w:val="32"/>
          <w:szCs w:val="32"/>
          <w14:textFill>
            <w14:solidFill>
              <w14:schemeClr w14:val="tx1"/>
            </w14:solidFill>
          </w14:textFill>
        </w:rPr>
      </w:pPr>
      <w:bookmarkStart w:id="102" w:name="_Toc25214"/>
      <w:bookmarkStart w:id="103" w:name="_Toc16784"/>
      <w:r>
        <w:rPr>
          <w:rFonts w:hint="eastAsia" w:ascii="Arial" w:hAnsi="Arial" w:cs="Arial"/>
          <w:b/>
          <w:bCs/>
          <w:color w:val="000000" w:themeColor="text1"/>
          <w:sz w:val="32"/>
          <w:szCs w:val="32"/>
          <w14:textFill>
            <w14:solidFill>
              <w14:schemeClr w14:val="tx1"/>
            </w14:solidFill>
          </w14:textFill>
        </w:rPr>
        <w:br w:type="page"/>
      </w:r>
    </w:p>
    <w:p>
      <w:pPr>
        <w:jc w:val="center"/>
        <w:rPr>
          <w:color w:val="000000" w:themeColor="text1"/>
          <w14:textFill>
            <w14:solidFill>
              <w14:schemeClr w14:val="tx1"/>
            </w14:solidFill>
          </w14:textFill>
        </w:rPr>
      </w:pPr>
      <w:r>
        <w:rPr>
          <w:rFonts w:hint="eastAsia" w:ascii="Arial" w:hAnsi="Arial" w:cs="Arial"/>
          <w:b/>
          <w:bCs/>
          <w:color w:val="000000" w:themeColor="text1"/>
          <w:sz w:val="32"/>
          <w:szCs w:val="32"/>
          <w14:textFill>
            <w14:solidFill>
              <w14:schemeClr w14:val="tx1"/>
            </w14:solidFill>
          </w14:textFill>
        </w:rPr>
        <w:t xml:space="preserve">第七章 </w:t>
      </w:r>
      <w:bookmarkEnd w:id="102"/>
      <w:bookmarkEnd w:id="103"/>
      <w:bookmarkStart w:id="104" w:name="_Toc1671"/>
      <w:r>
        <w:rPr>
          <w:rFonts w:hint="eastAsia"/>
          <w:b/>
          <w:bCs/>
          <w:color w:val="000000" w:themeColor="text1"/>
          <w:sz w:val="32"/>
          <w:szCs w:val="32"/>
          <w14:textFill>
            <w14:solidFill>
              <w14:schemeClr w14:val="tx1"/>
            </w14:solidFill>
          </w14:textFill>
        </w:rPr>
        <w:t>合同条款及格式</w:t>
      </w:r>
    </w:p>
    <w:p>
      <w:pPr>
        <w:pStyle w:val="51"/>
        <w:spacing w:line="240" w:lineRule="auto"/>
        <w:ind w:firstLine="0" w:firstLineChars="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5" w:name="_Toc14436"/>
      <w:r>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t>皖北卫生职业学院</w:t>
      </w:r>
      <w:r>
        <w:rPr>
          <w:rFonts w:hint="default" w:ascii="Times New Roman" w:hAnsi="Times New Roman" w:eastAsia="宋体" w:cs="Times New Roman"/>
          <w:b/>
          <w:color w:val="000000" w:themeColor="text1"/>
          <w:sz w:val="24"/>
          <w:szCs w:val="24"/>
          <w:highlight w:val="none"/>
          <w14:textFill>
            <w14:solidFill>
              <w14:schemeClr w14:val="tx1"/>
            </w14:solidFill>
          </w14:textFill>
        </w:rPr>
        <w:t>自助开水直饮水服务项目合同协议书</w:t>
      </w:r>
    </w:p>
    <w:p>
      <w:pPr>
        <w:spacing w:line="240" w:lineRule="auto"/>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甲方：</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240" w:lineRule="auto"/>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pStyle w:val="51"/>
        <w:spacing w:line="240" w:lineRule="auto"/>
        <w:ind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甲方委托</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招标代理机构名称）通过的公开招标方式对本项目进行采购，经评标委员会的评审，甲方决定将本项目合同授予乙方。双方根据《中华人民共和国招标投标法》、《中华人民共和国民法典》及有关法律规定，遵循平等、自愿、公平和诚实信用的原则，经协商一致同意按如下条款签订本合同：</w:t>
      </w:r>
      <w:bookmarkStart w:id="106" w:name="_Toc113529462"/>
      <w:bookmarkStart w:id="107" w:name="_Toc130838575"/>
    </w:p>
    <w:p>
      <w:pPr>
        <w:pStyle w:val="51"/>
        <w:spacing w:line="240" w:lineRule="auto"/>
        <w:ind w:left="0" w:leftChars="0" w:firstLine="0" w:firstLineChars="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1.项目</w:t>
      </w:r>
      <w:bookmarkEnd w:id="106"/>
      <w:r>
        <w:rPr>
          <w:rFonts w:hint="default" w:ascii="Times New Roman" w:hAnsi="Times New Roman" w:eastAsia="宋体" w:cs="Times New Roman"/>
          <w:b/>
          <w:bCs/>
          <w:color w:val="000000" w:themeColor="text1"/>
          <w:sz w:val="24"/>
          <w:szCs w:val="24"/>
          <w:highlight w:val="none"/>
          <w14:textFill>
            <w14:solidFill>
              <w14:schemeClr w14:val="tx1"/>
            </w14:solidFill>
          </w14:textFill>
        </w:rPr>
        <w:t>名称及内容</w:t>
      </w:r>
      <w:bookmarkEnd w:id="107"/>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1.1项目名称：</w:t>
      </w:r>
      <w:r>
        <w:rPr>
          <w:rFonts w:hint="default" w:ascii="Times New Roman" w:hAnsi="Times New Roman" w:eastAsia="宋体" w:cs="Times New Roman"/>
          <w:color w:val="000000" w:themeColor="text1"/>
          <w:kern w:val="0"/>
          <w:sz w:val="24"/>
          <w:szCs w:val="24"/>
          <w:highlight w:val="none"/>
          <w:u w:val="single"/>
          <w14:textFill>
            <w14:solidFill>
              <w14:schemeClr w14:val="tx1"/>
            </w14:solidFill>
          </w14:textFill>
        </w:rPr>
        <w:t xml:space="preserve"> </w:t>
      </w:r>
      <w:r>
        <w:rPr>
          <w:rFonts w:hint="eastAsia" w:cs="Times New Roman"/>
          <w:color w:val="000000" w:themeColor="text1"/>
          <w:kern w:val="0"/>
          <w:sz w:val="24"/>
          <w:szCs w:val="24"/>
          <w:highlight w:val="none"/>
          <w:u w:val="single"/>
          <w:lang w:eastAsia="zh-CN"/>
          <w14:textFill>
            <w14:solidFill>
              <w14:schemeClr w14:val="tx1"/>
            </w14:solidFill>
          </w14:textFill>
        </w:rPr>
        <w:t>皖北卫生职业学院自助开水直饮水项目（二次）</w:t>
      </w:r>
      <w:r>
        <w:rPr>
          <w:rFonts w:hint="default" w:ascii="Times New Roman" w:hAnsi="Times New Roman" w:eastAsia="宋体" w:cs="Times New Roman"/>
          <w:color w:val="000000" w:themeColor="text1"/>
          <w:sz w:val="24"/>
          <w:szCs w:val="24"/>
          <w:highlight w:val="none"/>
          <w14:textFill>
            <w14:solidFill>
              <w14:schemeClr w14:val="tx1"/>
            </w14:solidFill>
          </w14:textFill>
        </w:rPr>
        <w:t>（以下简称“本项目”)</w:t>
      </w:r>
    </w:p>
    <w:p>
      <w:pPr>
        <w:spacing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1.2项目内容：</w:t>
      </w:r>
    </w:p>
    <w:p>
      <w:pPr>
        <w:pStyle w:val="52"/>
        <w:spacing w:after="120" w:line="240" w:lineRule="auto"/>
        <w:ind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建设校园</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自助开水直饮水</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系统。</w:t>
      </w:r>
    </w:p>
    <w:p>
      <w:pPr>
        <w:pStyle w:val="52"/>
        <w:spacing w:after="120" w:line="240" w:lineRule="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包括但不限于：</w:t>
      </w:r>
    </w:p>
    <w:p>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8" w:name="OLE_LINK46"/>
      <w:r>
        <w:rPr>
          <w:rFonts w:hint="default" w:ascii="Times New Roman" w:hAnsi="Times New Roman" w:eastAsia="宋体" w:cs="Times New Roman"/>
          <w:color w:val="000000" w:themeColor="text1"/>
          <w:sz w:val="24"/>
          <w:szCs w:val="24"/>
          <w:highlight w:val="none"/>
          <w14:textFill>
            <w14:solidFill>
              <w14:schemeClr w14:val="tx1"/>
            </w14:solidFill>
          </w14:textFill>
        </w:rPr>
        <w:t>项目的设计。</w:t>
      </w:r>
    </w:p>
    <w:p>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项目设计方案的优化。</w:t>
      </w:r>
    </w:p>
    <w:p>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设备、设施、材料的供货。</w:t>
      </w:r>
    </w:p>
    <w:p>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设备、设施的安装、给排水、强电、信息化系统安装、施工、调试。</w:t>
      </w:r>
    </w:p>
    <w:p>
      <w:pPr>
        <w:spacing w:line="240" w:lineRule="auto"/>
        <w:ind w:left="850"/>
        <w:jc w:val="left"/>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合同期内设备、设施维护、保养</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pPr>
        <w:spacing w:line="240" w:lineRule="auto"/>
        <w:ind w:left="85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合同期内的运营服务</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bookmarkEnd w:id="108"/>
    <w:p>
      <w:pPr>
        <w:spacing w:line="240" w:lineRule="auto"/>
        <w:ind w:firstLine="480" w:firstLineChars="200"/>
        <w:jc w:val="left"/>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1.3合作方式：</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BOO模式即建设--拥有--经营(Building-Owning-Operation)</w:t>
      </w:r>
    </w:p>
    <w:p>
      <w:pPr>
        <w:spacing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甲方提供场地和水电接口，乙方承担项目所有设备、设施、材料、安装施工投资、合同期间运营、维护维修成本，依据本合同约定的价格收取费用获得收益。</w:t>
      </w:r>
    </w:p>
    <w:p>
      <w:pPr>
        <w:spacing w:line="240" w:lineRule="auto"/>
        <w:ind w:firstLine="42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1.4运营合同期满，</w:t>
      </w:r>
      <w:r>
        <w:rPr>
          <w:rFonts w:hint="default" w:ascii="Times New Roman" w:hAnsi="Times New Roman" w:eastAsia="宋体" w:cs="Times New Roman"/>
          <w:color w:val="000000" w:themeColor="text1"/>
          <w:sz w:val="24"/>
          <w:szCs w:val="24"/>
          <w:highlight w:val="none"/>
          <w14:textFill>
            <w14:solidFill>
              <w14:schemeClr w14:val="tx1"/>
            </w14:solidFill>
          </w14:textFill>
        </w:rPr>
        <w:t>所有投资设备由中标人自行拆除并运离项目现场，且保证原有基础设施完好。</w:t>
      </w:r>
      <w:bookmarkStart w:id="109" w:name="OLE_LINK33"/>
      <w:r>
        <w:rPr>
          <w:rFonts w:hint="default" w:ascii="Times New Roman" w:hAnsi="Times New Roman" w:eastAsia="宋体" w:cs="Times New Roman"/>
          <w:color w:val="000000" w:themeColor="text1"/>
          <w:sz w:val="24"/>
          <w:szCs w:val="24"/>
          <w:highlight w:val="none"/>
          <w14:textFill>
            <w14:solidFill>
              <w14:schemeClr w14:val="tx1"/>
            </w14:solidFill>
          </w14:textFill>
        </w:rPr>
        <w:t>合作期间如遇校园整体规划调整需要拆除、移动自助开水直饮水设备，无法达到规定年限，</w:t>
      </w:r>
      <w:bookmarkStart w:id="110" w:name="OLE_LINK32"/>
      <w:r>
        <w:rPr>
          <w:rFonts w:hint="default" w:ascii="Times New Roman" w:hAnsi="Times New Roman" w:eastAsia="宋体" w:cs="Times New Roman"/>
          <w:color w:val="000000" w:themeColor="text1"/>
          <w:sz w:val="24"/>
          <w:szCs w:val="24"/>
          <w:highlight w:val="none"/>
          <w14:textFill>
            <w14:solidFill>
              <w14:schemeClr w14:val="tx1"/>
            </w14:solidFill>
          </w14:textFill>
        </w:rPr>
        <w:t>乙方</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必须无条件服从，并积极配合甲方工作</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bookmarkStart w:id="111" w:name="_Toc130838576"/>
      <w:bookmarkStart w:id="112" w:name="_Toc113529463"/>
    </w:p>
    <w:bookmarkEnd w:id="109"/>
    <w:bookmarkEnd w:id="110"/>
    <w:p>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2.建设期限与运营期限</w:t>
      </w:r>
      <w:bookmarkEnd w:id="111"/>
      <w:bookmarkEnd w:id="112"/>
    </w:p>
    <w:p>
      <w:pPr>
        <w:spacing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2.1项目交付期限：合同生效后，接甲方代表书面通知开工之日起</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日历天内完成项目的设计、设备材料的供货、安装调试，确保设备正常使用。交付期限包括施工与安装、恢复施工现场原状、清洁卫生、设备调试、人员退场等所有与施工有关的工作。</w:t>
      </w:r>
    </w:p>
    <w:p>
      <w:pPr>
        <w:autoSpaceDE w:val="0"/>
        <w:autoSpaceDN w:val="0"/>
        <w:adjustRightInd w:val="0"/>
        <w:spacing w:before="120"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2.2本项目运营期限为</w:t>
      </w:r>
      <w:r>
        <w:rPr>
          <w:rFonts w:hint="eastAsia"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年，采用“</w:t>
      </w:r>
      <w:r>
        <w:rPr>
          <w:rFonts w:hint="eastAsia"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”模式</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bookmarkStart w:id="113" w:name="OLE_LINK17"/>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即从</w:t>
      </w:r>
      <w:bookmarkStart w:id="114" w:name="OLE_LINK16"/>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bookmarkEnd w:id="114"/>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至</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bookmarkEnd w:id="113"/>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中标后先签订</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年经营服务合同，</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即从</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至</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年期满师生</w:t>
      </w:r>
      <w:r>
        <w:rPr>
          <w:rFonts w:hint="default" w:ascii="Times New Roman" w:hAnsi="Times New Roman" w:cs="Times New Roman"/>
          <w:color w:val="000000" w:themeColor="text1"/>
          <w:sz w:val="24"/>
          <w:szCs w:val="24"/>
          <w:highlight w:val="none"/>
          <w:lang w:eastAsia="zh-CN"/>
          <w14:textFill>
            <w14:solidFill>
              <w14:schemeClr w14:val="tx1"/>
            </w14:solidFill>
          </w14:textFill>
        </w:rPr>
        <w:t>满意度考核达85%及以上</w:t>
      </w:r>
      <w:r>
        <w:rPr>
          <w:rFonts w:hint="default" w:ascii="Times New Roman" w:hAnsi="Times New Roman" w:eastAsia="宋体" w:cs="Times New Roman"/>
          <w:color w:val="000000" w:themeColor="text1"/>
          <w:sz w:val="24"/>
          <w:szCs w:val="24"/>
          <w:highlight w:val="none"/>
          <w14:textFill>
            <w14:solidFill>
              <w14:schemeClr w14:val="tx1"/>
            </w14:solidFill>
          </w14:textFill>
        </w:rPr>
        <w:t>，再续签</w:t>
      </w:r>
      <w:r>
        <w:rPr>
          <w:rFonts w:hint="eastAsia" w:cs="Times New Roman"/>
          <w:color w:val="000000" w:themeColor="text1"/>
          <w:sz w:val="24"/>
          <w:szCs w:val="24"/>
          <w:highlight w:val="none"/>
          <w:lang w:val="en-US" w:eastAsia="zh-CN"/>
          <w14:textFill>
            <w14:solidFill>
              <w14:schemeClr w14:val="tx1"/>
            </w14:solidFill>
          </w14:textFill>
        </w:rPr>
        <w:t>后2</w:t>
      </w:r>
      <w:r>
        <w:rPr>
          <w:rFonts w:hint="default" w:ascii="Times New Roman" w:hAnsi="Times New Roman" w:eastAsia="宋体" w:cs="Times New Roman"/>
          <w:color w:val="000000" w:themeColor="text1"/>
          <w:sz w:val="24"/>
          <w:szCs w:val="24"/>
          <w:highlight w:val="none"/>
          <w14:textFill>
            <w14:solidFill>
              <w14:schemeClr w14:val="tx1"/>
            </w14:solidFill>
          </w14:textFill>
        </w:rPr>
        <w:t>年合同</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如</w:t>
      </w:r>
      <w:r>
        <w:rPr>
          <w:rFonts w:hint="default" w:ascii="Times New Roman" w:hAnsi="Times New Roman" w:eastAsia="宋体" w:cs="Times New Roman"/>
          <w:color w:val="000000" w:themeColor="text1"/>
          <w:sz w:val="24"/>
          <w:szCs w:val="24"/>
          <w:highlight w:val="none"/>
          <w14:textFill>
            <w14:solidFill>
              <w14:schemeClr w14:val="tx1"/>
            </w14:solidFill>
          </w14:textFill>
        </w:rPr>
        <w:t>考核不合格，提前终止服务合同，不再续签。合同期满后，如甲乙双方同意延长运营期限，应另行签订书面协议，但不得违反国家相关法律法规的规定。</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2.3甲方在乙方建设及运营期间，有权监督管理、参与或组织验收的权利。</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2.4运营期间，甲方按照考核标准对乙方进行考核。</w:t>
      </w:r>
      <w:bookmarkStart w:id="115" w:name="_Toc130838577"/>
      <w:bookmarkStart w:id="116" w:name="_Toc113529464"/>
    </w:p>
    <w:p>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3.项目建设</w:t>
      </w:r>
      <w:bookmarkEnd w:id="115"/>
      <w:bookmarkEnd w:id="116"/>
    </w:p>
    <w:p>
      <w:pPr>
        <w:spacing w:line="240" w:lineRule="auto"/>
        <w:ind w:firstLine="482"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3.1项目设计</w:t>
      </w:r>
      <w:r>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color w:val="000000" w:themeColor="text1"/>
          <w:sz w:val="24"/>
          <w:szCs w:val="24"/>
          <w:highlight w:val="none"/>
          <w14:textFill>
            <w14:solidFill>
              <w14:schemeClr w14:val="tx1"/>
            </w14:solidFill>
          </w14:textFill>
        </w:rPr>
        <w:t>设计优化与施工方案</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乙方根据招标文件的要求按照国家的相关设计及建设规范，提出相应的设计方案、对招标人提</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出</w:t>
      </w:r>
      <w:r>
        <w:rPr>
          <w:rFonts w:hint="default" w:ascii="Times New Roman" w:hAnsi="Times New Roman" w:eastAsia="宋体" w:cs="Times New Roman"/>
          <w:color w:val="000000" w:themeColor="text1"/>
          <w:sz w:val="24"/>
          <w:szCs w:val="24"/>
          <w:highlight w:val="none"/>
          <w14:textFill>
            <w14:solidFill>
              <w14:schemeClr w14:val="tx1"/>
            </w14:solidFill>
          </w14:textFill>
        </w:rPr>
        <w:t>的设计方案优化</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施工方案。甲方有权根据本项目的实际情况，对设计方案、优化方案、施工方案提出合理化建议，乙方最终实施的设计方案、施工方案应征得甲方同意后方可实施。</w:t>
      </w:r>
    </w:p>
    <w:p>
      <w:pPr>
        <w:spacing w:line="240" w:lineRule="auto"/>
        <w:ind w:firstLine="482"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3.2项目设备及材料要求</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3.2.1乙方应严格按照经甲方确认的设计方案、优化方案、施工方案组织采购本项目所需的设备、材料，所购设备、材料信守投标文件的承诺，并符合国家相关安全标准，甲方有权核验乙方为项目提供的设备、设施、材料、配件。乙方须向甲方提供产品合格证书。</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3.2.2在设备、材料采购进场后，应经甲方相关人员认可后方可投入使用。在甲方认为有必要时，可将相应的设备、材料送第三方检测部门检测，检测不合格，乙方更换合格产品并承担检测费用。</w:t>
      </w:r>
    </w:p>
    <w:p>
      <w:pPr>
        <w:spacing w:line="240" w:lineRule="auto"/>
        <w:ind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3.2.3本项目</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自助开水直饮水的</w:t>
      </w:r>
      <w:r>
        <w:rPr>
          <w:rFonts w:hint="default" w:ascii="Times New Roman" w:hAnsi="Times New Roman" w:eastAsia="宋体" w:cs="Times New Roman"/>
          <w:color w:val="000000" w:themeColor="text1"/>
          <w:sz w:val="24"/>
          <w:szCs w:val="24"/>
          <w:highlight w:val="none"/>
          <w14:textFill>
            <w14:solidFill>
              <w14:schemeClr w14:val="tx1"/>
            </w14:solidFill>
          </w14:textFill>
        </w:rPr>
        <w:t>供应管理系统必须</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无条件</w:t>
      </w:r>
      <w:r>
        <w:rPr>
          <w:rFonts w:hint="default" w:ascii="Times New Roman" w:hAnsi="Times New Roman" w:eastAsia="宋体" w:cs="Times New Roman"/>
          <w:color w:val="000000" w:themeColor="text1"/>
          <w:sz w:val="24"/>
          <w:szCs w:val="24"/>
          <w:highlight w:val="none"/>
          <w14:textFill>
            <w14:solidFill>
              <w14:schemeClr w14:val="tx1"/>
            </w14:solidFill>
          </w14:textFill>
        </w:rPr>
        <w:t>实现与学校一卡通系统（含手机支付功能）无缝对接、数据共享。</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刷卡读卡器与节水控制系统安装和维护等费用由乙方承担。</w:t>
      </w:r>
    </w:p>
    <w:p>
      <w:pPr>
        <w:widowControl/>
        <w:shd w:val="clear" w:color="auto" w:fill="FFFFFF"/>
        <w:spacing w:line="240" w:lineRule="auto"/>
        <w:ind w:firstLine="422" w:firstLineChars="200"/>
        <w:jc w:val="left"/>
        <w:rPr>
          <w:rFonts w:hint="eastAsia" w:ascii="宋体" w:hAnsi="宋体" w:cs="宋体"/>
          <w:b/>
          <w:bCs/>
          <w:i w:val="0"/>
          <w:iCs w:val="0"/>
          <w:color w:val="000000" w:themeColor="text1"/>
          <w:szCs w:val="21"/>
          <w:lang w:val="en-US" w:eastAsia="zh-CN"/>
          <w14:textFill>
            <w14:solidFill>
              <w14:schemeClr w14:val="tx1"/>
            </w14:solidFill>
          </w14:textFill>
        </w:rPr>
      </w:pPr>
      <w:bookmarkStart w:id="117" w:name="OLE_LINK42"/>
      <w:r>
        <w:rPr>
          <w:rFonts w:hint="eastAsia" w:ascii="宋体" w:hAnsi="宋体" w:cs="Arial"/>
          <w:b/>
          <w:bCs/>
          <w:color w:val="000000" w:themeColor="text1"/>
          <w:lang w:val="en-US" w:eastAsia="zh-CN"/>
          <w14:textFill>
            <w14:solidFill>
              <w14:schemeClr w14:val="tx1"/>
            </w14:solidFill>
          </w14:textFill>
        </w:rPr>
        <w:t>饮水机必须通过安装卡机或后台对接的方式接入我院校园一卡通系统，所有刷卡和扫码一卡通信息必须接入学校财务一卡通系统（目前学院一卡通系统供应商为</w:t>
      </w:r>
      <w:r>
        <w:rPr>
          <w:rFonts w:hint="eastAsia" w:ascii="Times New Roman" w:hAnsi="Times New Roman" w:eastAsia="宋体" w:cs="Times New Roman"/>
          <w:b/>
          <w:bCs/>
          <w:i w:val="0"/>
          <w:iCs w:val="0"/>
          <w:caps w:val="0"/>
          <w:color w:val="000000" w:themeColor="text1"/>
          <w:spacing w:val="0"/>
          <w:kern w:val="2"/>
          <w:sz w:val="24"/>
          <w:szCs w:val="24"/>
          <w:highlight w:val="none"/>
          <w:lang w:val="en-US" w:eastAsia="zh-CN" w:bidi="ar-SA"/>
          <w14:textFill>
            <w14:solidFill>
              <w14:schemeClr w14:val="tx1"/>
            </w14:solidFill>
          </w14:textFill>
        </w:rPr>
        <w:t>正元智慧品牌的一卡通</w:t>
      </w:r>
      <w:r>
        <w:rPr>
          <w:rFonts w:hint="eastAsia" w:ascii="宋体" w:hAnsi="宋体" w:cs="Arial"/>
          <w:b/>
          <w:bCs/>
          <w:color w:val="000000" w:themeColor="text1"/>
          <w:lang w:val="en-US" w:eastAsia="zh-CN"/>
          <w14:textFill>
            <w14:solidFill>
              <w14:schemeClr w14:val="tx1"/>
            </w14:solidFill>
          </w14:textFill>
        </w:rPr>
        <w:t>），消费完成后可显示单笔消费信息，所有营业额必须全部直接进入学校指定账户，校方监管审核，由总务处根据所报送营业额数据，扣除当月水电及其他需要扣除费用后财务处代为转付（中标人须出具该公司相应票据</w:t>
      </w:r>
      <w:r>
        <w:rPr>
          <w:rFonts w:hint="eastAsia" w:ascii="宋体" w:hAnsi="宋体" w:cs="宋体"/>
          <w:b/>
          <w:bCs/>
          <w:i w:val="0"/>
          <w:iCs w:val="0"/>
          <w:color w:val="000000" w:themeColor="text1"/>
          <w:szCs w:val="21"/>
          <w:lang w:val="en-US" w:eastAsia="zh-CN"/>
          <w14:textFill>
            <w14:solidFill>
              <w14:schemeClr w14:val="tx1"/>
            </w14:solidFill>
          </w14:textFill>
        </w:rPr>
        <w:t>）。</w:t>
      </w:r>
    </w:p>
    <w:p>
      <w:pPr>
        <w:widowControl/>
        <w:shd w:val="clear" w:color="auto" w:fill="FFFFFF"/>
        <w:spacing w:line="240" w:lineRule="auto"/>
        <w:ind w:firstLine="480" w:firstLineChars="200"/>
        <w:jc w:val="left"/>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在</w:t>
      </w:r>
      <w:r>
        <w:rPr>
          <w:rFonts w:hint="eastAsia" w:cs="Times New Roman"/>
          <w:bCs/>
          <w:color w:val="000000" w:themeColor="text1"/>
          <w:sz w:val="24"/>
          <w:szCs w:val="24"/>
          <w:highlight w:val="none"/>
          <w:lang w:val="en-US" w:eastAsia="zh-CN"/>
          <w14:textFill>
            <w14:solidFill>
              <w14:schemeClr w14:val="tx1"/>
            </w14:solidFill>
          </w14:textFill>
        </w:rPr>
        <w:t>师生</w:t>
      </w:r>
      <w:r>
        <w:rPr>
          <w:rFonts w:hint="default" w:ascii="Times New Roman" w:hAnsi="Times New Roman" w:eastAsia="宋体" w:cs="Times New Roman"/>
          <w:bCs/>
          <w:color w:val="000000" w:themeColor="text1"/>
          <w:sz w:val="24"/>
          <w:szCs w:val="24"/>
          <w:highlight w:val="none"/>
          <w14:textFill>
            <w14:solidFill>
              <w14:schemeClr w14:val="tx1"/>
            </w14:solidFill>
          </w14:textFill>
        </w:rPr>
        <w:t>的智能终端（手机）上，须实现在</w:t>
      </w:r>
      <w:r>
        <w:rPr>
          <w:rFonts w:hint="eastAsia" w:cs="Times New Roman"/>
          <w:bCs/>
          <w:color w:val="000000" w:themeColor="text1"/>
          <w:sz w:val="24"/>
          <w:szCs w:val="24"/>
          <w:highlight w:val="none"/>
          <w:lang w:val="en-US" w:eastAsia="zh-CN"/>
          <w14:textFill>
            <w14:solidFill>
              <w14:schemeClr w14:val="tx1"/>
            </w14:solidFill>
          </w14:textFill>
        </w:rPr>
        <w:t>线</w:t>
      </w:r>
      <w:r>
        <w:rPr>
          <w:rFonts w:hint="default" w:ascii="Times New Roman" w:hAnsi="Times New Roman" w:eastAsia="宋体" w:cs="Times New Roman"/>
          <w:bCs/>
          <w:color w:val="000000" w:themeColor="text1"/>
          <w:sz w:val="24"/>
          <w:szCs w:val="24"/>
          <w:highlight w:val="none"/>
          <w14:textFill>
            <w14:solidFill>
              <w14:schemeClr w14:val="tx1"/>
            </w14:solidFill>
          </w14:textFill>
        </w:rPr>
        <w:t>扫描二维码用水、在线故障报修、在线退款、在线咨询、在线投诉等功能。</w:t>
      </w:r>
    </w:p>
    <w:bookmarkEnd w:id="117"/>
    <w:p>
      <w:pPr>
        <w:spacing w:line="240" w:lineRule="auto"/>
        <w:ind w:firstLine="480" w:firstLineChars="200"/>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lang w:val="en-US" w:eastAsia="zh-CN" w:bidi="ar-SA"/>
          <w14:textFill>
            <w14:solidFill>
              <w14:schemeClr w14:val="tx1"/>
            </w14:solidFill>
          </w14:textFill>
        </w:rPr>
        <w:t>开水直饮水、常温直饮水采用流量收费。</w:t>
      </w:r>
    </w:p>
    <w:p>
      <w:pPr>
        <w:spacing w:line="240" w:lineRule="auto"/>
        <w:ind w:firstLine="482"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3.3项目的实施</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3.3.1设备的</w:t>
      </w:r>
      <w:bookmarkStart w:id="118" w:name="OLE_LINK25"/>
      <w:r>
        <w:rPr>
          <w:rFonts w:hint="default" w:ascii="Times New Roman" w:hAnsi="Times New Roman" w:eastAsia="宋体" w:cs="Times New Roman"/>
          <w:color w:val="000000" w:themeColor="text1"/>
          <w:sz w:val="24"/>
          <w:szCs w:val="24"/>
          <w:highlight w:val="none"/>
          <w14:textFill>
            <w14:solidFill>
              <w14:schemeClr w14:val="tx1"/>
            </w14:solidFill>
          </w14:textFill>
        </w:rPr>
        <w:t>水电接驳</w:t>
      </w:r>
      <w:bookmarkEnd w:id="118"/>
      <w:r>
        <w:rPr>
          <w:rFonts w:hint="default" w:ascii="Times New Roman" w:hAnsi="Times New Roman" w:eastAsia="宋体" w:cs="Times New Roman"/>
          <w:color w:val="000000" w:themeColor="text1"/>
          <w:sz w:val="24"/>
          <w:szCs w:val="24"/>
          <w:highlight w:val="none"/>
          <w14:textFill>
            <w14:solidFill>
              <w14:schemeClr w14:val="tx1"/>
            </w14:solidFill>
          </w14:textFill>
        </w:rPr>
        <w:t>由乙方负责。电源接入点为设备安装地点就近电源或相关配电房，水源接入点为设备安装地点就近取水点、排水接入点设备安装地点就近接入点，水电接入位置由甲方提供</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相关安装、改造工作由乙方负责，所有水电建设必须按规范敷设并符合学校相关要求，所有费用由供乙方自行承担。  </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3.3.2乙方应按照甲方认可的施工方案规范施工，确保工程质量，乙方必须采取必要措施确保安全施工，施工期间发生安全事故的（包括第三者），由乙方负责赔偿。</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3.3.3施工过程中所产生的建筑垃圾需按指定地点堆放并及时外运，施工完成后，乙方必须将施工现场恢复原状。施工垃圾清运费用由乙方承担。</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3.3.6乙方安装期间如损坏甲方现有设施应及时复原。</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3.3.4乙方必须在甲方指导下安装施工用水电表，在施工结束后按实用数向甲方以市价缴纳施工用水、电费。</w:t>
      </w:r>
      <w:bookmarkStart w:id="119" w:name="_Toc130838578"/>
      <w:bookmarkStart w:id="120" w:name="_Toc113529465"/>
    </w:p>
    <w:p>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4.项目投入使用前的调试、验收</w:t>
      </w:r>
      <w:bookmarkEnd w:id="119"/>
      <w:bookmarkEnd w:id="120"/>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4.1本项目安装完毕后由乙方负责进行调试，达到各项预定技术指标要求、安全标准，试运行</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（7个） </w:t>
      </w:r>
      <w:r>
        <w:rPr>
          <w:rFonts w:hint="default" w:ascii="Times New Roman" w:hAnsi="Times New Roman" w:eastAsia="宋体" w:cs="Times New Roman"/>
          <w:color w:val="000000" w:themeColor="text1"/>
          <w:sz w:val="24"/>
          <w:szCs w:val="24"/>
          <w:highlight w:val="none"/>
          <w14:textFill>
            <w14:solidFill>
              <w14:schemeClr w14:val="tx1"/>
            </w14:solidFill>
          </w14:textFill>
        </w:rPr>
        <w:t>工作日，乙方书面通知甲方进行验收。</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4.2双方确定验收日期，甲方按合同要求进行验收，验收合格，则甲方应出具试运行正常的验收证明文件，双方签字生效。涉及调试有关的费用由乙方承担，甲方积极配合乙方调试工作并为乙方提供便利条件。</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4.3设备说明书技术数据、投标文件承诺技术参数和实测数据应当保持一致，并符合国家现行相关技术规范和技术标准。</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4.4竣工验收要求一次通过，如初验不合格，乙方应无条件返工，</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在（</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）天</w:t>
      </w:r>
      <w:r>
        <w:rPr>
          <w:rFonts w:hint="default" w:ascii="Times New Roman" w:hAnsi="Times New Roman" w:eastAsia="宋体" w:cs="Times New Roman"/>
          <w:color w:val="000000" w:themeColor="text1"/>
          <w:sz w:val="24"/>
          <w:szCs w:val="24"/>
          <w:highlight w:val="none"/>
          <w14:textFill>
            <w14:solidFill>
              <w14:schemeClr w14:val="tx1"/>
            </w14:solidFill>
          </w14:textFill>
        </w:rPr>
        <w:t>内整改并达到标准，费用自理，由此造成工期延误的，按照延误工期规定方式进行索赔。整改后仍不合格的，甲方有权终止合同。</w:t>
      </w:r>
      <w:bookmarkStart w:id="121" w:name="_Toc130838579"/>
      <w:bookmarkStart w:id="122" w:name="_Toc113529466"/>
    </w:p>
    <w:p>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5.项目运营</w:t>
      </w:r>
      <w:bookmarkEnd w:id="121"/>
      <w:bookmarkEnd w:id="122"/>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5.1本项目采用乙方自主建设、自主运营的模式。按照约定收费标准获得运营收益，同时向甲方支付运营所耗用的水电费。</w:t>
      </w:r>
    </w:p>
    <w:p>
      <w:pPr>
        <w:pStyle w:val="52"/>
        <w:spacing w:after="120" w:line="240" w:lineRule="auto"/>
        <w:ind w:left="0" w:leftChars="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5.2按照乙方投标报价，约定乙方收费标准为：</w:t>
      </w:r>
    </w:p>
    <w:tbl>
      <w:tblPr>
        <w:tblStyle w:val="25"/>
        <w:tblW w:w="4822" w:type="pct"/>
        <w:jc w:val="center"/>
        <w:tblLayout w:type="autofit"/>
        <w:tblCellMar>
          <w:top w:w="0" w:type="dxa"/>
          <w:left w:w="108" w:type="dxa"/>
          <w:bottom w:w="0" w:type="dxa"/>
          <w:right w:w="108" w:type="dxa"/>
        </w:tblCellMar>
      </w:tblPr>
      <w:tblGrid>
        <w:gridCol w:w="4215"/>
        <w:gridCol w:w="4218"/>
      </w:tblGrid>
      <w:tr>
        <w:tblPrEx>
          <w:tblCellMar>
            <w:top w:w="0" w:type="dxa"/>
            <w:left w:w="108" w:type="dxa"/>
            <w:bottom w:w="0" w:type="dxa"/>
            <w:right w:w="108" w:type="dxa"/>
          </w:tblCellMar>
        </w:tblPrEx>
        <w:trPr>
          <w:trHeight w:val="200" w:hRule="atLeast"/>
          <w:jc w:val="center"/>
        </w:trPr>
        <w:tc>
          <w:tcPr>
            <w:tcW w:w="2499"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项目类别</w:t>
            </w:r>
          </w:p>
        </w:tc>
        <w:tc>
          <w:tcPr>
            <w:tcW w:w="250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报价</w:t>
            </w:r>
          </w:p>
        </w:tc>
      </w:tr>
      <w:tr>
        <w:tblPrEx>
          <w:tblCellMar>
            <w:top w:w="0" w:type="dxa"/>
            <w:left w:w="108" w:type="dxa"/>
            <w:bottom w:w="0" w:type="dxa"/>
            <w:right w:w="108" w:type="dxa"/>
          </w:tblCellMar>
        </w:tblPrEx>
        <w:trPr>
          <w:trHeight w:val="200"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管理费</w:t>
            </w:r>
          </w:p>
        </w:tc>
        <w:tc>
          <w:tcPr>
            <w:tcW w:w="2500"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1446" w:firstLineChars="6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元/台/年</w:t>
            </w:r>
          </w:p>
        </w:tc>
      </w:tr>
      <w:tr>
        <w:tblPrEx>
          <w:tblCellMar>
            <w:top w:w="0" w:type="dxa"/>
            <w:left w:w="108" w:type="dxa"/>
            <w:bottom w:w="0" w:type="dxa"/>
            <w:right w:w="108" w:type="dxa"/>
          </w:tblCellMar>
        </w:tblPrEx>
        <w:trPr>
          <w:trHeight w:val="212" w:hRule="atLeast"/>
          <w:jc w:val="center"/>
        </w:trPr>
        <w:tc>
          <w:tcPr>
            <w:tcW w:w="4215" w:type="dxa"/>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开水直饮水</w:t>
            </w:r>
          </w:p>
        </w:tc>
        <w:tc>
          <w:tcPr>
            <w:tcW w:w="4218" w:type="dxa"/>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1446" w:firstLineChars="6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元/升</w:t>
            </w:r>
          </w:p>
        </w:tc>
      </w:tr>
      <w:tr>
        <w:tblPrEx>
          <w:tblCellMar>
            <w:top w:w="0" w:type="dxa"/>
            <w:left w:w="108" w:type="dxa"/>
            <w:bottom w:w="0" w:type="dxa"/>
            <w:right w:w="108" w:type="dxa"/>
          </w:tblCellMar>
        </w:tblPrEx>
        <w:trPr>
          <w:trHeight w:val="212" w:hRule="atLeast"/>
          <w:jc w:val="center"/>
        </w:trPr>
        <w:tc>
          <w:tcPr>
            <w:tcW w:w="2499"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482" w:firstLineChars="2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bookmarkStart w:id="123" w:name="OLE_LINK58" w:colFirst="0" w:colLast="1"/>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常温直饮水</w:t>
            </w:r>
          </w:p>
        </w:tc>
        <w:tc>
          <w:tcPr>
            <w:tcW w:w="2500" w:type="pct"/>
            <w:tcBorders>
              <w:top w:val="nil"/>
              <w:left w:val="single" w:color="000000" w:sz="8" w:space="0"/>
              <w:bottom w:val="single" w:color="000000" w:sz="8" w:space="0"/>
              <w:right w:val="single" w:color="000000" w:sz="8" w:space="0"/>
            </w:tcBorders>
            <w:shd w:val="clear" w:color="auto" w:fill="auto"/>
            <w:vAlign w:val="center"/>
          </w:tcPr>
          <w:p>
            <w:pPr>
              <w:pStyle w:val="19"/>
              <w:ind w:left="0" w:leftChars="0" w:firstLine="1446" w:firstLineChars="600"/>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4"/>
                <w:szCs w:val="24"/>
                <w:lang w:val="en-US" w:eastAsia="zh-CN" w:bidi="ar-SA"/>
                <w14:textFill>
                  <w14:solidFill>
                    <w14:schemeClr w14:val="tx1"/>
                  </w14:solidFill>
                </w14:textFill>
              </w:rPr>
              <w:t>元/升</w:t>
            </w:r>
          </w:p>
        </w:tc>
      </w:tr>
      <w:bookmarkEnd w:id="123"/>
    </w:tbl>
    <w:p>
      <w:pPr>
        <w:pStyle w:val="52"/>
        <w:spacing w:after="120" w:line="240" w:lineRule="auto"/>
        <w:ind w:left="0" w:leftChars="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p>
    <w:p>
      <w:pPr>
        <w:pStyle w:val="52"/>
        <w:spacing w:after="120" w:line="240" w:lineRule="auto"/>
        <w:ind w:left="0" w:leftChars="0" w:firstLine="480"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5.3运营期间使用收费标准的调整：运营期间，价格不做调整</w:t>
      </w:r>
    </w:p>
    <w:p>
      <w:pPr>
        <w:pStyle w:val="52"/>
        <w:spacing w:after="120" w:line="240" w:lineRule="auto"/>
        <w:ind w:left="0" w:leftChars="0" w:firstLine="480"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5.4自助开水直饮水使用收费须通过甲方校园一卡通或手机支付为载体收费，由甲方统一收取，定期与乙方结算，甲方定期将上期的自助开水直饮水系统运营收入转至乙方指定的账户。</w:t>
      </w:r>
    </w:p>
    <w:p>
      <w:pPr>
        <w:spacing w:line="240" w:lineRule="auto"/>
        <w:ind w:firstLine="480" w:firstLineChars="200"/>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5.5在运营期内，乙方管理和运营所耗用的水电费用，在双方抄表后，由甲方核定乙方应缴水电费数额，由甲方据实从乙方运营收入中扣除。</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5.6运营时间为：开学期间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（24 ） </w:t>
      </w:r>
      <w:r>
        <w:rPr>
          <w:rFonts w:hint="default" w:ascii="Times New Roman" w:hAnsi="Times New Roman" w:eastAsia="宋体" w:cs="Times New Roman"/>
          <w:color w:val="000000" w:themeColor="text1"/>
          <w:sz w:val="24"/>
          <w:szCs w:val="24"/>
          <w:highlight w:val="none"/>
          <w14:textFill>
            <w14:solidFill>
              <w14:schemeClr w14:val="tx1"/>
            </w14:solidFill>
          </w14:textFill>
        </w:rPr>
        <w:t>小时供应，假期</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依据在校人员情况接受甲方安排</w:t>
      </w:r>
      <w:r>
        <w:rPr>
          <w:rFonts w:hint="default" w:ascii="Times New Roman" w:hAnsi="Times New Roman" w:eastAsia="宋体" w:cs="Times New Roman"/>
          <w:color w:val="000000" w:themeColor="text1"/>
          <w:sz w:val="24"/>
          <w:szCs w:val="24"/>
          <w:highlight w:val="none"/>
          <w14:textFill>
            <w14:solidFill>
              <w14:schemeClr w14:val="tx1"/>
            </w14:solidFill>
          </w14:textFill>
        </w:rPr>
        <w:t>供应。</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5.7在运营期内，与合同履行相关的税、费、利息等所有费用，均由乙方负责承担。</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5.8在运营期内，乙方应配备足够数量的具有管理、维修、维护经验和技术的管理人员和技术人员，并确保所配备人员遵守甲方相关的规章制管理制度，服从甲方的管理和监督。（可具体化人数要求）运营负责人为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姓名），原则上不得更换，如确需更换须提前向校方报备，获得认可方可更换。</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5.9在运营期内，乙方应当做好自助开水直饮水系统的运行管理工作，并根据系统实际运行情况派遣相应的维护管理服务人员进驻现场，对每天的设备运行状况做好记录工作，并根据相关规定及设备运行状况及时进行清洗、消毒、更换过滤膜等维保</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及记录工作</w:t>
      </w:r>
      <w:r>
        <w:rPr>
          <w:rFonts w:hint="default" w:ascii="Times New Roman" w:hAnsi="Times New Roman" w:eastAsia="宋体" w:cs="Times New Roman"/>
          <w:color w:val="000000" w:themeColor="text1"/>
          <w:sz w:val="24"/>
          <w:szCs w:val="24"/>
          <w:highlight w:val="none"/>
          <w14:textFill>
            <w14:solidFill>
              <w14:schemeClr w14:val="tx1"/>
            </w14:solidFill>
          </w14:textFill>
        </w:rPr>
        <w:t>，并有应急方案。</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5.10乙方向教师及学生公示自助开水直饮水系统的使用方法，如有不正确使用设备或故意破坏设备而造成损失或故意偷水的行为，应由配合甲方追究肇事者责任，甲方将追究责任所得赔偿款交付给乙方。</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5.11因乙方设备设施故障或乙方人员故意或过失而导致本项目服务对象或甲方人员的任何人身伤害或财产损害，乙方负全部责任。发生重大事故责任被上级部门处理时，按照上级部门事故责任处理意见执行。受损害或伤害的一方对损害或伤害的发生也有过错时，应当根据其过错程度承担相应的责任，并适当减轻造成损害或伤害一方的责任。</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5.12运营服务安全、文明、卫生管理要求</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5.12.1根据有关法律、法规及合同约定，建立、健全内部管理的各项规章制度（安全防范、日常管理、卫生保洁、日常值班等）。规章制度要报甲方备案以便监督考核。乙方应有应急预案，遇有突发事件，发现安全隐患要及时处理，必要时应向相关部门报告。</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5.12.2应定期对用电设备进行检修维护，保证用电安全。并有相关的警示标志。</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5.12.3为了设备、设施的安全运行，乙方应配备相应的操作员、安全员、专业电工（要求有相应的上岗证书），负责每天检查设备、设施的用水、用电安全，检查设备、设施是否存在安全隐患，一旦发现安全隐患应立即上报并进行整改，直到隐患消除。</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5.12.4乙方用工必须符合国家有关行业规定，合法用工，所聘工作人员要在甲方备案，乙方对所聘人员赋有教育管理责任，注重培养良好的企业文化，员工统一着装、佩证上岗，要做到语言文明、行为规范、服务热情；不得与教职工、学生发生争吵，每发生一次争吵扣除乙方</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（1%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的履约保证金、如发生打架斗殴扣除乙方</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（5% ）</w:t>
      </w:r>
      <w:r>
        <w:rPr>
          <w:rFonts w:hint="default" w:ascii="Times New Roman" w:hAnsi="Times New Roman" w:eastAsia="宋体" w:cs="Times New Roman"/>
          <w:color w:val="000000" w:themeColor="text1"/>
          <w:sz w:val="24"/>
          <w:szCs w:val="24"/>
          <w:highlight w:val="none"/>
          <w14:textFill>
            <w14:solidFill>
              <w14:schemeClr w14:val="tx1"/>
            </w14:solidFill>
          </w14:textFill>
        </w:rPr>
        <w:t>的履约保证金，确属乙方责任的由乙方承担一切后果；如出现违规运营、服务态度差，师生意见大，反映强烈，甲方有权采取应急措施，并终止合同，且不退还履约保证金。</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5.12.5运营期间乙方必须服从学校后勤管理部门的管理，维护学校和后勤管理部门的声誉，做好设备、设施的保洁工作。</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5.12.6乙方确保所有设备废水、废渣、废热、废气排放符合环保要求，不会对环境产生任何污染；要有合理措施，保护周边环境，避免污染、噪音和工作方法不当造成周围环境和公共人员及财产等的危害和干扰。</w:t>
      </w:r>
      <w:bookmarkStart w:id="124" w:name="_Toc130838580"/>
      <w:bookmarkStart w:id="125" w:name="_Toc113529467"/>
    </w:p>
    <w:p>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6.设备保养、维修</w:t>
      </w:r>
      <w:bookmarkEnd w:id="124"/>
      <w:bookmarkEnd w:id="125"/>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6.1本项目所有属于乙方投资建设、安装、运营管理范围内的设施设备，包括乙方使用的甲方现有设施设备等，均由乙方负责保养、维修。乙方必须有稳定、强有力的维修技术队伍，负责日常系统正常运营。</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6.2乙方需公布一个24小时热线电话，负责受理咨询、保修、投诉等事项，故障报修</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小时内予以响应，</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小时到现场，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小时内予以修复，如在24小时内不能修复的，须更换设备。</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6.3乙方须配备</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名设备、系统维护员跟班维修，自助开水直饮水系统的安全正常运行。乙方有义务为相关使用人做好沟通、协调工作。乙方人员与甲方不存在劳动关系，乙方人员须遵守甲方的各项制度，其发生的任何问题所产生的责任由乙方承担。</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6.4除非因人为使用不当原因，所有设备保养、维修、更换所产生的相关费用，均由乙方自行承担。如确因人为使用不当造成设备损坏，乙方可向相关责任人员收取成本费用。</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6.5乙方应当定期对相关设施设备检查，确保设施设备完好，避免造成无法使用或其他安全事故。</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6.6在运营期内，如确需对设施设备进行大规模改造，应经双方协商一致，并就相应的更新、改造达成书面一致意见方可开始施工，费用由乙方承担。</w:t>
      </w:r>
      <w:bookmarkStart w:id="126" w:name="_Toc113529469"/>
      <w:bookmarkStart w:id="127" w:name="_Toc130838581"/>
    </w:p>
    <w:p>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7.项目所有权</w:t>
      </w:r>
      <w:bookmarkEnd w:id="126"/>
      <w:bookmarkEnd w:id="127"/>
    </w:p>
    <w:p>
      <w:pPr>
        <w:spacing w:line="240" w:lineRule="auto"/>
        <w:ind w:firstLine="600" w:firstLineChars="2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7.1合同期内，由乙方为本项目投资的设备、材料、附属设施等所有权归乙方所有，但乙方不得转让、变卖、抵押给甲方以外的任何第三人，不准以任何理由拆除、毁坏和转移该项目下的资产。</w:t>
      </w:r>
    </w:p>
    <w:p>
      <w:pPr>
        <w:spacing w:line="240" w:lineRule="auto"/>
        <w:ind w:firstLine="600" w:firstLineChars="25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bookmarkStart w:id="128" w:name="OLE_LINK30"/>
      <w:r>
        <w:rPr>
          <w:rFonts w:hint="default" w:ascii="Times New Roman" w:hAnsi="Times New Roman" w:eastAsia="宋体" w:cs="Times New Roman"/>
          <w:color w:val="000000" w:themeColor="text1"/>
          <w:sz w:val="24"/>
          <w:szCs w:val="24"/>
          <w:highlight w:val="none"/>
          <w14:textFill>
            <w14:solidFill>
              <w14:schemeClr w14:val="tx1"/>
            </w14:solidFill>
          </w14:textFill>
        </w:rPr>
        <w:t>合同期满后，乙方投资建设、改造、投入的设备、设施所，须在保证基础完整的情况下由乙方拆除运走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bookmarkEnd w:id="128"/>
    <w:p>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7.2合同期内，因乙方原因造成合同无法继续履行，乙方投资改造或建设的设备所有权及运营权归无偿甲方所有，甲方将不给予任何形式的补偿。</w:t>
      </w:r>
      <w:bookmarkStart w:id="129" w:name="_Toc113529470"/>
      <w:bookmarkStart w:id="130" w:name="_Toc130838582"/>
    </w:p>
    <w:p>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8.合同变更、解除与终止</w:t>
      </w:r>
      <w:bookmarkEnd w:id="129"/>
      <w:bookmarkEnd w:id="130"/>
    </w:p>
    <w:p>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8.1经甲乙双方协商一致，可以书面解除合同。</w:t>
      </w:r>
    </w:p>
    <w:p>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8.2一方违约，致使另一方合同目的不能实现的为根本违约，守约一方可以单方解除合同，并要求违约方承担违约责任。</w:t>
      </w:r>
    </w:p>
    <w:p>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8.3在合同期内，如遇乙方停产、停业、转产、合并、分立等原因，可能导致合同履行主体发生变化的，乙方应事先告知甲方，并由新的履约主体继承合同；若双方或与其他第三方就合同继续履行无法达成一致意见，则乙方应在此变化发生前，与甲方协商解决，协商不成的，视为乙方违约，甲方有权解除合同。</w:t>
      </w:r>
    </w:p>
    <w:p>
      <w:pPr>
        <w:spacing w:line="240" w:lineRule="auto"/>
        <w:ind w:firstLine="360" w:firstLineChars="15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8.4在合同履行期内，任何一方未征得他方同意前，均不得将本合同项下的权利义务转让至其他第三方。</w:t>
      </w:r>
      <w:bookmarkStart w:id="131" w:name="_Toc130838583"/>
      <w:bookmarkStart w:id="132" w:name="_Toc113530346"/>
    </w:p>
    <w:p>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9.履约保证金</w:t>
      </w:r>
      <w:bookmarkEnd w:id="131"/>
      <w:bookmarkEnd w:id="132"/>
    </w:p>
    <w:p>
      <w:pPr>
        <w:spacing w:line="240" w:lineRule="auto"/>
        <w:ind w:firstLine="556" w:firstLineChars="232"/>
        <w:jc w:val="left"/>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9.1双方约定，乙方向甲方缴纳</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w:t>
      </w:r>
      <w:r>
        <w:rPr>
          <w:rFonts w:hint="default" w:ascii="Times New Roman" w:hAnsi="Times New Roman" w:eastAsia="宋体" w:cs="Times New Roman"/>
          <w:color w:val="000000" w:themeColor="text1"/>
          <w:sz w:val="24"/>
          <w:szCs w:val="24"/>
          <w:highlight w:val="none"/>
          <w14:textFill>
            <w14:solidFill>
              <w14:schemeClr w14:val="tx1"/>
            </w14:solidFill>
          </w14:textFill>
        </w:rPr>
        <w:t>万元作为履约保证金。履约保证金缴纳时间为收到中标通知书后</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（1周内）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（履约保证金形式为转账）。</w:t>
      </w:r>
    </w:p>
    <w:p>
      <w:pPr>
        <w:autoSpaceDE w:val="0"/>
        <w:autoSpaceDN w:val="0"/>
        <w:adjustRightInd w:val="0"/>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9.2乙方出现合同条款约定的违约情况，需要违约赔偿，甲方可从履约保证金扣除。</w:t>
      </w:r>
    </w:p>
    <w:p>
      <w:pPr>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9.3履约保证金在运营期满后30日内，扣除应赔付款项后一次性退还，不计取利息。</w:t>
      </w:r>
    </w:p>
    <w:p>
      <w:pPr>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9.4出现以下情况履约保证金将不予退还：</w:t>
      </w:r>
    </w:p>
    <w:p>
      <w:pPr>
        <w:shd w:val="clear" w:color="FFFFFF" w:fill="auto"/>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9.4.1乙方因自身原因，无法继续履行合同，并擅自</w:t>
      </w:r>
      <w:r>
        <w:rPr>
          <w:rFonts w:hint="eastAsia" w:cs="Times New Roman"/>
          <w:color w:val="000000" w:themeColor="text1"/>
          <w:sz w:val="24"/>
          <w:szCs w:val="24"/>
          <w:highlight w:val="none"/>
          <w:lang w:val="en-US" w:eastAsia="zh-CN"/>
          <w14:textFill>
            <w14:solidFill>
              <w14:schemeClr w14:val="tx1"/>
            </w14:solidFill>
          </w14:textFill>
        </w:rPr>
        <w:t>终</w:t>
      </w:r>
      <w:r>
        <w:rPr>
          <w:rFonts w:hint="default" w:ascii="Times New Roman" w:hAnsi="Times New Roman" w:eastAsia="宋体" w:cs="Times New Roman"/>
          <w:color w:val="000000" w:themeColor="text1"/>
          <w:sz w:val="24"/>
          <w:szCs w:val="24"/>
          <w:highlight w:val="none"/>
          <w14:textFill>
            <w14:solidFill>
              <w14:schemeClr w14:val="tx1"/>
            </w14:solidFill>
          </w14:textFill>
        </w:rPr>
        <w:t>止合同。</w:t>
      </w:r>
    </w:p>
    <w:p>
      <w:pPr>
        <w:spacing w:line="240" w:lineRule="auto"/>
        <w:ind w:firstLine="556" w:firstLineChars="232"/>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9.4.2乙方因系统无法达到设计要求，甲方要求整改而无法达成的；或服务无法达到约定标准的被强制中止合同。</w:t>
      </w:r>
      <w:bookmarkStart w:id="133" w:name="_Toc130838584"/>
    </w:p>
    <w:p>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10.不可抗力</w:t>
      </w:r>
      <w:bookmarkEnd w:id="133"/>
    </w:p>
    <w:p>
      <w:pPr>
        <w:spacing w:line="240" w:lineRule="auto"/>
        <w:ind w:firstLine="511" w:firstLineChars="213"/>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10.1不可抗力是指“由于战争、地震、水灾、火灾、暴风雪或其他类似的不能预见并且对其发生和后果不能避免也不能克服的意外事件的发生，继续履行合同必然对事件承受方极为不公平而有背于诚实信用原则的，由此而致合同不能履行或不能完全履行的，不追究事件承受方的违约责任”。根据不可抗力事件对履行合同的影响程度，由甲、乙双方协商确定延期履行、或解除合同。</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10.2在合同期内，若发生不可抗力事件，则知晓不可抗力因素的一方应当书面通知对方，双方均应采取有效措施降低不可抗力因素对系统正常运营和管理带来的影响。若不可抗力致使合同无法履行，任何一方均可提前解除合同。</w:t>
      </w:r>
    </w:p>
    <w:p>
      <w:pPr>
        <w:spacing w:line="240" w:lineRule="auto"/>
        <w:ind w:firstLine="480" w:firstLineChars="200"/>
        <w:jc w:val="lef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10.3本合同延期履行时，遇有不可抗力事件的一方当事人的合同义务将中止至不可抗力事件结束，但中止最长时间不超过六十日，超过六十日则双方均有权要求解除合同。</w:t>
      </w:r>
      <w:bookmarkStart w:id="134" w:name="_Toc130838585"/>
      <w:bookmarkStart w:id="135" w:name="_Toc113530344"/>
    </w:p>
    <w:p>
      <w:pPr>
        <w:spacing w:line="240" w:lineRule="auto"/>
        <w:jc w:val="left"/>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11.甲乙双方其他权利与义务</w:t>
      </w:r>
      <w:bookmarkEnd w:id="134"/>
      <w:bookmarkEnd w:id="135"/>
    </w:p>
    <w:p>
      <w:pPr>
        <w:spacing w:line="240" w:lineRule="auto"/>
        <w:ind w:firstLine="477" w:firstLineChars="198"/>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11.1甲方的权利与义务</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11.1.1甲方有权对乙方的建设、运营全过程监督管理。</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11.1.2在本合同有效期内，为乙方项目设施和设备安装、维护、检测、修理提供便利。甲方同意或配合乙方合理地接触使用与本项目有关的甲方设施和设备。</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11.1.3在设备运行期间，应为乙方对室内、外投资的设备等易损件维修、设备维护提供便利。</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11.1.4甲方及时提供学生宿舍入住率和寒暑假住宿分布情况，以便乙方及时调整设备配置，提高效率，节约耗损。</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11.1.5甲方按约定应及时与乙方结算，支付乙方经营所得。</w:t>
      </w:r>
    </w:p>
    <w:p>
      <w:pPr>
        <w:spacing w:line="240" w:lineRule="auto"/>
        <w:ind w:firstLine="477" w:firstLineChars="198"/>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11.2乙方的权利与义务：</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11.2.l爱护甲方的设备和其它财产，在甲方的场地从事项目的安装运行工作时，遵守甲方工作场地的有关规章制度。</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11.2.2须高度重视施工安全、消防安全、饮用水安全等工作，保证本项目有可靠的安全保障措施。</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11.2.3与甲方保持良好的合作关系，积极响应甲方提出的合理要求，尊重甲方的工作人员及其合理化建议。</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11.2.4乙方必须保证自助开水直饮水系统计量系统的准确，并定时校验表具，甲方有权随时抽查计量表具的准确性。</w:t>
      </w:r>
      <w:bookmarkStart w:id="136" w:name="_Toc130838586"/>
      <w:bookmarkStart w:id="137" w:name="_Toc113529471"/>
    </w:p>
    <w:p>
      <w:pPr>
        <w:spacing w:line="240" w:lineRule="auto"/>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12.违约责任</w:t>
      </w:r>
      <w:bookmarkEnd w:id="136"/>
      <w:bookmarkEnd w:id="137"/>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12.1因乙方原因致使本项目未按照本合同约定的期限完成施工建设、试运行和验收，每延期一日罚款额为总投资额的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（1‰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超过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7天）</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的，每天罚款总投资额的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，以此类推。超过</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（30天）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仍未完成设备安装、调试工作，或设备安装完毕后一个月后仍不能正常运行或实质上达不到供水服务标准的，甲方有权解除合同。</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12.2因乙方设备质量、施工工艺或管理不当等原因造成安全事故，给甲方或者实际使用人造成人身或财产损失的，由乙方承担一切赔偿责任，甲方不承担连带责任。</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12.3在甲方供水供电正常且不存在人为破坏或不可抗力的情况下，系统出现故障，单台设备连续超过</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（15） </w:t>
      </w:r>
      <w:r>
        <w:rPr>
          <w:rFonts w:hint="default" w:ascii="Times New Roman" w:hAnsi="Times New Roman" w:eastAsia="宋体" w:cs="Times New Roman"/>
          <w:color w:val="000000" w:themeColor="text1"/>
          <w:sz w:val="24"/>
          <w:szCs w:val="24"/>
          <w:highlight w:val="none"/>
          <w14:textFill>
            <w14:solidFill>
              <w14:schemeClr w14:val="tx1"/>
            </w14:solidFill>
          </w14:textFill>
        </w:rPr>
        <w:t>天无法按照合同约定服务的，甲方有权解除合同，并有权不退还履约保证金。</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12.4如果抽查发现因不能及时校验表具等原因导致的误差超过规定标准，则甲方有权向乙方索赔</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元/次，超过3次后，每次增加索赔</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元。</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12.5甲方无正当理由提前解除合同，应提前</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（30天）</w:t>
      </w:r>
      <w:r>
        <w:rPr>
          <w:rFonts w:hint="default" w:ascii="Times New Roman" w:hAnsi="Times New Roman" w:eastAsia="宋体" w:cs="Times New Roman"/>
          <w:color w:val="000000" w:themeColor="text1"/>
          <w:sz w:val="24"/>
          <w:szCs w:val="24"/>
          <w:highlight w:val="none"/>
          <w14:textFill>
            <w14:solidFill>
              <w14:schemeClr w14:val="tx1"/>
            </w14:solidFill>
          </w14:textFill>
        </w:rPr>
        <w:t>书面通知乙方，并按投资折旧费一次性补偿乙方，并赔偿</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违约金。</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12.6在本项目运营过程中，发生以下情况之一的，将视为乙方放弃本项目所有权及运营权：</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（1）乙方无正当理由提前解除合同。</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（2）在运营期内，乙方设备达不到承诺的质量、服务标准，且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（15） </w:t>
      </w:r>
      <w:r>
        <w:rPr>
          <w:rFonts w:hint="default" w:ascii="Times New Roman" w:hAnsi="Times New Roman" w:eastAsia="宋体" w:cs="Times New Roman"/>
          <w:color w:val="000000" w:themeColor="text1"/>
          <w:sz w:val="24"/>
          <w:szCs w:val="24"/>
          <w:highlight w:val="none"/>
          <w14:textFill>
            <w14:solidFill>
              <w14:schemeClr w14:val="tx1"/>
            </w14:solidFill>
          </w14:textFill>
        </w:rPr>
        <w:t>天仍未达到标准的；</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（3）因乙方根本违约。</w:t>
      </w:r>
    </w:p>
    <w:p>
      <w:pPr>
        <w:spacing w:line="240" w:lineRule="auto"/>
        <w:ind w:firstLine="720" w:firstLineChars="3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上述原因造成本协议提前终止，甲方按本项目合同期满的约定，无偿接收乙方投资部分（包括所有设备、设施安装等）的所有权，并收回运营权。</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12.7若遇到国家政策性调整，禁止安装或者停止使用此类自助开水直饮水供应设施设备，学校不能继续执行BOO合作模式则不视为甲方违约；甲方允许乙方以符合标准的替换产品继续履行协议，如乙方无替换产品，则协议自行终止，本BOO合作模式项目下的自助开水直饮水系统产自动归甲方所有，造成投资损失由乙方自行承担。</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12.8发生下列情形之一者，乙方应向甲方支付受影响区域内自助开水直饮水系统停用补偿金。补偿金按日计算，以上一月（寒暑假除外）双方结算时的日平均收费额为补偿基数，每一个违约日，乙方向甲方支付的补偿金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（补偿金基数×50%），</w:t>
      </w:r>
      <w:r>
        <w:rPr>
          <w:rFonts w:hint="default" w:ascii="Times New Roman" w:hAnsi="Times New Roman" w:eastAsia="宋体" w:cs="Times New Roman"/>
          <w:color w:val="000000" w:themeColor="text1"/>
          <w:sz w:val="24"/>
          <w:szCs w:val="24"/>
          <w:highlight w:val="none"/>
          <w14:textFill>
            <w14:solidFill>
              <w14:schemeClr w14:val="tx1"/>
            </w14:solidFill>
          </w14:textFill>
        </w:rPr>
        <w:t>同时甲方有权终止合同。</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12.7.1因乙方原因造成自助开水直饮水系统不能正常运行持续</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（72） </w:t>
      </w:r>
      <w:r>
        <w:rPr>
          <w:rFonts w:hint="default" w:ascii="Times New Roman" w:hAnsi="Times New Roman" w:eastAsia="宋体" w:cs="Times New Roman"/>
          <w:color w:val="000000" w:themeColor="text1"/>
          <w:sz w:val="24"/>
          <w:szCs w:val="24"/>
          <w:highlight w:val="none"/>
          <w14:textFill>
            <w14:solidFill>
              <w14:schemeClr w14:val="tx1"/>
            </w14:solidFill>
          </w14:textFill>
        </w:rPr>
        <w:t>小时以上的。</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12.7.2乙方接到甲方设备使用故障信息后无正当理由</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小</w:t>
      </w:r>
      <w:r>
        <w:rPr>
          <w:rFonts w:hint="default" w:ascii="Times New Roman" w:hAnsi="Times New Roman" w:eastAsia="宋体" w:cs="Times New Roman"/>
          <w:color w:val="000000" w:themeColor="text1"/>
          <w:sz w:val="24"/>
          <w:szCs w:val="24"/>
          <w:highlight w:val="none"/>
          <w14:textFill>
            <w14:solidFill>
              <w14:schemeClr w14:val="tx1"/>
            </w14:solidFill>
          </w14:textFill>
        </w:rPr>
        <w:t>时未进行维修维护的。</w:t>
      </w:r>
    </w:p>
    <w:p>
      <w:pPr>
        <w:spacing w:line="24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12.7.3无正当理由未经甲方同意擅自停止自助开水直饮水系统连续</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小时以上的。</w:t>
      </w:r>
      <w:bookmarkStart w:id="138" w:name="_Toc113529472"/>
      <w:bookmarkStart w:id="139" w:name="_Toc130838587"/>
    </w:p>
    <w:p>
      <w:pPr>
        <w:spacing w:line="240" w:lineRule="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13.争议的解决</w:t>
      </w:r>
      <w:bookmarkEnd w:id="138"/>
      <w:bookmarkEnd w:id="139"/>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13.1本合同执行过程发生的任何争议，双方应协商解决，协商不成，可向甲方所在地有管辖权的人民法院起诉。</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13.2在相关诉讼过程中，除双方有争议的部分之外，其他部分仍应当继续履行，乙方拒不履行致使甲方无法使用自助开水直饮水系统的，甲方有权解除合同。</w:t>
      </w:r>
      <w:bookmarkStart w:id="140" w:name="_Toc113529473"/>
      <w:bookmarkStart w:id="141" w:name="_Toc130838588"/>
    </w:p>
    <w:p>
      <w:pPr>
        <w:spacing w:line="240" w:lineRule="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14.运营服务考核主要内容</w:t>
      </w:r>
      <w:bookmarkEnd w:id="140"/>
      <w:bookmarkEnd w:id="141"/>
    </w:p>
    <w:p>
      <w:pPr>
        <w:spacing w:line="240" w:lineRule="auto"/>
        <w:ind w:firstLine="240" w:firstLineChars="1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（招标人根据项目情况按照以下内容编制考核细则）</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14.1学生满意度。</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14.2维修的响应时间。</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14.3甲方定期或不定期检查工作人员的考勤情况。</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14.4报修电话是否畅通。</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14.5甲方定期或不定期抽查出水水质。</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14.6其他与本项目服务相关的内容。</w:t>
      </w:r>
    </w:p>
    <w:p>
      <w:pPr>
        <w:spacing w:line="240" w:lineRule="auto"/>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bookmarkStart w:id="142" w:name="_Toc113529474"/>
      <w:bookmarkStart w:id="143" w:name="_Toc130838589"/>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15.其他约定</w:t>
      </w:r>
      <w:bookmarkEnd w:id="142"/>
      <w:bookmarkEnd w:id="143"/>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15.1组成本合同的文件包括：</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（1）中标通知书；</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（2）合同条款及格式；</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（3）补充协议或备忘录；</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（4）招标文件的采购需求；</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（5）投标文件；</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（6）相关标准、规范及有关技术文件；</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（7）与本合同履行相关的其他文件。</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15.2本合同未尽事宜，甲乙双方可另行签订补充协议，补充协议内容与以本协议内容不一致的，以补充协议为准。</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14:textFill>
            <w14:solidFill>
              <w14:schemeClr w14:val="tx1"/>
            </w14:solidFill>
          </w14:textFill>
        </w:rPr>
        <w:t>合同的生效：经双方法人或其授权代表签字盖章后生效。</w:t>
      </w:r>
    </w:p>
    <w:p>
      <w:pPr>
        <w:spacing w:line="240" w:lineRule="auto"/>
        <w:ind w:firstLine="480" w:firstLineChars="200"/>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14:textFill>
            <w14:solidFill>
              <w14:schemeClr w14:val="tx1"/>
            </w14:solidFill>
          </w14:textFill>
        </w:rPr>
        <w:t>合同的数量：</w:t>
      </w:r>
      <w:r>
        <w:rPr>
          <w:rFonts w:hint="default" w:ascii="Times New Roman" w:hAnsi="Times New Roman" w:eastAsia="宋体" w:cs="Times New Roman"/>
          <w:color w:val="000000" w:themeColor="text1"/>
          <w:sz w:val="24"/>
          <w:szCs w:val="24"/>
          <w:u w:val="none"/>
          <w14:textFill>
            <w14:solidFill>
              <w14:schemeClr w14:val="tx1"/>
            </w14:solidFill>
          </w14:textFill>
        </w:rPr>
        <w:t>本合同一式</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肆</w:t>
      </w:r>
      <w:r>
        <w:rPr>
          <w:rFonts w:hint="default" w:ascii="Times New Roman" w:hAnsi="Times New Roman" w:eastAsia="宋体" w:cs="Times New Roman"/>
          <w:color w:val="000000" w:themeColor="text1"/>
          <w:sz w:val="24"/>
          <w:szCs w:val="24"/>
          <w:u w:val="none"/>
          <w14:textFill>
            <w14:solidFill>
              <w14:schemeClr w14:val="tx1"/>
            </w14:solidFill>
          </w14:textFill>
        </w:rPr>
        <w:t>份，</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甲</w:t>
      </w:r>
      <w:r>
        <w:rPr>
          <w:rFonts w:hint="default" w:ascii="Times New Roman" w:hAnsi="Times New Roman" w:eastAsia="宋体" w:cs="Times New Roman"/>
          <w:color w:val="000000" w:themeColor="text1"/>
          <w:sz w:val="24"/>
          <w:szCs w:val="24"/>
          <w:u w:val="none"/>
          <w14:textFill>
            <w14:solidFill>
              <w14:schemeClr w14:val="tx1"/>
            </w14:solidFill>
          </w14:textFill>
        </w:rPr>
        <w:t>方执</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叁</w:t>
      </w:r>
      <w:r>
        <w:rPr>
          <w:rFonts w:hint="default" w:ascii="Times New Roman" w:hAnsi="Times New Roman" w:eastAsia="宋体" w:cs="Times New Roman"/>
          <w:color w:val="000000" w:themeColor="text1"/>
          <w:sz w:val="24"/>
          <w:szCs w:val="24"/>
          <w:u w:val="none"/>
          <w14:textFill>
            <w14:solidFill>
              <w14:schemeClr w14:val="tx1"/>
            </w14:solidFill>
          </w14:textFill>
        </w:rPr>
        <w:t>份</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乙方执壹份。</w:t>
      </w: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p>
    <w:p>
      <w:pPr>
        <w:spacing w:line="24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p>
    <w:p>
      <w:pPr>
        <w:spacing w:line="240" w:lineRule="auto"/>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p>
    <w:p>
      <w:pPr>
        <w:spacing w:line="240" w:lineRule="auto"/>
        <w:ind w:right="312" w:firstLine="268" w:firstLineChars="112"/>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 xml:space="preserve">甲方：                                   乙方： </w:t>
      </w:r>
    </w:p>
    <w:p>
      <w:pPr>
        <w:spacing w:line="240" w:lineRule="auto"/>
        <w:ind w:right="312" w:firstLine="268" w:firstLineChars="112"/>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 xml:space="preserve">地址：                                   地址： </w:t>
      </w:r>
    </w:p>
    <w:p>
      <w:pPr>
        <w:spacing w:line="240" w:lineRule="auto"/>
        <w:ind w:right="312" w:firstLine="268" w:firstLineChars="112"/>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法定代表人或授权代表：                   法定代表人或授权代表：</w:t>
      </w:r>
    </w:p>
    <w:p>
      <w:pPr>
        <w:spacing w:line="240" w:lineRule="auto"/>
        <w:ind w:right="312" w:firstLine="268" w:firstLineChars="112"/>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ab/>
      </w:r>
      <w:r>
        <w:rPr>
          <w:rFonts w:hint="default" w:ascii="Times New Roman" w:hAnsi="Times New Roman" w:eastAsia="宋体" w:cs="Times New Roman"/>
          <w:bCs/>
          <w:color w:val="000000" w:themeColor="text1"/>
          <w:sz w:val="24"/>
          <w:szCs w:val="24"/>
          <w14:textFill>
            <w14:solidFill>
              <w14:schemeClr w14:val="tx1"/>
            </w14:solidFill>
          </w14:textFill>
        </w:rPr>
        <w:t>联系电话：                               联系电话：</w:t>
      </w:r>
    </w:p>
    <w:p>
      <w:pPr>
        <w:pStyle w:val="24"/>
        <w:spacing w:line="240" w:lineRule="auto"/>
        <w:ind w:left="0" w:leftChars="0" w:firstLine="480" w:firstLineChars="200"/>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时间：                                   时间：</w:t>
      </w:r>
    </w:p>
    <w:p>
      <w:pPr>
        <w:pStyle w:val="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合同特殊条款</w:t>
      </w:r>
      <w:bookmarkEnd w:id="105"/>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（如有）</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第八章 磋商响应文件</w:t>
      </w:r>
      <w:bookmarkEnd w:id="104"/>
      <w:bookmarkStart w:id="144" w:name="_Toc511898266"/>
      <w:bookmarkEnd w:id="144"/>
    </w:p>
    <w:p>
      <w:pPr>
        <w:ind w:firstLine="3360" w:firstLineChars="1050"/>
        <w:rPr>
          <w:rFonts w:ascii="宋体" w:hAnsi="宋体" w:cs="Arial"/>
          <w:color w:val="000000" w:themeColor="text1"/>
          <w:sz w:val="32"/>
          <w:szCs w:val="32"/>
          <w14:textFill>
            <w14:solidFill>
              <w14:schemeClr w14:val="tx1"/>
            </w14:solidFill>
          </w14:textFill>
        </w:rPr>
      </w:pPr>
    </w:p>
    <w:p>
      <w:pPr>
        <w:ind w:firstLine="3360" w:firstLineChars="1050"/>
        <w:rPr>
          <w:rFonts w:ascii="宋体" w:hAnsi="宋体" w:cs="Arial"/>
          <w:color w:val="000000" w:themeColor="text1"/>
          <w:sz w:val="32"/>
          <w:szCs w:val="32"/>
          <w14:textFill>
            <w14:solidFill>
              <w14:schemeClr w14:val="tx1"/>
            </w14:solidFill>
          </w14:textFill>
        </w:rPr>
      </w:pPr>
    </w:p>
    <w:p>
      <w:pPr>
        <w:rPr>
          <w:rFonts w:ascii="宋体" w:hAnsi="宋体" w:cs="Arial"/>
          <w:color w:val="000000" w:themeColor="text1"/>
          <w:sz w:val="32"/>
          <w:szCs w:val="32"/>
          <w:u w:val="single"/>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项目名称：</w:t>
      </w:r>
    </w:p>
    <w:p>
      <w:pP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项目编号：</w:t>
      </w:r>
    </w:p>
    <w:p>
      <w:pPr>
        <w:jc w:val="center"/>
        <w:rPr>
          <w:rFonts w:ascii="宋体" w:hAnsi="宋体" w:cs="Arial"/>
          <w:color w:val="000000" w:themeColor="text1"/>
          <w14:textFill>
            <w14:solidFill>
              <w14:schemeClr w14:val="tx1"/>
            </w14:solidFill>
          </w14:textFill>
        </w:rPr>
      </w:pP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磋</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商</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响</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应</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文</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件</w:t>
      </w:r>
    </w:p>
    <w:p>
      <w:pPr>
        <w:jc w:val="center"/>
        <w:rPr>
          <w:rFonts w:ascii="宋体" w:hAnsi="宋体" w:cs="Arial"/>
          <w:color w:val="000000" w:themeColor="text1"/>
          <w14:textFill>
            <w14:solidFill>
              <w14:schemeClr w14:val="tx1"/>
            </w14:solidFill>
          </w14:textFill>
        </w:rPr>
      </w:pPr>
    </w:p>
    <w:p>
      <w:pPr>
        <w:jc w:val="center"/>
        <w:rPr>
          <w:rFonts w:ascii="宋体" w:hAnsi="宋体" w:cs="Arial"/>
          <w:b/>
          <w:bCs/>
          <w:color w:val="000000" w:themeColor="text1"/>
          <w:sz w:val="28"/>
          <w:szCs w:val="28"/>
          <w14:textFill>
            <w14:solidFill>
              <w14:schemeClr w14:val="tx1"/>
            </w14:solidFill>
          </w14:textFill>
        </w:rPr>
      </w:pPr>
    </w:p>
    <w:p>
      <w:pPr>
        <w:jc w:val="center"/>
        <w:rPr>
          <w:rFonts w:ascii="宋体" w:hAnsi="宋体" w:cs="Arial"/>
          <w:color w:val="000000" w:themeColor="text1"/>
          <w14:textFill>
            <w14:solidFill>
              <w14:schemeClr w14:val="tx1"/>
            </w14:solidFill>
          </w14:textFill>
        </w:rPr>
      </w:pPr>
    </w:p>
    <w:p>
      <w:pPr>
        <w:jc w:val="center"/>
        <w:rPr>
          <w:rFonts w:ascii="宋体" w:hAnsi="宋体" w:cs="Arial"/>
          <w:color w:val="000000" w:themeColor="text1"/>
          <w14:textFill>
            <w14:solidFill>
              <w14:schemeClr w14:val="tx1"/>
            </w14:solidFill>
          </w14:textFill>
        </w:rPr>
      </w:pPr>
    </w:p>
    <w:p>
      <w:pPr>
        <w:ind w:firstLine="640" w:firstLineChars="200"/>
        <w:jc w:val="cente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供应商：                  （盖章）</w:t>
      </w:r>
    </w:p>
    <w:p>
      <w:pPr>
        <w:ind w:firstLine="2880" w:firstLineChars="9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年      月      日</w:t>
      </w:r>
    </w:p>
    <w:p>
      <w:pPr>
        <w:pStyle w:val="34"/>
        <w:rPr>
          <w:color w:val="000000" w:themeColor="text1"/>
          <w14:textFill>
            <w14:solidFill>
              <w14:schemeClr w14:val="tx1"/>
            </w14:solidFill>
          </w14:textFill>
        </w:rPr>
      </w:pPr>
      <w:bookmarkStart w:id="145" w:name="_Toc272141473"/>
      <w:bookmarkEnd w:id="145"/>
      <w:bookmarkStart w:id="146" w:name="_Hlk450146465"/>
      <w:bookmarkEnd w:id="146"/>
      <w:bookmarkStart w:id="147" w:name="_Toc293560330"/>
      <w:bookmarkEnd w:id="147"/>
      <w:bookmarkStart w:id="148" w:name="_Toc19920"/>
      <w:r>
        <w:rPr>
          <w:rFonts w:hint="eastAsia"/>
          <w:color w:val="000000" w:themeColor="text1"/>
          <w14:textFill>
            <w14:solidFill>
              <w14:schemeClr w14:val="tx1"/>
            </w14:solidFill>
          </w14:textFill>
        </w:rPr>
        <w:br w:type="page"/>
      </w:r>
      <w:bookmarkEnd w:id="148"/>
      <w:bookmarkStart w:id="149" w:name="_Toc511899315"/>
      <w:bookmarkEnd w:id="149"/>
      <w:bookmarkStart w:id="150" w:name="_Toc8736"/>
      <w:bookmarkStart w:id="151" w:name="_Toc28461"/>
      <w:r>
        <w:rPr>
          <w:rFonts w:hint="eastAsia"/>
          <w:color w:val="000000" w:themeColor="text1"/>
          <w14:textFill>
            <w14:solidFill>
              <w14:schemeClr w14:val="tx1"/>
            </w14:solidFill>
          </w14:textFill>
        </w:rPr>
        <w:t>一、磋商响应函</w:t>
      </w:r>
      <w:bookmarkEnd w:id="150"/>
      <w:bookmarkEnd w:id="151"/>
    </w:p>
    <w:p>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1、根据贵方</w:t>
      </w:r>
      <w:r>
        <w:rPr>
          <w:rFonts w:hint="eastAsia" w:ascii="宋体" w:hAnsi="宋体" w:cs="Arial"/>
          <w:color w:val="000000" w:themeColor="text1"/>
          <w:u w:val="single"/>
          <w14:textFill>
            <w14:solidFill>
              <w14:schemeClr w14:val="tx1"/>
            </w14:solidFill>
          </w14:textFill>
        </w:rPr>
        <w:t xml:space="preserve"> （项目编号） </w:t>
      </w:r>
      <w:r>
        <w:rPr>
          <w:rFonts w:hint="eastAsia" w:ascii="宋体" w:hAnsi="宋体" w:cs="Arial"/>
          <w:color w:val="000000" w:themeColor="text1"/>
          <w14:textFill>
            <w14:solidFill>
              <w14:schemeClr w14:val="tx1"/>
            </w14:solidFill>
          </w14:textFill>
        </w:rPr>
        <w:t>竞争性磋商公告，我们决定参加贵方组织的</w:t>
      </w:r>
      <w:r>
        <w:rPr>
          <w:rFonts w:hint="eastAsia" w:ascii="宋体" w:hAnsi="宋体" w:cs="Arial"/>
          <w:color w:val="000000" w:themeColor="text1"/>
          <w:u w:val="single"/>
          <w14:textFill>
            <w14:solidFill>
              <w14:schemeClr w14:val="tx1"/>
            </w14:solidFill>
          </w14:textFill>
        </w:rPr>
        <w:t xml:space="preserve"> （项目名称）  </w:t>
      </w:r>
      <w:r>
        <w:rPr>
          <w:rFonts w:hint="eastAsia" w:ascii="宋体" w:hAnsi="宋体" w:cs="Arial"/>
          <w:color w:val="000000" w:themeColor="text1"/>
          <w14:textFill>
            <w14:solidFill>
              <w14:schemeClr w14:val="tx1"/>
            </w14:solidFill>
          </w14:textFill>
        </w:rPr>
        <w:t>的采购活动。我方授权</w:t>
      </w:r>
      <w:r>
        <w:rPr>
          <w:rFonts w:hint="eastAsia" w:ascii="宋体" w:hAnsi="宋体" w:cs="Arial"/>
          <w:color w:val="000000" w:themeColor="text1"/>
          <w:u w:val="single"/>
          <w14:textFill>
            <w14:solidFill>
              <w14:schemeClr w14:val="tx1"/>
            </w14:solidFill>
          </w14:textFill>
        </w:rPr>
        <w:t xml:space="preserve">  (姓名和职务)   </w:t>
      </w:r>
      <w:r>
        <w:rPr>
          <w:rFonts w:hint="eastAsia" w:ascii="宋体" w:hAnsi="宋体" w:cs="Arial"/>
          <w:color w:val="000000" w:themeColor="text1"/>
          <w14:textFill>
            <w14:solidFill>
              <w14:schemeClr w14:val="tx1"/>
            </w14:solidFill>
          </w14:textFill>
        </w:rPr>
        <w:t>代表我方</w:t>
      </w:r>
      <w:r>
        <w:rPr>
          <w:rFonts w:hint="eastAsia" w:ascii="宋体" w:hAnsi="宋体" w:cs="Arial"/>
          <w:color w:val="000000" w:themeColor="text1"/>
          <w:u w:val="single"/>
          <w14:textFill>
            <w14:solidFill>
              <w14:schemeClr w14:val="tx1"/>
            </w14:solidFill>
          </w14:textFill>
        </w:rPr>
        <w:t xml:space="preserve">  （供应商全称）   </w:t>
      </w:r>
      <w:r>
        <w:rPr>
          <w:rFonts w:hint="eastAsia" w:ascii="宋体" w:hAnsi="宋体" w:cs="Arial"/>
          <w:color w:val="000000" w:themeColor="text1"/>
          <w14:textFill>
            <w14:solidFill>
              <w14:schemeClr w14:val="tx1"/>
            </w14:solidFill>
          </w14:textFill>
        </w:rPr>
        <w:t>全权处理本项目磋商的有关事宜。</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2、我方愿意按照竞争性磋商文件规定的各项要求，向采购人提供所需的货物、服务或工程，总报价为</w:t>
      </w:r>
      <w:r>
        <w:rPr>
          <w:rFonts w:hint="eastAsia" w:ascii="宋体" w:hAnsi="宋体" w:cs="Arial"/>
          <w:color w:val="000000" w:themeColor="text1"/>
          <w:u w:val="single"/>
          <w:lang w:val="en-US" w:eastAsia="zh-CN"/>
          <w14:textFill>
            <w14:solidFill>
              <w14:schemeClr w14:val="tx1"/>
            </w14:solidFill>
          </w14:textFill>
        </w:rPr>
        <w:t xml:space="preserve">                </w:t>
      </w:r>
      <w:r>
        <w:rPr>
          <w:rFonts w:hint="eastAsia" w:ascii="宋体" w:hAnsi="宋体" w:cs="Arial"/>
          <w:color w:val="000000" w:themeColor="text1"/>
          <w14:textFill>
            <w14:solidFill>
              <w14:schemeClr w14:val="tx1"/>
            </w14:solidFill>
          </w14:textFill>
        </w:rPr>
        <w:t>（大写）。（</w:t>
      </w:r>
      <w:r>
        <w:rPr>
          <w:rFonts w:hint="eastAsia" w:ascii="宋体" w:hAnsi="宋体" w:cs="Arial"/>
          <w:color w:val="000000" w:themeColor="text1"/>
          <w:lang w:val="en-US" w:eastAsia="zh-CN"/>
          <w14:textFill>
            <w14:solidFill>
              <w14:schemeClr w14:val="tx1"/>
            </w14:solidFill>
          </w14:textFill>
        </w:rPr>
        <w:t>分项报价</w:t>
      </w:r>
      <w:r>
        <w:rPr>
          <w:rFonts w:hint="eastAsia" w:ascii="宋体" w:hAnsi="宋体" w:cs="Arial"/>
          <w:color w:val="000000" w:themeColor="text1"/>
          <w:u w:val="single"/>
          <w14:textFill>
            <w14:solidFill>
              <w14:schemeClr w14:val="tx1"/>
            </w14:solidFill>
          </w14:textFill>
        </w:rPr>
        <w:t>     </w:t>
      </w:r>
      <w:r>
        <w:rPr>
          <w:rFonts w:hint="eastAsia" w:ascii="宋体" w:hAnsi="宋体" w:cs="Arial"/>
          <w:color w:val="000000" w:themeColor="text1"/>
          <w14:textFill>
            <w14:solidFill>
              <w14:schemeClr w14:val="tx1"/>
            </w14:solidFill>
          </w14:textFill>
        </w:rPr>
        <w:t>）</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3、一旦我方中标，我方将严格履行合同规定的责任和义务，服务期：</w:t>
      </w:r>
      <w:r>
        <w:rPr>
          <w:rFonts w:hint="eastAsia" w:ascii="宋体" w:hAnsi="宋体" w:cs="Arial"/>
          <w:color w:val="000000" w:themeColor="text1"/>
          <w:lang w:val="en-US" w:eastAsia="zh-CN"/>
          <w14:textFill>
            <w14:solidFill>
              <w14:schemeClr w14:val="tx1"/>
            </w14:solidFill>
          </w14:textFill>
        </w:rPr>
        <w:t xml:space="preserve">   </w:t>
      </w:r>
      <w:r>
        <w:rPr>
          <w:rFonts w:hint="eastAsia" w:ascii="宋体" w:hAnsi="宋体" w:cs="Arial"/>
          <w:color w:val="000000" w:themeColor="text1"/>
          <w14:textFill>
            <w14:solidFill>
              <w14:schemeClr w14:val="tx1"/>
            </w14:solidFill>
          </w14:textFill>
        </w:rPr>
        <w:t>日历天。</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4、我方承诺，在磋商有效期内如果我方撤回磋商响应文件或成交后拒绝签订合同，我方将放弃要求贵方退还磋商保证金的权利。</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5、我方愿意提供贵方可能另外要求的、与磋商有关的文件资料，并保证我方已提供和将要提供的文件是真实的、准确的。</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6、我方提供以下开户行、账号，供结算货款（如果成交）：</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户名（全称）：    </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开户行：       </w:t>
      </w:r>
    </w:p>
    <w:p>
      <w:pPr>
        <w:spacing w:line="440" w:lineRule="exact"/>
        <w:ind w:firstLine="482" w:firstLineChars="230"/>
        <w:jc w:val="left"/>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账号（请填写完整）：</w:t>
      </w:r>
      <w:bookmarkStart w:id="152" w:name="_Hlk450185103"/>
      <w:bookmarkEnd w:id="152"/>
      <w:bookmarkStart w:id="153" w:name="_Toc272141474"/>
      <w:bookmarkEnd w:id="153"/>
    </w:p>
    <w:p>
      <w:pPr>
        <w:pStyle w:val="36"/>
        <w:widowControl w:val="0"/>
        <w:spacing w:line="440" w:lineRule="atLeast"/>
        <w:ind w:firstLine="3675"/>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p>
    <w:p>
      <w:pPr>
        <w:pStyle w:val="36"/>
        <w:widowControl w:val="0"/>
        <w:spacing w:line="440" w:lineRule="atLeast"/>
        <w:ind w:firstLine="3570" w:firstLineChars="17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（签字或盖章）或代理人签字</w:t>
      </w:r>
      <w:r>
        <w:rPr>
          <w:rFonts w:ascii="宋体" w:hAnsi="宋体"/>
          <w:color w:val="000000" w:themeColor="text1"/>
          <w14:textFill>
            <w14:solidFill>
              <w14:schemeClr w14:val="tx1"/>
            </w14:solidFill>
          </w14:textFill>
        </w:rPr>
        <w:t>：</w:t>
      </w:r>
    </w:p>
    <w:p>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地址：</w:t>
      </w:r>
    </w:p>
    <w:p>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网址：</w:t>
      </w:r>
    </w:p>
    <w:p>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电话：</w:t>
      </w:r>
    </w:p>
    <w:p>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传真：</w:t>
      </w:r>
    </w:p>
    <w:p>
      <w:pPr>
        <w:pStyle w:val="36"/>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邮政编码：</w:t>
      </w:r>
    </w:p>
    <w:p>
      <w:pPr>
        <w:spacing w:line="440" w:lineRule="exact"/>
        <w:ind w:firstLine="2100" w:firstLineChars="1000"/>
        <w:jc w:val="lef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日期：</w:t>
      </w:r>
    </w:p>
    <w:p>
      <w:pPr>
        <w:pStyle w:val="34"/>
        <w:ind w:firstLine="422" w:firstLineChars="200"/>
        <w:rPr>
          <w:color w:val="000000" w:themeColor="text1"/>
          <w14:textFill>
            <w14:solidFill>
              <w14:schemeClr w14:val="tx1"/>
            </w14:solidFill>
          </w14:textFill>
        </w:rPr>
      </w:pPr>
      <w:bookmarkStart w:id="154" w:name="_Toc511899317"/>
      <w:bookmarkEnd w:id="154"/>
      <w:bookmarkStart w:id="155" w:name="_Toc272141478"/>
      <w:bookmarkEnd w:id="155"/>
      <w:bookmarkStart w:id="156" w:name="_Toc511899316"/>
      <w:bookmarkEnd w:id="156"/>
      <w:bookmarkStart w:id="157" w:name="_Toc293560334"/>
      <w:bookmarkEnd w:id="157"/>
      <w:bookmarkStart w:id="158" w:name="_Toc17842"/>
      <w:r>
        <w:rPr>
          <w:rFonts w:hint="eastAsia"/>
          <w:color w:val="000000" w:themeColor="text1"/>
          <w14:textFill>
            <w14:solidFill>
              <w14:schemeClr w14:val="tx1"/>
            </w14:solidFill>
          </w14:textFill>
        </w:rPr>
        <w:br w:type="page"/>
      </w:r>
      <w:bookmarkEnd w:id="158"/>
      <w:bookmarkStart w:id="159" w:name="_Toc4648"/>
      <w:permStart w:id="0" w:edGrp="everyone"/>
      <w:r>
        <w:rPr>
          <w:rFonts w:hint="eastAsia"/>
          <w:color w:val="000000" w:themeColor="text1"/>
          <w14:textFill>
            <w14:solidFill>
              <w14:schemeClr w14:val="tx1"/>
            </w14:solidFill>
          </w14:textFill>
        </w:rPr>
        <w:t>二、项目要求响应情况表（服务类项目适用）</w:t>
      </w:r>
      <w:bookmarkEnd w:id="159"/>
    </w:p>
    <w:p>
      <w:pPr>
        <w:rPr>
          <w:rFonts w:ascii="宋体" w:hAnsi="宋体"/>
          <w:color w:val="000000" w:themeColor="text1"/>
          <w14:textFill>
            <w14:solidFill>
              <w14:schemeClr w14:val="tx1"/>
            </w14:solidFill>
          </w14:textFill>
        </w:rPr>
      </w:pPr>
    </w:p>
    <w:tbl>
      <w:tblPr>
        <w:tblStyle w:val="25"/>
        <w:tblW w:w="8700"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38"/>
        <w:gridCol w:w="2176"/>
        <w:gridCol w:w="143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138"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176"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35"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double" w:color="auto" w:sz="2" w:space="0"/>
              <w:right w:val="double" w:color="auto" w:sz="2" w:space="0"/>
            </w:tcBorders>
          </w:tcPr>
          <w:p>
            <w:pPr>
              <w:rPr>
                <w:rFonts w:ascii="宋体" w:hAnsi="宋体" w:cs="Arial"/>
                <w:color w:val="000000" w:themeColor="text1"/>
                <w14:textFill>
                  <w14:solidFill>
                    <w14:schemeClr w14:val="tx1"/>
                  </w14:solidFill>
                </w14:textFill>
              </w:rPr>
            </w:pPr>
          </w:p>
        </w:tc>
      </w:tr>
    </w:tbl>
    <w:p>
      <w:pPr>
        <w:rPr>
          <w:rFonts w:ascii="宋体" w:hAnsi="宋体" w:cs="Arial"/>
          <w:b/>
          <w:bCs/>
          <w:color w:val="000000" w:themeColor="text1"/>
          <w14:textFill>
            <w14:solidFill>
              <w14:schemeClr w14:val="tx1"/>
            </w14:solidFill>
          </w14:textFill>
        </w:rPr>
      </w:pP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通过改动磋商文件要求而使自已满足要求的情况。</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4、本表填报顺序需按磋商文件“第三章第一大项”中的顺序填写。</w:t>
      </w:r>
      <w:bookmarkStart w:id="160" w:name="_Toc18510"/>
      <w:bookmarkEnd w:id="160"/>
      <w:bookmarkStart w:id="161" w:name="_Toc293560335"/>
      <w:bookmarkEnd w:id="161"/>
      <w:bookmarkStart w:id="162" w:name="_Toc272141479"/>
      <w:bookmarkEnd w:id="162"/>
    </w:p>
    <w:p>
      <w:pPr>
        <w:pStyle w:val="34"/>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ermEnd w:id="0"/>
      <w:bookmarkStart w:id="163" w:name="_Toc511899318"/>
      <w:bookmarkEnd w:id="163"/>
      <w:bookmarkStart w:id="164" w:name="_Toc23789"/>
      <w:r>
        <w:rPr>
          <w:rFonts w:hint="eastAsia"/>
          <w:color w:val="000000" w:themeColor="text1"/>
          <w14:textFill>
            <w14:solidFill>
              <w14:schemeClr w14:val="tx1"/>
            </w14:solidFill>
          </w14:textFill>
        </w:rPr>
        <w:t>三、商务要求响应情况表（通用）</w:t>
      </w:r>
      <w:bookmarkEnd w:id="164"/>
    </w:p>
    <w:p>
      <w:pPr>
        <w:rPr>
          <w:rFonts w:ascii="宋体" w:hAnsi="宋体"/>
          <w:color w:val="000000" w:themeColor="text1"/>
          <w14:textFill>
            <w14:solidFill>
              <w14:schemeClr w14:val="tx1"/>
            </w14:solidFill>
          </w14:textFill>
        </w:rPr>
      </w:pPr>
    </w:p>
    <w:tbl>
      <w:tblPr>
        <w:tblStyle w:val="25"/>
        <w:tblW w:w="8791"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531"/>
        <w:gridCol w:w="147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54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531"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74"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double" w:color="auto" w:sz="2" w:space="0"/>
              <w:right w:val="double" w:color="auto" w:sz="2" w:space="0"/>
            </w:tcBorders>
          </w:tcPr>
          <w:p>
            <w:pPr>
              <w:rPr>
                <w:rFonts w:ascii="宋体" w:hAnsi="宋体" w:cs="Arial"/>
                <w:color w:val="000000" w:themeColor="text1"/>
                <w14:textFill>
                  <w14:solidFill>
                    <w14:schemeClr w14:val="tx1"/>
                  </w14:solidFill>
                </w14:textFill>
              </w:rPr>
            </w:pPr>
          </w:p>
        </w:tc>
      </w:tr>
    </w:tbl>
    <w:p>
      <w:pPr>
        <w:rPr>
          <w:rFonts w:ascii="宋体" w:hAnsi="宋体" w:cs="Arial"/>
          <w:b/>
          <w:bCs/>
          <w:color w:val="000000" w:themeColor="text1"/>
          <w14:textFill>
            <w14:solidFill>
              <w14:schemeClr w14:val="tx1"/>
            </w14:solidFill>
          </w14:textFill>
        </w:rPr>
      </w:pP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2、供应商必须根据自己所投服务与“磋商文件要求”的差异情况，实事求是地填写“响应情况”（优于、满足、不满足），并将这些差异内容用加粗的字体显示出来，不得出现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通过改动磋商文件要求而使自已的产品满足要求的情况。</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4、本表填报顺序需按磋商文件“第三章第二大项”中的顺序填写。</w:t>
      </w: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pStyle w:val="34"/>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65" w:name="_Toc511899319"/>
      <w:bookmarkEnd w:id="165"/>
      <w:bookmarkStart w:id="166" w:name="_Toc14379"/>
      <w:r>
        <w:rPr>
          <w:rFonts w:hint="eastAsia"/>
          <w:color w:val="000000" w:themeColor="text1"/>
          <w14:textFill>
            <w14:solidFill>
              <w14:schemeClr w14:val="tx1"/>
            </w14:solidFill>
          </w14:textFill>
        </w:rPr>
        <w:t>四、本项目实施方案</w:t>
      </w:r>
      <w:bookmarkEnd w:id="166"/>
    </w:p>
    <w:p>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（一）供应商或生产企业简介</w:t>
      </w:r>
    </w:p>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（不超过1000字）</w:t>
      </w:r>
    </w:p>
    <w:p>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（二）本项目详细实施方案、售后方案等</w:t>
      </w:r>
    </w:p>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（详细说明）</w:t>
      </w:r>
    </w:p>
    <w:p>
      <w:pPr>
        <w:spacing w:line="440" w:lineRule="exact"/>
        <w:ind w:firstLine="2368" w:firstLineChars="1123"/>
        <w:jc w:val="left"/>
        <w:rPr>
          <w:rFonts w:ascii="宋体" w:hAnsi="宋体"/>
          <w:b/>
          <w:bCs/>
          <w:color w:val="000000" w:themeColor="text1"/>
          <w14:textFill>
            <w14:solidFill>
              <w14:schemeClr w14:val="tx1"/>
            </w14:solidFill>
          </w14:textFill>
        </w:rPr>
      </w:pPr>
    </w:p>
    <w:p>
      <w:pPr>
        <w:pStyle w:val="34"/>
        <w:rPr>
          <w:color w:val="000000" w:themeColor="text1"/>
          <w14:textFill>
            <w14:solidFill>
              <w14:schemeClr w14:val="tx1"/>
            </w14:solidFill>
          </w14:textFill>
        </w:rPr>
      </w:pPr>
      <w:bookmarkStart w:id="167" w:name="_Toc272141480"/>
      <w:bookmarkEnd w:id="167"/>
      <w:bookmarkStart w:id="168" w:name="_Toc14703"/>
      <w:bookmarkEnd w:id="168"/>
      <w:bookmarkStart w:id="169" w:name="_Toc293560336"/>
      <w:bookmarkEnd w:id="169"/>
      <w:bookmarkStart w:id="170" w:name="_Hlk450185939"/>
      <w:bookmarkEnd w:id="170"/>
      <w:bookmarkStart w:id="171" w:name="_Toc511899320"/>
      <w:bookmarkStart w:id="172" w:name="_Toc31502"/>
      <w:r>
        <w:rPr>
          <w:rFonts w:hint="eastAsia"/>
          <w:color w:val="000000" w:themeColor="text1"/>
          <w14:textFill>
            <w14:solidFill>
              <w14:schemeClr w14:val="tx1"/>
            </w14:solidFill>
          </w14:textFill>
        </w:rPr>
        <w:t>五、资格证明文件</w:t>
      </w:r>
      <w:bookmarkEnd w:id="171"/>
      <w:r>
        <w:rPr>
          <w:rFonts w:hint="eastAsia"/>
          <w:color w:val="000000" w:themeColor="text1"/>
          <w14:textFill>
            <w14:solidFill>
              <w14:schemeClr w14:val="tx1"/>
            </w14:solidFill>
          </w14:textFill>
        </w:rPr>
        <w:t>及其他重要资料</w:t>
      </w:r>
      <w:bookmarkEnd w:id="172"/>
    </w:p>
    <w:p>
      <w:pPr>
        <w:spacing w:line="440" w:lineRule="exact"/>
        <w:ind w:firstLine="316" w:firstLineChars="15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供应商必须提供下列文件：</w:t>
      </w:r>
    </w:p>
    <w:p>
      <w:pPr>
        <w:numPr>
          <w:ilvl w:val="0"/>
          <w:numId w:val="10"/>
        </w:num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营业执照、税务登记证</w:t>
      </w: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pPr>
        <w:spacing w:line="440" w:lineRule="exact"/>
        <w:ind w:firstLine="210" w:firstLineChars="100"/>
        <w:jc w:val="left"/>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w:t>
      </w:r>
      <w:r>
        <w:rPr>
          <w:rFonts w:hint="eastAsia" w:ascii="宋体" w:hAnsi="宋体" w:cs="Arial"/>
          <w:b/>
          <w:bCs/>
          <w:color w:val="000000" w:themeColor="text1"/>
          <w14:textFill>
            <w14:solidFill>
              <w14:schemeClr w14:val="tx1"/>
            </w14:solidFill>
          </w14:textFill>
        </w:rPr>
        <w:t>三）法定代表人授权委托书（原件）</w:t>
      </w:r>
    </w:p>
    <w:p>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pPr>
        <w:pStyle w:val="36"/>
        <w:widowControl w:val="0"/>
        <w:topLinePunct/>
        <w:spacing w:line="440" w:lineRule="atLeast"/>
        <w:ind w:firstLine="630" w:firstLineChars="3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（姓名）</w:t>
      </w: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供应商</w:t>
      </w:r>
      <w:r>
        <w:rPr>
          <w:rFonts w:ascii="宋体" w:hAnsi="宋体"/>
          <w:color w:val="000000" w:themeColor="text1"/>
          <w:u w:val="single"/>
          <w14:textFill>
            <w14:solidFill>
              <w14:schemeClr w14:val="tx1"/>
            </w14:solidFill>
          </w14:textFill>
        </w:rPr>
        <w:t>名称）</w:t>
      </w:r>
      <w:r>
        <w:rPr>
          <w:rFonts w:ascii="宋体" w:hAnsi="宋体"/>
          <w:color w:val="000000" w:themeColor="text1"/>
          <w14:textFill>
            <w14:solidFill>
              <w14:schemeClr w14:val="tx1"/>
            </w14:solidFill>
          </w14:textFill>
        </w:rPr>
        <w:t>的法定代表人，现委托</w:t>
      </w:r>
      <w:r>
        <w:rPr>
          <w:rFonts w:ascii="宋体" w:hAnsi="宋体"/>
          <w:color w:val="000000" w:themeColor="text1"/>
          <w:u w:val="single"/>
          <w14:textFill>
            <w14:solidFill>
              <w14:schemeClr w14:val="tx1"/>
            </w14:solidFill>
          </w14:textFill>
        </w:rPr>
        <w:t>（姓名</w:t>
      </w:r>
      <w:r>
        <w:rPr>
          <w:rFonts w:hint="eastAsia" w:ascii="宋体" w:hAnsi="宋体"/>
          <w:color w:val="000000" w:themeColor="text1"/>
          <w:u w:val="single"/>
          <w14:textFill>
            <w14:solidFill>
              <w14:schemeClr w14:val="tx1"/>
            </w14:solidFill>
          </w14:textFill>
        </w:rPr>
        <w:t>、职务</w:t>
      </w:r>
      <w:r>
        <w:rPr>
          <w:rFonts w:ascii="宋体" w:hAnsi="宋体"/>
          <w:color w:val="000000" w:themeColor="text1"/>
          <w:u w:val="single"/>
          <w14:textFill>
            <w14:solidFill>
              <w14:schemeClr w14:val="tx1"/>
            </w14:solidFill>
          </w14:textFill>
        </w:rPr>
        <w:t>）</w:t>
      </w:r>
      <w:r>
        <w:rPr>
          <w:rFonts w:ascii="宋体" w:hAnsi="宋体"/>
          <w:color w:val="000000" w:themeColor="text1"/>
          <w14:textFill>
            <w14:solidFill>
              <w14:schemeClr w14:val="tx1"/>
            </w14:solidFill>
          </w14:textFill>
        </w:rPr>
        <w:t>为我方代理人。代理人根据授权，以我方名义签署、澄清</w:t>
      </w:r>
      <w:r>
        <w:rPr>
          <w:rFonts w:hint="eastAsia" w:ascii="宋体" w:hAnsi="宋体"/>
          <w:color w:val="000000" w:themeColor="text1"/>
          <w14:textFill>
            <w14:solidFill>
              <w14:schemeClr w14:val="tx1"/>
            </w14:solidFill>
          </w14:textFill>
        </w:rPr>
        <w:t>、说明、补正</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提交</w:t>
      </w:r>
      <w:r>
        <w:rPr>
          <w:rFonts w:ascii="宋体" w:hAnsi="宋体"/>
          <w:color w:val="000000" w:themeColor="text1"/>
          <w14:textFill>
            <w14:solidFill>
              <w14:schemeClr w14:val="tx1"/>
            </w14:solidFill>
          </w14:textFill>
        </w:rPr>
        <w:t>、撤回、修改</w:t>
      </w:r>
      <w:r>
        <w:rPr>
          <w:rFonts w:ascii="宋体" w:hAnsi="宋体"/>
          <w:color w:val="000000" w:themeColor="text1"/>
          <w:u w:val="single"/>
          <w14:textFill>
            <w14:solidFill>
              <w14:schemeClr w14:val="tx1"/>
            </w14:solidFill>
          </w14:textFill>
        </w:rPr>
        <w:t>（项目名称</w:t>
      </w:r>
      <w:r>
        <w:rPr>
          <w:rFonts w:hint="eastAsia" w:ascii="宋体" w:hAnsi="宋体"/>
          <w:color w:val="000000" w:themeColor="text1"/>
          <w:u w:val="single"/>
          <w14:textFill>
            <w14:solidFill>
              <w14:schemeClr w14:val="tx1"/>
            </w14:solidFill>
          </w14:textFill>
        </w:rPr>
        <w:t>、项目编号</w:t>
      </w:r>
      <w:r>
        <w:rPr>
          <w:rFonts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磋商响应</w:t>
      </w:r>
      <w:r>
        <w:rPr>
          <w:rFonts w:ascii="宋体" w:hAnsi="宋体"/>
          <w:color w:val="000000" w:themeColor="text1"/>
          <w14:textFill>
            <w14:solidFill>
              <w14:schemeClr w14:val="tx1"/>
            </w14:solidFill>
          </w14:textFill>
        </w:rPr>
        <w:t>文件、签订合同和处理有关事宜，其法律后果由我方承担。</w:t>
      </w:r>
    </w:p>
    <w:p>
      <w:pPr>
        <w:pStyle w:val="36"/>
        <w:widowControl w:val="0"/>
        <w:spacing w:line="440" w:lineRule="atLeas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hint="eastAsia" w:ascii="宋体" w:hAnsi="宋体"/>
          <w:color w:val="000000" w:themeColor="text1"/>
          <w14:textFill>
            <w14:solidFill>
              <w14:schemeClr w14:val="tx1"/>
            </w14:solidFill>
          </w14:textFill>
        </w:rPr>
        <w:t>。</w:t>
      </w:r>
    </w:p>
    <w:p>
      <w:pPr>
        <w:spacing w:line="440" w:lineRule="exact"/>
        <w:ind w:firstLine="420" w:firstLineChars="200"/>
        <w:jc w:val="left"/>
        <w:rPr>
          <w:rFonts w:ascii="宋体" w:hAnsi="宋体" w:cs="Arial"/>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jc w:val="left"/>
        <w:rPr>
          <w:rFonts w:ascii="宋体" w:hAnsi="宋体" w:cs="Arial"/>
          <w:color w:val="000000" w:themeColor="text1"/>
          <w14:textFill>
            <w14:solidFill>
              <w14:schemeClr w14:val="tx1"/>
            </w14:solidFill>
          </w14:textFill>
        </w:rPr>
      </w:pPr>
    </w:p>
    <w:p>
      <w:pPr>
        <w:spacing w:line="440" w:lineRule="exact"/>
        <w:ind w:firstLine="2520" w:firstLineChars="1200"/>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w:t>
      </w:r>
    </w:p>
    <w:p>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pPr>
        <w:spacing w:line="440" w:lineRule="exact"/>
        <w:ind w:firstLine="2205" w:firstLineChars="1050"/>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代理人（被授权人）签字：</w:t>
      </w:r>
    </w:p>
    <w:p>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供应商名称：（</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r>
        <w:rPr>
          <w:rFonts w:hint="eastAsia" w:ascii="宋体" w:hAnsi="宋体" w:cs="Arial"/>
          <w:color w:val="000000" w:themeColor="text1"/>
          <w14:textFill>
            <w14:solidFill>
              <w14:schemeClr w14:val="tx1"/>
            </w14:solidFill>
          </w14:textFill>
        </w:rPr>
        <w:t>）</w:t>
      </w:r>
    </w:p>
    <w:p>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日      期：</w:t>
      </w:r>
    </w:p>
    <w:p>
      <w:pPr>
        <w:spacing w:line="440" w:lineRule="exact"/>
        <w:jc w:val="left"/>
        <w:rPr>
          <w:rFonts w:ascii="宋体" w:hAnsi="宋体" w:cs="Arial"/>
          <w:color w:val="000000" w:themeColor="text1"/>
          <w14:textFill>
            <w14:solidFill>
              <w14:schemeClr w14:val="tx1"/>
            </w14:solidFill>
          </w14:textFill>
        </w:rPr>
      </w:pPr>
    </w:p>
    <w:p>
      <w:pPr>
        <w:spacing w:line="440" w:lineRule="exact"/>
        <w:jc w:val="left"/>
        <w:rPr>
          <w:rFonts w:ascii="宋体" w:hAnsi="宋体" w:cs="Arial"/>
          <w:color w:val="000000" w:themeColor="text1"/>
          <w14:textFill>
            <w14:solidFill>
              <w14:schemeClr w14:val="tx1"/>
            </w14:solidFill>
          </w14:textFill>
        </w:rPr>
      </w:pPr>
    </w:p>
    <w:p>
      <w:pPr>
        <w:spacing w:line="440" w:lineRule="exact"/>
        <w:jc w:val="left"/>
        <w:rPr>
          <w:rFonts w:ascii="宋体" w:hAnsi="宋体" w:cs="Arial"/>
          <w:color w:val="000000" w:themeColor="text1"/>
          <w14:textFill>
            <w14:solidFill>
              <w14:schemeClr w14:val="tx1"/>
            </w14:solidFill>
          </w14:textFill>
        </w:rPr>
      </w:pPr>
    </w:p>
    <w:p>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（需附供应商法定代表人、被授权代表人身份证正反面扫描件）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pPr>
        <w:spacing w:line="440" w:lineRule="exact"/>
        <w:ind w:firstLine="211" w:firstLineChars="100"/>
        <w:jc w:val="left"/>
        <w:rPr>
          <w:rFonts w:ascii="宋体" w:hAnsi="宋体" w:cs="Arial"/>
          <w:b/>
          <w:bCs/>
          <w:color w:val="000000" w:themeColor="text1"/>
          <w14:textFill>
            <w14:solidFill>
              <w14:schemeClr w14:val="tx1"/>
            </w14:solidFill>
          </w14:textFill>
        </w:rPr>
      </w:pPr>
    </w:p>
    <w:p>
      <w:pPr>
        <w:spacing w:line="440" w:lineRule="exact"/>
        <w:ind w:firstLine="211" w:firstLineChars="10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（四）法定代表人身份证明书</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单位性质： </w:t>
      </w:r>
    </w:p>
    <w:p>
      <w:pPr>
        <w:spacing w:line="360" w:lineRule="auto"/>
        <w:ind w:firstLine="420" w:firstLineChars="2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地    址：</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成立时间：年月日</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经营期限：</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供应商纳税人识别号：</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姓名：性别：年龄：职务：_</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系（供应商名称）的法定代表人。</w:t>
      </w:r>
    </w:p>
    <w:p>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特此证明。</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供应商：（盖</w:t>
      </w:r>
      <w:r>
        <w:rPr>
          <w:rFonts w:ascii="宋体" w:hAnsi="宋体"/>
          <w:color w:val="000000" w:themeColor="text1"/>
          <w14:textFill>
            <w14:solidFill>
              <w14:schemeClr w14:val="tx1"/>
            </w14:solidFill>
          </w14:textFill>
        </w:rPr>
        <w:t>章</w:t>
      </w:r>
      <w:r>
        <w:rPr>
          <w:rFonts w:hint="eastAsia" w:ascii="宋体" w:hAnsi="宋体"/>
          <w:color w:val="000000" w:themeColor="text1"/>
          <w14:textFill>
            <w14:solidFill>
              <w14:schemeClr w14:val="tx1"/>
            </w14:solidFill>
          </w14:textFill>
        </w:rPr>
        <w:t>）</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spacing w:line="360" w:lineRule="auto"/>
        <w:rPr>
          <w:rFonts w:ascii="宋体" w:hAnsi="宋体"/>
          <w:color w:val="000000" w:themeColor="text1"/>
          <w14:textFill>
            <w14:solidFill>
              <w14:schemeClr w14:val="tx1"/>
            </w14:solidFill>
          </w14:textFill>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br w:type="page"/>
      </w:r>
      <w:r>
        <w:rPr>
          <w:rFonts w:hint="eastAsia" w:ascii="宋体" w:hAnsi="宋体" w:cs="Arial"/>
          <w:b/>
          <w:bCs/>
          <w:color w:val="000000" w:themeColor="text1"/>
          <w:sz w:val="28"/>
          <w:szCs w:val="28"/>
          <w14:textFill>
            <w14:solidFill>
              <w14:schemeClr w14:val="tx1"/>
            </w14:solidFill>
          </w14:textFill>
        </w:rPr>
        <w:t>（五）磋商文件规定的其他材料</w:t>
      </w:r>
    </w:p>
    <w:p>
      <w:pPr>
        <w:jc w:val="center"/>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173" w:name="_Toc511898267"/>
      <w:bookmarkEnd w:id="173"/>
      <w:bookmarkStart w:id="174" w:name="_Toc511899322"/>
      <w:bookmarkEnd w:id="174"/>
      <w:r>
        <w:rPr>
          <w:rFonts w:hint="eastAsia"/>
          <w:b/>
          <w:bCs/>
          <w:color w:val="000000" w:themeColor="text1"/>
          <w14:textFill>
            <w14:solidFill>
              <w14:schemeClr w14:val="tx1"/>
            </w14:solidFill>
          </w14:textFill>
        </w:rPr>
        <w:t>一、开标一览表</w:t>
      </w:r>
    </w:p>
    <w:p>
      <w:pPr>
        <w:rPr>
          <w:rFonts w:ascii="宋体" w:hAnsi="宋体" w:cs="Arial"/>
          <w:b/>
          <w:bCs/>
          <w:color w:val="000000" w:themeColor="text1"/>
          <w14:textFill>
            <w14:solidFill>
              <w14:schemeClr w14:val="tx1"/>
            </w14:solidFill>
          </w14:textFill>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bookmarkStart w:id="175" w:name="_Hlk450185766"/>
            <w:r>
              <w:rPr>
                <w:rFonts w:hint="eastAsia" w:ascii="宋体" w:hAnsi="宋体" w:cs="Arial"/>
                <w:color w:val="000000" w:themeColor="text1"/>
                <w14:textFill>
                  <w14:solidFill>
                    <w14:schemeClr w14:val="tx1"/>
                  </w14:solidFill>
                </w14:textFill>
              </w:rPr>
              <w:t>标题</w:t>
            </w:r>
            <w:bookmarkEnd w:id="175"/>
          </w:p>
        </w:tc>
        <w:tc>
          <w:tcPr>
            <w:tcW w:w="5202" w:type="dxa"/>
            <w:tcBorders>
              <w:top w:val="double" w:color="auto" w:sz="2" w:space="0"/>
              <w:left w:val="nil"/>
              <w:bottom w:val="single" w:color="auto" w:sz="4" w:space="0"/>
              <w:right w:val="double" w:color="auto" w:sz="2"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项目编号</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供应商（盖章）</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法定代表人（签字或盖章）或</w:t>
            </w:r>
          </w:p>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被授权人（签字）</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投标</w:t>
            </w:r>
            <w:r>
              <w:rPr>
                <w:rFonts w:hint="eastAsia" w:ascii="宋体" w:hAnsi="宋体" w:cs="Arial"/>
                <w:color w:val="000000" w:themeColor="text1"/>
                <w:lang w:val="en-US" w:eastAsia="zh-CN"/>
                <w14:textFill>
                  <w14:solidFill>
                    <w14:schemeClr w14:val="tx1"/>
                  </w14:solidFill>
                </w14:textFill>
              </w:rPr>
              <w:t>管理费报价</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w:t>
            </w:r>
            <w:r>
              <w:rPr>
                <w:rFonts w:hint="eastAsia" w:ascii="宋体" w:hAnsi="宋体" w:cs="Arial"/>
                <w:color w:val="000000" w:themeColor="text1"/>
                <w:lang w:val="en-US" w:eastAsia="zh-CN"/>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 xml:space="preserve">                    元/</w:t>
            </w:r>
            <w:r>
              <w:rPr>
                <w:rFonts w:hint="eastAsia" w:ascii="宋体" w:hAnsi="宋体" w:cs="Arial"/>
                <w:color w:val="000000" w:themeColor="text1"/>
                <w:lang w:val="en-US" w:eastAsia="zh-CN"/>
                <w14:textFill>
                  <w14:solidFill>
                    <w14:schemeClr w14:val="tx1"/>
                  </w14:solidFill>
                </w14:textFill>
              </w:rPr>
              <w:t>台/年</w:t>
            </w:r>
            <w:r>
              <w:rPr>
                <w:rFonts w:hint="eastAsia" w:ascii="宋体" w:hAnsi="宋体" w:cs="Arial"/>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投标</w:t>
            </w:r>
            <w:r>
              <w:rPr>
                <w:rFonts w:hint="eastAsia" w:ascii="宋体" w:hAnsi="宋体" w:cs="Arial"/>
                <w:color w:val="000000" w:themeColor="text1"/>
                <w:lang w:val="en-US" w:eastAsia="zh-CN"/>
                <w14:textFill>
                  <w14:solidFill>
                    <w14:schemeClr w14:val="tx1"/>
                  </w14:solidFill>
                </w14:textFill>
              </w:rPr>
              <w:t>开水直饮水报价</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元/升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w:t>
            </w:r>
            <w:r>
              <w:rPr>
                <w:rFonts w:hint="eastAsia" w:ascii="宋体" w:hAnsi="宋体" w:cs="Arial"/>
                <w:color w:val="000000" w:themeColor="text1"/>
                <w:lang w:val="en-US" w:eastAsia="zh-CN"/>
                <w14:textFill>
                  <w14:solidFill>
                    <w14:schemeClr w14:val="tx1"/>
                  </w14:solidFill>
                </w14:textFill>
              </w:rPr>
              <w:t>常温直饮水报价</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hint="default" w:ascii="宋体" w:hAnsi="宋体" w:cs="Arial"/>
                <w:color w:val="000000" w:themeColor="text1"/>
                <w:lang w:val="en-US"/>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u w:val="single"/>
                <w:lang w:val="en-US" w:eastAsia="zh-CN"/>
                <w14:textFill>
                  <w14:solidFill>
                    <w14:schemeClr w14:val="tx1"/>
                  </w14:solidFill>
                </w14:textFill>
              </w:rPr>
              <w:t>元/升</w:t>
            </w:r>
          </w:p>
        </w:tc>
      </w:tr>
    </w:tbl>
    <w:p>
      <w:pPr>
        <w:ind w:left="7280" w:hanging="7280" w:hangingChars="2600"/>
        <w:rPr>
          <w:rFonts w:ascii="宋体" w:hAnsi="宋体"/>
          <w:color w:val="000000" w:themeColor="text1"/>
          <w:sz w:val="28"/>
          <w:szCs w:val="28"/>
          <w14:textFill>
            <w14:solidFill>
              <w14:schemeClr w14:val="tx1"/>
            </w14:solidFill>
          </w14:textFill>
        </w:rPr>
      </w:pPr>
    </w:p>
    <w:p>
      <w:pPr>
        <w:ind w:left="7280" w:hanging="7280" w:hangingChars="2600"/>
        <w:rPr>
          <w:rFonts w:ascii="宋体" w:hAnsi="宋体"/>
          <w:color w:val="000000" w:themeColor="text1"/>
          <w:sz w:val="28"/>
          <w:szCs w:val="28"/>
          <w14:textFill>
            <w14:solidFill>
              <w14:schemeClr w14:val="tx1"/>
            </w14:solidFill>
          </w14:textFill>
        </w:rPr>
      </w:pPr>
    </w:p>
    <w:p>
      <w:pPr>
        <w:ind w:left="7280" w:hanging="7280" w:hangingChars="2600"/>
        <w:rPr>
          <w:rFonts w:ascii="宋体" w:hAnsi="宋体"/>
          <w:color w:val="000000" w:themeColor="text1"/>
          <w:sz w:val="28"/>
          <w:szCs w:val="28"/>
          <w14:textFill>
            <w14:solidFill>
              <w14:schemeClr w14:val="tx1"/>
            </w14:solidFill>
          </w14:textFill>
        </w:rPr>
      </w:pPr>
    </w:p>
    <w:p>
      <w:pPr>
        <w:ind w:left="7280" w:hanging="7280" w:hangingChars="2600"/>
        <w:rPr>
          <w:rFonts w:ascii="宋体" w:hAnsi="宋体"/>
          <w:color w:val="000000" w:themeColor="text1"/>
          <w:sz w:val="28"/>
          <w:szCs w:val="28"/>
          <w14:textFill>
            <w14:solidFill>
              <w14:schemeClr w14:val="tx1"/>
            </w14:solidFill>
          </w14:textFill>
        </w:rPr>
      </w:pPr>
    </w:p>
    <w:p>
      <w:pPr>
        <w:jc w:val="center"/>
        <w:rPr>
          <w:b/>
          <w:bCs/>
          <w:color w:val="000000" w:themeColor="text1"/>
          <w:sz w:val="30"/>
          <w:szCs w:val="30"/>
          <w14:textFill>
            <w14:solidFill>
              <w14:schemeClr w14:val="tx1"/>
            </w14:solidFill>
          </w14:textFill>
        </w:rPr>
      </w:pPr>
      <w:bookmarkStart w:id="176" w:name="_Toc3760"/>
      <w:bookmarkEnd w:id="176"/>
      <w:r>
        <w:rPr>
          <w:rFonts w:hint="eastAsia"/>
          <w:color w:val="000000" w:themeColor="text1"/>
          <w14:textFill>
            <w14:solidFill>
              <w14:schemeClr w14:val="tx1"/>
            </w14:solidFill>
          </w14:textFill>
        </w:rPr>
        <w:br w:type="page"/>
      </w:r>
      <w:bookmarkStart w:id="177" w:name="_Toc511899324"/>
      <w:bookmarkEnd w:id="177"/>
      <w:bookmarkStart w:id="178" w:name="_Toc511899323"/>
      <w:bookmarkEnd w:id="178"/>
      <w:permStart w:id="1" w:edGrp="everyone"/>
      <w:r>
        <w:rPr>
          <w:rFonts w:hint="eastAsia"/>
          <w:b/>
          <w:bCs/>
          <w:color w:val="000000" w:themeColor="text1"/>
          <w14:textFill>
            <w14:solidFill>
              <w14:schemeClr w14:val="tx1"/>
            </w14:solidFill>
          </w14:textFill>
        </w:rPr>
        <w:t>二、服务分项报价表（服务类项目适用）</w:t>
      </w:r>
    </w:p>
    <w:p>
      <w:pPr>
        <w:rPr>
          <w:color w:val="000000" w:themeColor="text1"/>
          <w14:textFill>
            <w14:solidFill>
              <w14:schemeClr w14:val="tx1"/>
            </w14:solidFill>
          </w14:textFill>
        </w:rPr>
      </w:pPr>
    </w:p>
    <w:tbl>
      <w:tblPr>
        <w:tblStyle w:val="25"/>
        <w:tblW w:w="4998"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036"/>
        <w:gridCol w:w="1201"/>
        <w:gridCol w:w="983"/>
        <w:gridCol w:w="983"/>
        <w:gridCol w:w="98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7" w:type="pct"/>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2308" w:type="pct"/>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内容</w:t>
            </w:r>
          </w:p>
        </w:tc>
        <w:tc>
          <w:tcPr>
            <w:tcW w:w="687" w:type="pct"/>
            <w:tcBorders>
              <w:top w:val="double" w:color="auto" w:sz="2" w:space="0"/>
              <w:left w:val="single" w:color="auto" w:sz="4" w:space="0"/>
              <w:bottom w:val="single" w:color="auto" w:sz="4" w:space="0"/>
              <w:right w:val="single" w:color="auto" w:sz="4" w:space="0"/>
            </w:tcBorders>
            <w:vAlign w:val="center"/>
          </w:tcPr>
          <w:p>
            <w:pPr>
              <w:jc w:val="center"/>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数量</w:t>
            </w:r>
          </w:p>
        </w:tc>
        <w:tc>
          <w:tcPr>
            <w:tcW w:w="562" w:type="pct"/>
            <w:tcBorders>
              <w:top w:val="double" w:color="auto" w:sz="2" w:space="0"/>
              <w:left w:val="single" w:color="auto" w:sz="4" w:space="0"/>
              <w:bottom w:val="single" w:color="auto" w:sz="4" w:space="0"/>
              <w:right w:val="double" w:color="auto" w:sz="2" w:space="0"/>
            </w:tcBorders>
            <w:vAlign w:val="center"/>
          </w:tcPr>
          <w:p>
            <w:pPr>
              <w:jc w:val="center"/>
              <w:rPr>
                <w:rFonts w:hint="eastAsia" w:ascii="宋体" w:hAnsi="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单价</w:t>
            </w:r>
          </w:p>
          <w:p>
            <w:pPr>
              <w:jc w:val="center"/>
              <w:rPr>
                <w:rFonts w:hint="eastAsia" w:ascii="宋体" w:hAnsi="宋体" w:eastAsia="宋体" w:cs="Arial"/>
                <w:color w:val="000000" w:themeColor="text1"/>
                <w:lang w:val="en-US" w:eastAsia="zh-CN"/>
                <w14:textFill>
                  <w14:solidFill>
                    <w14:schemeClr w14:val="tx1"/>
                  </w14:solidFill>
                </w14:textFill>
              </w:rPr>
            </w:pPr>
          </w:p>
        </w:tc>
        <w:tc>
          <w:tcPr>
            <w:tcW w:w="562" w:type="pct"/>
            <w:tcBorders>
              <w:top w:val="double" w:color="auto" w:sz="2" w:space="0"/>
              <w:left w:val="single" w:color="auto" w:sz="4" w:space="0"/>
              <w:bottom w:val="single" w:color="auto" w:sz="4" w:space="0"/>
              <w:right w:val="double" w:color="auto" w:sz="2" w:space="0"/>
            </w:tcBorders>
            <w:vAlign w:val="center"/>
          </w:tcPr>
          <w:p>
            <w:pPr>
              <w:jc w:val="center"/>
              <w:rPr>
                <w:rFonts w:hint="eastAsia" w:ascii="宋体" w:hAnsi="宋体" w:cs="Arial"/>
                <w:color w:val="000000" w:themeColor="text1"/>
                <w:lang w:val="en-US" w:eastAsia="zh-CN"/>
                <w14:textFill>
                  <w14:solidFill>
                    <w14:schemeClr w14:val="tx1"/>
                  </w14:solidFill>
                </w14:textFill>
              </w:rPr>
            </w:pPr>
            <w:r>
              <w:rPr>
                <w:rFonts w:hint="eastAsia" w:ascii="宋体" w:hAnsi="宋体" w:cs="Arial"/>
                <w:color w:val="000000" w:themeColor="text1"/>
                <w:lang w:val="en-US" w:eastAsia="zh-CN"/>
                <w14:textFill>
                  <w14:solidFill>
                    <w14:schemeClr w14:val="tx1"/>
                  </w14:solidFill>
                </w14:textFill>
              </w:rPr>
              <w:t>总价</w:t>
            </w:r>
          </w:p>
          <w:p>
            <w:pPr>
              <w:jc w:val="center"/>
              <w:rPr>
                <w:rFonts w:hint="eastAsia" w:ascii="宋体" w:hAnsi="宋体" w:eastAsia="宋体" w:cs="Arial"/>
                <w:color w:val="000000" w:themeColor="text1"/>
                <w:lang w:val="en-US" w:eastAsia="zh-CN"/>
                <w14:textFill>
                  <w14:solidFill>
                    <w14:schemeClr w14:val="tx1"/>
                  </w14:solidFill>
                </w14:textFill>
              </w:rPr>
            </w:pPr>
          </w:p>
        </w:tc>
        <w:tc>
          <w:tcPr>
            <w:tcW w:w="562" w:type="pct"/>
            <w:tcBorders>
              <w:top w:val="double" w:color="auto" w:sz="2"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Arial"/>
                <w:color w:val="000000" w:themeColor="text1"/>
                <w:lang w:eastAsia="zh-CN"/>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Arial"/>
                <w:color w:val="000000" w:themeColor="text1"/>
                <w:lang w:val="en-US" w:eastAsia="zh-CN"/>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hint="eastAsia" w:ascii="宋体" w:hAnsi="宋体" w:eastAsia="宋体" w:cs="Arial"/>
                <w:color w:val="000000" w:themeColor="text1"/>
                <w:lang w:val="en-US" w:eastAsia="zh-CN"/>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hint="default" w:ascii="宋体" w:hAnsi="宋体" w:eastAsia="宋体" w:cs="Arial"/>
                <w:color w:val="000000" w:themeColor="text1"/>
                <w:lang w:val="en-US" w:eastAsia="zh-CN"/>
                <w14:textFill>
                  <w14:solidFill>
                    <w14:schemeClr w14:val="tx1"/>
                  </w14:solidFill>
                </w14:textFill>
              </w:rPr>
            </w:pPr>
          </w:p>
        </w:tc>
        <w:tc>
          <w:tcPr>
            <w:tcW w:w="562" w:type="pct"/>
            <w:vMerge w:val="restar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合计</w:t>
            </w:r>
          </w:p>
        </w:tc>
        <w:tc>
          <w:tcPr>
            <w:tcW w:w="2308" w:type="pct"/>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000000" w:themeColor="text1"/>
                <w14:textFill>
                  <w14:solidFill>
                    <w14:schemeClr w14:val="tx1"/>
                  </w14:solidFill>
                </w14:textFill>
              </w:rPr>
            </w:pPr>
          </w:p>
        </w:tc>
        <w:tc>
          <w:tcPr>
            <w:tcW w:w="687" w:type="pct"/>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b/>
                <w:bCs/>
                <w:color w:val="000000" w:themeColor="text1"/>
                <w14:textFill>
                  <w14:solidFill>
                    <w14:schemeClr w14:val="tx1"/>
                  </w14:solidFill>
                </w14:textFill>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b/>
                <w:bCs/>
                <w:color w:val="000000" w:themeColor="text1"/>
                <w14:textFill>
                  <w14:solidFill>
                    <w14:schemeClr w14:val="tx1"/>
                  </w14:solidFill>
                </w14:textFill>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000000" w:themeColor="text1"/>
                <w14:textFill>
                  <w14:solidFill>
                    <w14:schemeClr w14:val="tx1"/>
                  </w14:solidFill>
                </w14:textFill>
              </w:rPr>
            </w:pPr>
          </w:p>
        </w:tc>
      </w:tr>
    </w:tbl>
    <w:p>
      <w:pPr>
        <w:rPr>
          <w:rFonts w:ascii="宋体" w:hAnsi="宋体" w:cs="Arial"/>
          <w:color w:val="000000" w:themeColor="text1"/>
          <w14:textFill>
            <w14:solidFill>
              <w14:schemeClr w14:val="tx1"/>
            </w14:solidFill>
          </w14:textFill>
        </w:rPr>
      </w:pPr>
    </w:p>
    <w:p>
      <w:pPr>
        <w:spacing w:line="520" w:lineRule="exact"/>
        <w:rPr>
          <w:rFonts w:hint="eastAsia" w:ascii="宋体" w:hAnsi="宋体" w:cs="Arial"/>
          <w:b w:val="0"/>
          <w:bCs w:val="0"/>
          <w:color w:val="000000" w:themeColor="text1"/>
          <w:sz w:val="24"/>
          <w:szCs w:val="24"/>
          <w14:textFill>
            <w14:solidFill>
              <w14:schemeClr w14:val="tx1"/>
            </w14:solidFill>
          </w14:textFill>
        </w:rPr>
      </w:pPr>
      <w:r>
        <w:rPr>
          <w:rFonts w:hint="eastAsia" w:ascii="宋体" w:hAnsi="宋体" w:cs="Arial"/>
          <w:b w:val="0"/>
          <w:bCs w:val="0"/>
          <w:color w:val="000000" w:themeColor="text1"/>
          <w:sz w:val="24"/>
          <w:szCs w:val="24"/>
          <w14:textFill>
            <w14:solidFill>
              <w14:schemeClr w14:val="tx1"/>
            </w14:solidFill>
          </w14:textFill>
        </w:rPr>
        <w:t xml:space="preserve"> 注：</w:t>
      </w:r>
      <w:r>
        <w:rPr>
          <w:rFonts w:hint="eastAsia" w:ascii="宋体" w:hAnsi="宋体" w:cs="Arial"/>
          <w:b w:val="0"/>
          <w:bCs w:val="0"/>
          <w:color w:val="000000" w:themeColor="text1"/>
          <w:sz w:val="24"/>
          <w:szCs w:val="24"/>
          <w:lang w:val="en-US" w:eastAsia="zh-CN"/>
          <w14:textFill>
            <w14:solidFill>
              <w14:schemeClr w14:val="tx1"/>
            </w14:solidFill>
          </w14:textFill>
        </w:rPr>
        <w:t>1、</w:t>
      </w:r>
      <w:r>
        <w:rPr>
          <w:rFonts w:hint="eastAsia" w:ascii="宋体" w:hAnsi="宋体" w:cs="Arial"/>
          <w:b w:val="0"/>
          <w:bCs w:val="0"/>
          <w:color w:val="000000" w:themeColor="text1"/>
          <w:sz w:val="24"/>
          <w:szCs w:val="24"/>
          <w14:textFill>
            <w14:solidFill>
              <w14:schemeClr w14:val="tx1"/>
            </w14:solidFill>
          </w14:textFill>
        </w:rPr>
        <w:t>本表应清楚地标明供应商拟提供的服务用等内容，其合计价格应与开标一览表中的总报价保持一致。</w:t>
      </w:r>
    </w:p>
    <w:p>
      <w:pPr>
        <w:pStyle w:val="24"/>
        <w:ind w:left="0" w:leftChars="0" w:firstLine="0" w:firstLineChars="0"/>
        <w:rPr>
          <w:rFonts w:hint="default" w:eastAsia="仿宋_GB2312"/>
          <w:b w:val="0"/>
          <w:bCs w:val="0"/>
          <w:color w:val="000000" w:themeColor="text1"/>
          <w:sz w:val="36"/>
          <w:szCs w:val="24"/>
          <w:lang w:val="en-US" w:eastAsia="zh-CN"/>
          <w14:textFill>
            <w14:solidFill>
              <w14:schemeClr w14:val="tx1"/>
            </w14:solidFill>
          </w14:textFill>
        </w:rPr>
      </w:pPr>
      <w:r>
        <w:rPr>
          <w:rFonts w:hint="eastAsia" w:ascii="宋体" w:hAnsi="宋体" w:cs="Arial"/>
          <w:b w:val="0"/>
          <w:bCs w:val="0"/>
          <w:color w:val="000000" w:themeColor="text1"/>
          <w:sz w:val="36"/>
          <w:szCs w:val="24"/>
          <w:lang w:val="en-US" w:eastAsia="zh-CN"/>
          <w14:textFill>
            <w14:solidFill>
              <w14:schemeClr w14:val="tx1"/>
            </w14:solidFill>
          </w14:textFill>
        </w:rPr>
        <w:t xml:space="preserve">   </w:t>
      </w:r>
      <w:r>
        <w:rPr>
          <w:rFonts w:hint="eastAsia" w:ascii="宋体" w:hAnsi="宋体" w:eastAsia="宋体" w:cs="Arial"/>
          <w:b w:val="0"/>
          <w:bCs w:val="0"/>
          <w:color w:val="000000" w:themeColor="text1"/>
          <w:kern w:val="2"/>
          <w:sz w:val="24"/>
          <w:szCs w:val="24"/>
          <w:lang w:val="en-US" w:eastAsia="zh-CN" w:bidi="ar-SA"/>
          <w14:textFill>
            <w14:solidFill>
              <w14:schemeClr w14:val="tx1"/>
            </w14:solidFill>
          </w14:textFill>
        </w:rPr>
        <w:t>2、本项目具体结算金额以实际完成工作量，按中标供应商所报单价据实结算</w:t>
      </w: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pStyle w:val="34"/>
        <w:jc w:val="both"/>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w:t>
      </w:r>
    </w:p>
    <w:permEnd w:id="1"/>
    <w:p>
      <w:pPr>
        <w:pStyle w:val="37"/>
        <w:ind w:firstLine="843" w:firstLineChars="400"/>
        <w:jc w:val="left"/>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磋商</w:t>
      </w:r>
      <w:r>
        <w:rPr>
          <w:rFonts w:hint="eastAsia" w:ascii="Times New Roman"/>
          <w:b/>
          <w:bCs/>
          <w:color w:val="000000" w:themeColor="text1"/>
          <w:lang w:eastAsia="zh-CN"/>
          <w14:textFill>
            <w14:solidFill>
              <w14:schemeClr w14:val="tx1"/>
            </w14:solidFill>
          </w14:textFill>
        </w:rPr>
        <w:t>保证金</w:t>
      </w:r>
      <w:r>
        <w:rPr>
          <w:rFonts w:hint="eastAsia" w:ascii="Times New Roman"/>
          <w:b/>
          <w:bCs/>
          <w:color w:val="000000" w:themeColor="text1"/>
          <w14:textFill>
            <w14:solidFill>
              <w14:schemeClr w14:val="tx1"/>
            </w14:solidFill>
          </w14:textFill>
        </w:rPr>
        <w:t>承诺函</w:t>
      </w:r>
    </w:p>
    <w:p>
      <w:pPr>
        <w:pStyle w:val="37"/>
        <w:spacing w:line="360" w:lineRule="auto"/>
        <w:ind w:left="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（采购人名称）：</w:t>
      </w:r>
    </w:p>
    <w:p>
      <w:pPr>
        <w:pStyle w:val="37"/>
        <w:spacing w:line="360" w:lineRule="auto"/>
        <w:ind w:left="0"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根据贵方发布的竞争性磋商公告，我们决定参加贵方组织的</w:t>
      </w:r>
      <w:r>
        <w:rPr>
          <w:rFonts w:hint="eastAsia"/>
          <w:color w:val="000000" w:themeColor="text1"/>
          <w:u w:val="single"/>
          <w14:textFill>
            <w14:solidFill>
              <w14:schemeClr w14:val="tx1"/>
            </w14:solidFill>
          </w14:textFill>
        </w:rPr>
        <w:t xml:space="preserve"> （项目名称、项目编号） </w:t>
      </w:r>
      <w:r>
        <w:rPr>
          <w:rFonts w:hint="eastAsia"/>
          <w:color w:val="000000" w:themeColor="text1"/>
          <w14:textFill>
            <w14:solidFill>
              <w14:schemeClr w14:val="tx1"/>
            </w14:solidFill>
          </w14:textFill>
        </w:rPr>
        <w:t>的采购活动。</w:t>
      </w:r>
    </w:p>
    <w:p>
      <w:pPr>
        <w:pStyle w:val="37"/>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公司郑重承诺如在政府采购活动中存在“有效期内撤销文件、无故放弃中标、弄虚作假、串通投标、不交履约保证金、不签订合同”等违反政府采购相关规定，以及在采购文件中规定磋商保证金不予退还的其他情形，我方愿承担利益受损方的赔偿责任。</w:t>
      </w:r>
    </w:p>
    <w:p>
      <w:pPr>
        <w:pStyle w:val="37"/>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我单位将全面、真实、有效的履行本承诺，如不履行失信行为将被纳入诚信记录，并依法承担相应责任。</w:t>
      </w:r>
    </w:p>
    <w:p>
      <w:pPr>
        <w:pStyle w:val="37"/>
        <w:spacing w:line="360" w:lineRule="auto"/>
        <w:ind w:firstLine="420" w:firstLineChars="200"/>
        <w:rPr>
          <w:color w:val="000000" w:themeColor="text1"/>
          <w14:textFill>
            <w14:solidFill>
              <w14:schemeClr w14:val="tx1"/>
            </w14:solidFill>
          </w14:textFill>
        </w:rPr>
      </w:pPr>
    </w:p>
    <w:p>
      <w:pPr>
        <w:pStyle w:val="37"/>
        <w:spacing w:line="360" w:lineRule="auto"/>
        <w:ind w:firstLine="420" w:firstLineChars="200"/>
        <w:rPr>
          <w:color w:val="000000" w:themeColor="text1"/>
          <w14:textFill>
            <w14:solidFill>
              <w14:schemeClr w14:val="tx1"/>
            </w14:solidFill>
          </w14:textFill>
        </w:rPr>
      </w:pPr>
    </w:p>
    <w:p>
      <w:pPr>
        <w:pStyle w:val="37"/>
        <w:spacing w:line="360" w:lineRule="auto"/>
        <w:ind w:firstLine="420" w:firstLineChars="200"/>
        <w:rPr>
          <w:color w:val="000000" w:themeColor="text1"/>
          <w14:textFill>
            <w14:solidFill>
              <w14:schemeClr w14:val="tx1"/>
            </w14:solidFill>
          </w14:textFill>
        </w:rPr>
      </w:pPr>
    </w:p>
    <w:p>
      <w:pPr>
        <w:pStyle w:val="37"/>
        <w:spacing w:line="360" w:lineRule="auto"/>
        <w:ind w:firstLine="420" w:firstLineChars="200"/>
        <w:rPr>
          <w:color w:val="000000" w:themeColor="text1"/>
          <w14:textFill>
            <w14:solidFill>
              <w14:schemeClr w14:val="tx1"/>
            </w14:solidFill>
          </w14:textFill>
        </w:rPr>
      </w:pPr>
    </w:p>
    <w:p>
      <w:pPr>
        <w:pStyle w:val="37"/>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供应商：（盖章）</w:t>
      </w:r>
    </w:p>
    <w:p>
      <w:pPr>
        <w:pStyle w:val="37"/>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法定代表人或代理人（签字或盖章）：</w:t>
      </w:r>
    </w:p>
    <w:p>
      <w:pPr>
        <w:pStyle w:val="37"/>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日期：</w:t>
      </w:r>
    </w:p>
    <w:p>
      <w:pPr>
        <w:spacing w:line="360" w:lineRule="auto"/>
        <w:rPr>
          <w:rFonts w:ascii="仿宋_GB2312" w:hAnsi="仿宋" w:eastAsia="仿宋_GB2312"/>
          <w:b/>
          <w:bCs/>
          <w:color w:val="000000" w:themeColor="text1"/>
          <w:szCs w:val="28"/>
          <w14:textFill>
            <w14:solidFill>
              <w14:schemeClr w14:val="tx1"/>
            </w14:solidFill>
          </w14:textFill>
        </w:rPr>
      </w:pPr>
    </w:p>
    <w:p>
      <w:pPr>
        <w:pStyle w:val="24"/>
        <w:ind w:firstLine="560"/>
        <w:rPr>
          <w:b/>
          <w:bCs/>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4"/>
        <w:ind w:firstLine="560"/>
        <w:rPr>
          <w:color w:val="000000" w:themeColor="text1"/>
          <w14:textFill>
            <w14:solidFill>
              <w14:schemeClr w14:val="tx1"/>
            </w14:solidFill>
          </w14:textFill>
        </w:rPr>
      </w:pPr>
    </w:p>
    <w:p>
      <w:pPr>
        <w:pStyle w:val="24"/>
        <w:ind w:firstLine="560"/>
        <w:rPr>
          <w:color w:val="000000" w:themeColor="text1"/>
          <w14:textFill>
            <w14:solidFill>
              <w14:schemeClr w14:val="tx1"/>
            </w14:solidFill>
          </w14:textFill>
        </w:rPr>
      </w:pPr>
    </w:p>
    <w:p>
      <w:pPr>
        <w:jc w:val="center"/>
        <w:rPr>
          <w:rFonts w:ascii="宋体" w:hAnsi="宋体" w:cs="Arial"/>
          <w:color w:val="000000" w:themeColor="text1"/>
          <w:sz w:val="32"/>
          <w:szCs w:val="22"/>
          <w14:textFill>
            <w14:solidFill>
              <w14:schemeClr w14:val="tx1"/>
            </w14:solidFill>
          </w14:textFill>
        </w:rPr>
      </w:pPr>
    </w:p>
    <w:p>
      <w:pPr>
        <w:rPr>
          <w:rFonts w:ascii="宋体" w:hAnsi="宋体" w:cs="Arial"/>
          <w:color w:val="000000" w:themeColor="text1"/>
          <w:sz w:val="32"/>
          <w:szCs w:val="22"/>
          <w:u w:val="single"/>
          <w14:textFill>
            <w14:solidFill>
              <w14:schemeClr w14:val="tx1"/>
            </w14:solidFill>
          </w14:textFill>
        </w:rPr>
      </w:pPr>
      <w:r>
        <w:rPr>
          <w:rFonts w:hint="eastAsia" w:ascii="宋体" w:hAnsi="宋体" w:cs="Arial"/>
          <w:color w:val="000000" w:themeColor="text1"/>
          <w:sz w:val="32"/>
          <w:szCs w:val="22"/>
          <w:u w:val="single"/>
          <w14:textFill>
            <w14:solidFill>
              <w14:schemeClr w14:val="tx1"/>
            </w14:solidFill>
          </w14:textFill>
        </w:rPr>
        <w:br w:type="page"/>
      </w:r>
    </w:p>
    <w:p>
      <w:pPr>
        <w:jc w:val="center"/>
        <w:rPr>
          <w:rFonts w:ascii="宋体" w:hAnsi="宋体" w:cs="Arial"/>
          <w:color w:val="000000" w:themeColor="text1"/>
          <w:sz w:val="32"/>
          <w:szCs w:val="22"/>
          <w14:textFill>
            <w14:solidFill>
              <w14:schemeClr w14:val="tx1"/>
            </w14:solidFill>
          </w14:textFill>
        </w:rPr>
      </w:pPr>
      <w:r>
        <w:rPr>
          <w:rFonts w:hint="eastAsia" w:ascii="宋体" w:hAnsi="宋体" w:cs="Arial"/>
          <w:color w:val="000000" w:themeColor="text1"/>
          <w:sz w:val="32"/>
          <w:szCs w:val="22"/>
          <w:u w:val="single"/>
          <w:lang w:val="en-US" w:eastAsia="zh-CN"/>
          <w14:textFill>
            <w14:solidFill>
              <w14:schemeClr w14:val="tx1"/>
            </w14:solidFill>
          </w14:textFill>
        </w:rPr>
        <w:t xml:space="preserve">     </w:t>
      </w:r>
      <w:r>
        <w:rPr>
          <w:rFonts w:hint="eastAsia" w:ascii="宋体" w:hAnsi="宋体" w:cs="Arial"/>
          <w:color w:val="000000" w:themeColor="text1"/>
          <w:sz w:val="32"/>
          <w:szCs w:val="22"/>
          <w14:textFill>
            <w14:solidFill>
              <w14:schemeClr w14:val="tx1"/>
            </w14:solidFill>
          </w14:textFill>
        </w:rPr>
        <w:t>次报价表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供应商全称</w:t>
            </w:r>
          </w:p>
        </w:tc>
        <w:tc>
          <w:tcPr>
            <w:tcW w:w="6825" w:type="dxa"/>
            <w:tcBorders>
              <w:top w:val="nil"/>
            </w:tcBorders>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磋商范围</w:t>
            </w:r>
          </w:p>
        </w:tc>
        <w:tc>
          <w:tcPr>
            <w:tcW w:w="6825" w:type="dxa"/>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磋商报价</w:t>
            </w:r>
          </w:p>
        </w:tc>
        <w:tc>
          <w:tcPr>
            <w:tcW w:w="6825" w:type="dxa"/>
            <w:vAlign w:val="center"/>
          </w:tcPr>
          <w:p>
            <w:pPr>
              <w:numPr>
                <w:ilvl w:val="0"/>
                <w:numId w:val="0"/>
              </w:numPr>
              <w:rPr>
                <w:rFonts w:hint="eastAsia" w:ascii="宋体" w:hAnsi="宋体" w:cs="Arial"/>
                <w:color w:val="000000" w:themeColor="text1"/>
                <w:sz w:val="24"/>
                <w:szCs w:val="24"/>
                <w14:textFill>
                  <w14:solidFill>
                    <w14:schemeClr w14:val="tx1"/>
                  </w14:solidFill>
                </w14:textFill>
              </w:rPr>
            </w:pPr>
            <w:bookmarkStart w:id="179" w:name="OLE_LINK41"/>
            <w:bookmarkStart w:id="180" w:name="OLE_LINK56"/>
            <w:r>
              <w:rPr>
                <w:rFonts w:hint="eastAsia" w:ascii="宋体" w:hAnsi="宋体" w:cs="Arial"/>
                <w:color w:val="000000" w:themeColor="text1"/>
                <w:sz w:val="24"/>
                <w:szCs w:val="24"/>
                <w:lang w:val="en-US" w:eastAsia="zh-CN"/>
                <w14:textFill>
                  <w14:solidFill>
                    <w14:schemeClr w14:val="tx1"/>
                  </w14:solidFill>
                </w14:textFill>
              </w:rPr>
              <w:t>1、管理费</w:t>
            </w:r>
            <w:bookmarkStart w:id="181" w:name="OLE_LINK27"/>
            <w:r>
              <w:rPr>
                <w:rFonts w:hint="eastAsia" w:ascii="宋体" w:hAnsi="宋体" w:cs="Arial"/>
                <w:color w:val="000000" w:themeColor="text1"/>
                <w:sz w:val="24"/>
                <w:szCs w:val="24"/>
                <w14:textFill>
                  <w14:solidFill>
                    <w14:schemeClr w14:val="tx1"/>
                  </w14:solidFill>
                </w14:textFill>
              </w:rPr>
              <w:t>（大写）：（小写）：</w:t>
            </w:r>
            <w:bookmarkEnd w:id="181"/>
            <w:r>
              <w:rPr>
                <w:rFonts w:hint="eastAsia" w:ascii="宋体" w:hAnsi="宋体" w:cs="Arial"/>
                <w:color w:val="000000" w:themeColor="text1"/>
                <w:sz w:val="24"/>
                <w:szCs w:val="24"/>
                <w14:textFill>
                  <w14:solidFill>
                    <w14:schemeClr w14:val="tx1"/>
                  </w14:solidFill>
                </w14:textFill>
              </w:rPr>
              <w:t xml:space="preserve">  </w:t>
            </w:r>
            <w:r>
              <w:rPr>
                <w:rFonts w:hint="eastAsia" w:ascii="宋体" w:hAnsi="宋体" w:cs="Arial"/>
                <w:color w:val="000000" w:themeColor="text1"/>
                <w:sz w:val="24"/>
                <w:szCs w:val="24"/>
                <w:lang w:val="en-US" w:eastAsia="zh-CN"/>
                <w14:textFill>
                  <w14:solidFill>
                    <w14:schemeClr w14:val="tx1"/>
                  </w14:solidFill>
                </w14:textFill>
              </w:rPr>
              <w:t xml:space="preserve">        元/台/年</w:t>
            </w:r>
          </w:p>
          <w:p>
            <w:pPr>
              <w:numPr>
                <w:ilvl w:val="0"/>
                <w:numId w:val="0"/>
              </w:num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2、开水直饮水</w:t>
            </w:r>
            <w:r>
              <w:rPr>
                <w:rFonts w:hint="eastAsia" w:ascii="宋体" w:hAnsi="宋体" w:cs="Arial"/>
                <w:color w:val="000000" w:themeColor="text1"/>
                <w:sz w:val="24"/>
                <w:szCs w:val="24"/>
                <w14:textFill>
                  <w14:solidFill>
                    <w14:schemeClr w14:val="tx1"/>
                  </w14:solidFill>
                </w14:textFill>
              </w:rPr>
              <w:t>（大写）：（小写）：</w:t>
            </w:r>
            <w:r>
              <w:rPr>
                <w:rFonts w:hint="eastAsia" w:ascii="宋体" w:hAnsi="宋体" w:cs="Arial"/>
                <w:color w:val="000000" w:themeColor="text1"/>
                <w:sz w:val="24"/>
                <w:szCs w:val="24"/>
                <w:lang w:val="en-US" w:eastAsia="zh-CN"/>
                <w14:textFill>
                  <w14:solidFill>
                    <w14:schemeClr w14:val="tx1"/>
                  </w14:solidFill>
                </w14:textFill>
              </w:rPr>
              <w:t xml:space="preserve">     元/升</w:t>
            </w:r>
          </w:p>
          <w:p>
            <w:pPr>
              <w:numPr>
                <w:ilvl w:val="0"/>
                <w:numId w:val="0"/>
              </w:num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3、常温直饮水</w:t>
            </w:r>
            <w:r>
              <w:rPr>
                <w:rFonts w:hint="eastAsia" w:ascii="宋体" w:hAnsi="宋体" w:cs="Arial"/>
                <w:color w:val="000000" w:themeColor="text1"/>
                <w:sz w:val="24"/>
                <w:szCs w:val="24"/>
                <w14:textFill>
                  <w14:solidFill>
                    <w14:schemeClr w14:val="tx1"/>
                  </w14:solidFill>
                </w14:textFill>
              </w:rPr>
              <w:t xml:space="preserve"> （大写）：（小写）：  </w:t>
            </w:r>
            <w:bookmarkEnd w:id="179"/>
            <w:r>
              <w:rPr>
                <w:rFonts w:hint="eastAsia" w:ascii="宋体" w:hAnsi="宋体" w:cs="Arial"/>
                <w:color w:val="000000" w:themeColor="text1"/>
                <w:sz w:val="24"/>
                <w:szCs w:val="24"/>
                <w14:textFill>
                  <w14:solidFill>
                    <w14:schemeClr w14:val="tx1"/>
                  </w14:solidFill>
                </w14:textFill>
              </w:rPr>
              <w:t xml:space="preserve">   </w:t>
            </w:r>
            <w:r>
              <w:rPr>
                <w:rFonts w:hint="eastAsia" w:ascii="宋体" w:hAnsi="宋体" w:cs="Arial"/>
                <w:color w:val="000000" w:themeColor="text1"/>
                <w:sz w:val="24"/>
                <w:szCs w:val="24"/>
                <w:lang w:val="en-US" w:eastAsia="zh-CN"/>
                <w14:textFill>
                  <w14:solidFill>
                    <w14:schemeClr w14:val="tx1"/>
                  </w14:solidFill>
                </w14:textFill>
              </w:rPr>
              <w:t>元/升</w:t>
            </w:r>
            <w:r>
              <w:rPr>
                <w:rFonts w:hint="eastAsia" w:ascii="宋体" w:hAnsi="宋体" w:cs="Arial"/>
                <w:color w:val="000000" w:themeColor="text1"/>
                <w:sz w:val="24"/>
                <w:szCs w:val="24"/>
                <w14:textFill>
                  <w14:solidFill>
                    <w14:schemeClr w14:val="tx1"/>
                  </w14:solidFill>
                </w14:textFill>
              </w:rPr>
              <w:t xml:space="preserve">   </w:t>
            </w:r>
            <w:bookmarkEnd w:id="180"/>
            <w:r>
              <w:rPr>
                <w:rFonts w:hint="eastAsia" w:ascii="宋体" w:hAnsi="宋体" w:cs="Arial"/>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是否响应磋商文件的要求</w:t>
            </w:r>
          </w:p>
        </w:tc>
        <w:tc>
          <w:tcPr>
            <w:tcW w:w="6825"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备注</w:t>
            </w:r>
          </w:p>
        </w:tc>
        <w:tc>
          <w:tcPr>
            <w:tcW w:w="6825" w:type="dxa"/>
            <w:vAlign w:val="center"/>
          </w:tcPr>
          <w:p>
            <w:pPr>
              <w:rPr>
                <w:rFonts w:ascii="宋体" w:hAnsi="宋体" w:cs="Arial"/>
                <w:color w:val="000000" w:themeColor="text1"/>
                <w:sz w:val="24"/>
                <w:szCs w:val="24"/>
                <w14:textFill>
                  <w14:solidFill>
                    <w14:schemeClr w14:val="tx1"/>
                  </w14:solidFill>
                </w14:textFill>
              </w:rPr>
            </w:pPr>
          </w:p>
        </w:tc>
      </w:tr>
    </w:tbl>
    <w:p>
      <w:pPr>
        <w:spacing w:line="360" w:lineRule="auto"/>
        <w:rPr>
          <w:rFonts w:ascii="宋体" w:hAnsi="宋体" w:cs="Arial"/>
          <w:color w:val="000000" w:themeColor="text1"/>
          <w:sz w:val="24"/>
          <w:szCs w:val="24"/>
          <w14:textFill>
            <w14:solidFill>
              <w14:schemeClr w14:val="tx1"/>
            </w14:solidFill>
          </w14:textFill>
        </w:rPr>
      </w:pP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供应商：（盖章）</w:t>
      </w: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法定代表人或授权委托人：（签字或盖章）</w:t>
      </w:r>
    </w:p>
    <w:p>
      <w:pPr>
        <w:spacing w:line="360" w:lineRule="auto"/>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日期：</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日</w:t>
      </w: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ind w:left="0" w:leftChars="0" w:firstLine="0" w:firstLineChars="0"/>
        <w:rPr>
          <w:rFonts w:hint="default" w:ascii="宋体" w:hAnsi="宋体" w:eastAsia="仿宋_GB2312" w:cs="Arial"/>
          <w:b/>
          <w:bCs/>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开标当日供应商应手持此表并加盖供应商和法定代表签章</w:t>
      </w:r>
    </w:p>
    <w:p>
      <w:pPr>
        <w:spacing w:line="360" w:lineRule="auto"/>
        <w:rPr>
          <w:rFonts w:ascii="宋体" w:hAnsi="宋体" w:cs="Arial"/>
          <w:color w:val="000000" w:themeColor="text1"/>
          <w:sz w:val="24"/>
          <w:szCs w:val="24"/>
          <w14:textFill>
            <w14:solidFill>
              <w14:schemeClr w14:val="tx1"/>
            </w14:solidFill>
          </w14:textFill>
        </w:rPr>
      </w:pPr>
    </w:p>
    <w:p>
      <w:pPr>
        <w:spacing w:line="360" w:lineRule="auto"/>
        <w:rPr>
          <w:rFonts w:ascii="仿宋" w:hAnsi="仿宋"/>
          <w:color w:val="000000" w:themeColor="text1"/>
          <w:szCs w:val="28"/>
          <w14:textFill>
            <w14:solidFill>
              <w14:schemeClr w14:val="tx1"/>
            </w14:solidFill>
          </w14:textFill>
        </w:rPr>
      </w:pPr>
    </w:p>
    <w:p>
      <w:pPr>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jc w:val="both"/>
        <w:rPr>
          <w:rFonts w:hint="eastAsia" w:ascii="宋体" w:hAnsi="宋体" w:cs="Arial"/>
          <w:color w:val="000000" w:themeColor="text1"/>
          <w:sz w:val="32"/>
          <w:szCs w:val="22"/>
          <w14:textFill>
            <w14:solidFill>
              <w14:schemeClr w14:val="tx1"/>
            </w14:solidFill>
          </w14:textFill>
        </w:rPr>
      </w:pPr>
    </w:p>
    <w:p>
      <w:pPr>
        <w:jc w:val="center"/>
        <w:rPr>
          <w:rFonts w:ascii="宋体" w:hAnsi="宋体" w:cs="Arial"/>
          <w:color w:val="000000" w:themeColor="text1"/>
          <w:sz w:val="32"/>
          <w:szCs w:val="22"/>
          <w14:textFill>
            <w14:solidFill>
              <w14:schemeClr w14:val="tx1"/>
            </w14:solidFill>
          </w14:textFill>
        </w:rPr>
      </w:pPr>
      <w:r>
        <w:rPr>
          <w:rFonts w:hint="eastAsia" w:ascii="宋体" w:hAnsi="宋体" w:cs="Arial"/>
          <w:color w:val="000000" w:themeColor="text1"/>
          <w:sz w:val="32"/>
          <w:szCs w:val="22"/>
          <w14:textFill>
            <w14:solidFill>
              <w14:schemeClr w14:val="tx1"/>
            </w14:solidFill>
          </w14:textFill>
        </w:rPr>
        <w:t>最终报价表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供应商全称</w:t>
            </w:r>
          </w:p>
        </w:tc>
        <w:tc>
          <w:tcPr>
            <w:tcW w:w="6825" w:type="dxa"/>
            <w:tcBorders>
              <w:top w:val="nil"/>
            </w:tcBorders>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磋商范围</w:t>
            </w:r>
          </w:p>
        </w:tc>
        <w:tc>
          <w:tcPr>
            <w:tcW w:w="6825" w:type="dxa"/>
            <w:vAlign w:val="center"/>
          </w:tcPr>
          <w:p>
            <w:pPr>
              <w:rPr>
                <w:rFonts w:ascii="宋体" w:hAnsi="宋体" w:cs="Arial"/>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磋商报价</w:t>
            </w:r>
          </w:p>
        </w:tc>
        <w:tc>
          <w:tcPr>
            <w:tcW w:w="6825" w:type="dxa"/>
            <w:vAlign w:val="center"/>
          </w:tcPr>
          <w:p>
            <w:pPr>
              <w:numPr>
                <w:ilvl w:val="0"/>
                <w:numId w:val="0"/>
              </w:numPr>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1、管理费</w:t>
            </w:r>
            <w:r>
              <w:rPr>
                <w:rFonts w:hint="eastAsia" w:ascii="宋体" w:hAnsi="宋体" w:cs="Arial"/>
                <w:color w:val="000000" w:themeColor="text1"/>
                <w:sz w:val="24"/>
                <w:szCs w:val="24"/>
                <w14:textFill>
                  <w14:solidFill>
                    <w14:schemeClr w14:val="tx1"/>
                  </w14:solidFill>
                </w14:textFill>
              </w:rPr>
              <w:t xml:space="preserve">（大写）：（小写）：  </w:t>
            </w:r>
            <w:r>
              <w:rPr>
                <w:rFonts w:hint="eastAsia" w:ascii="宋体" w:hAnsi="宋体" w:cs="Arial"/>
                <w:color w:val="000000" w:themeColor="text1"/>
                <w:sz w:val="24"/>
                <w:szCs w:val="24"/>
                <w:lang w:val="en-US" w:eastAsia="zh-CN"/>
                <w14:textFill>
                  <w14:solidFill>
                    <w14:schemeClr w14:val="tx1"/>
                  </w14:solidFill>
                </w14:textFill>
              </w:rPr>
              <w:t xml:space="preserve">        元/台/年</w:t>
            </w:r>
          </w:p>
          <w:p>
            <w:pPr>
              <w:numPr>
                <w:ilvl w:val="0"/>
                <w:numId w:val="0"/>
              </w:num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2、开水直饮水</w:t>
            </w:r>
            <w:r>
              <w:rPr>
                <w:rFonts w:hint="eastAsia" w:ascii="宋体" w:hAnsi="宋体" w:cs="Arial"/>
                <w:color w:val="000000" w:themeColor="text1"/>
                <w:sz w:val="24"/>
                <w:szCs w:val="24"/>
                <w14:textFill>
                  <w14:solidFill>
                    <w14:schemeClr w14:val="tx1"/>
                  </w14:solidFill>
                </w14:textFill>
              </w:rPr>
              <w:t>（大写）：（小写）：</w:t>
            </w:r>
            <w:r>
              <w:rPr>
                <w:rFonts w:hint="eastAsia" w:ascii="宋体" w:hAnsi="宋体" w:cs="Arial"/>
                <w:color w:val="000000" w:themeColor="text1"/>
                <w:sz w:val="24"/>
                <w:szCs w:val="24"/>
                <w:lang w:val="en-US" w:eastAsia="zh-CN"/>
                <w14:textFill>
                  <w14:solidFill>
                    <w14:schemeClr w14:val="tx1"/>
                  </w14:solidFill>
                </w14:textFill>
              </w:rPr>
              <w:t xml:space="preserve">      元/升</w:t>
            </w:r>
          </w:p>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val="en-US" w:eastAsia="zh-CN"/>
                <w14:textFill>
                  <w14:solidFill>
                    <w14:schemeClr w14:val="tx1"/>
                  </w14:solidFill>
                </w14:textFill>
              </w:rPr>
              <w:t>3、常温直饮水</w:t>
            </w:r>
            <w:r>
              <w:rPr>
                <w:rFonts w:hint="eastAsia" w:ascii="宋体" w:hAnsi="宋体" w:cs="Arial"/>
                <w:color w:val="000000" w:themeColor="text1"/>
                <w:sz w:val="24"/>
                <w:szCs w:val="24"/>
                <w14:textFill>
                  <w14:solidFill>
                    <w14:schemeClr w14:val="tx1"/>
                  </w14:solidFill>
                </w14:textFill>
              </w:rPr>
              <w:t xml:space="preserve"> （大写）：（小写）：     </w:t>
            </w:r>
            <w:r>
              <w:rPr>
                <w:rFonts w:hint="eastAsia" w:ascii="宋体" w:hAnsi="宋体" w:cs="Arial"/>
                <w:color w:val="000000" w:themeColor="text1"/>
                <w:sz w:val="24"/>
                <w:szCs w:val="24"/>
                <w:lang w:val="en-US" w:eastAsia="zh-CN"/>
                <w14:textFill>
                  <w14:solidFill>
                    <w14:schemeClr w14:val="tx1"/>
                  </w14:solidFill>
                </w14:textFill>
              </w:rPr>
              <w:t>元/升</w:t>
            </w:r>
            <w:r>
              <w:rPr>
                <w:rFonts w:hint="eastAsia" w:ascii="宋体" w:hAnsi="宋体" w:cs="Arial"/>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是否响应磋商文件的要求</w:t>
            </w:r>
          </w:p>
        </w:tc>
        <w:tc>
          <w:tcPr>
            <w:tcW w:w="6825"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备注</w:t>
            </w:r>
          </w:p>
        </w:tc>
        <w:tc>
          <w:tcPr>
            <w:tcW w:w="6825" w:type="dxa"/>
            <w:vAlign w:val="center"/>
          </w:tcPr>
          <w:p>
            <w:pPr>
              <w:rPr>
                <w:rFonts w:ascii="宋体" w:hAnsi="宋体" w:cs="Arial"/>
                <w:color w:val="000000" w:themeColor="text1"/>
                <w:sz w:val="24"/>
                <w:szCs w:val="24"/>
                <w14:textFill>
                  <w14:solidFill>
                    <w14:schemeClr w14:val="tx1"/>
                  </w14:solidFill>
                </w14:textFill>
              </w:rPr>
            </w:pPr>
          </w:p>
        </w:tc>
      </w:tr>
    </w:tbl>
    <w:p>
      <w:pPr>
        <w:spacing w:line="360" w:lineRule="auto"/>
        <w:rPr>
          <w:rFonts w:ascii="宋体" w:hAnsi="宋体" w:cs="Arial"/>
          <w:color w:val="000000" w:themeColor="text1"/>
          <w:sz w:val="24"/>
          <w:szCs w:val="24"/>
          <w14:textFill>
            <w14:solidFill>
              <w14:schemeClr w14:val="tx1"/>
            </w14:solidFill>
          </w14:textFill>
        </w:rPr>
      </w:pP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供应商：（盖章）</w:t>
      </w:r>
    </w:p>
    <w:p>
      <w:pPr>
        <w:spacing w:line="360" w:lineRule="auto"/>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法定代表人或授权委托人：（签字或盖章）</w:t>
      </w:r>
    </w:p>
    <w:p>
      <w:pPr>
        <w:spacing w:line="360" w:lineRule="auto"/>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日期：</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日</w:t>
      </w: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rPr>
          <w:rFonts w:hint="eastAsia" w:ascii="宋体" w:hAnsi="宋体" w:cs="Arial"/>
          <w:color w:val="000000" w:themeColor="text1"/>
          <w:sz w:val="24"/>
          <w:szCs w:val="24"/>
          <w14:textFill>
            <w14:solidFill>
              <w14:schemeClr w14:val="tx1"/>
            </w14:solidFill>
          </w14:textFill>
        </w:rPr>
      </w:pPr>
    </w:p>
    <w:p>
      <w:pPr>
        <w:pStyle w:val="24"/>
        <w:ind w:left="0" w:leftChars="0" w:firstLine="0" w:firstLineChars="0"/>
        <w:rPr>
          <w:rFonts w:hint="default" w:ascii="宋体" w:hAnsi="宋体" w:eastAsia="仿宋_GB2312" w:cs="Arial"/>
          <w:b/>
          <w:bCs/>
          <w:color w:val="000000" w:themeColor="text1"/>
          <w:sz w:val="28"/>
          <w:szCs w:val="28"/>
          <w:lang w:val="en-US" w:eastAsia="zh-CN"/>
          <w14:textFill>
            <w14:solidFill>
              <w14:schemeClr w14:val="tx1"/>
            </w14:solidFill>
          </w14:textFill>
        </w:rPr>
      </w:pPr>
      <w:r>
        <w:rPr>
          <w:rFonts w:hint="eastAsia" w:ascii="宋体" w:hAnsi="宋体" w:cs="Arial"/>
          <w:b/>
          <w:bCs/>
          <w:color w:val="000000" w:themeColor="text1"/>
          <w:sz w:val="28"/>
          <w:szCs w:val="28"/>
          <w:lang w:val="en-US" w:eastAsia="zh-CN"/>
          <w14:textFill>
            <w14:solidFill>
              <w14:schemeClr w14:val="tx1"/>
            </w14:solidFill>
          </w14:textFill>
        </w:rPr>
        <w:t>开标当日供应商应手持此表并加盖供应商和法定代表签章</w:t>
      </w:r>
    </w:p>
    <w:p>
      <w:pPr>
        <w:pStyle w:val="24"/>
        <w:rPr>
          <w:rFonts w:hint="eastAsia" w:ascii="宋体" w:hAnsi="宋体" w:cs="Arial"/>
          <w:color w:val="000000" w:themeColor="text1"/>
          <w:sz w:val="24"/>
          <w:szCs w:val="24"/>
          <w14:textFill>
            <w14:solidFill>
              <w14:schemeClr w14:val="tx1"/>
            </w14:solidFill>
          </w14:textFill>
        </w:rPr>
      </w:pPr>
    </w:p>
    <w:p>
      <w:pPr>
        <w:spacing w:line="360" w:lineRule="auto"/>
        <w:rPr>
          <w:rFonts w:ascii="宋体" w:hAnsi="宋体" w:cs="Arial"/>
          <w:b/>
          <w:bCs/>
          <w:color w:val="000000" w:themeColor="text1"/>
          <w:sz w:val="24"/>
          <w:szCs w:val="24"/>
          <w14:textFill>
            <w14:solidFill>
              <w14:schemeClr w14:val="tx1"/>
            </w14:solidFill>
          </w14:textFill>
        </w:rPr>
      </w:pPr>
    </w:p>
    <w:p>
      <w:pPr>
        <w:pStyle w:val="24"/>
        <w:ind w:left="0" w:leftChars="0" w:firstLine="0" w:firstLineChars="0"/>
        <w:rPr>
          <w:color w:val="000000" w:themeColor="text1"/>
          <w14:textFill>
            <w14:solidFill>
              <w14:schemeClr w14:val="tx1"/>
            </w14:solidFill>
          </w14:textFill>
        </w:rPr>
      </w:pPr>
    </w:p>
    <w:p>
      <w:pPr>
        <w:pStyle w:val="24"/>
        <w:ind w:left="0" w:leftChars="0" w:firstLine="0" w:firstLineChars="0"/>
        <w:rPr>
          <w:color w:val="000000" w:themeColor="text1"/>
          <w14:textFill>
            <w14:solidFill>
              <w14:schemeClr w14:val="tx1"/>
            </w14:solidFill>
          </w14:textFill>
        </w:rPr>
      </w:pPr>
    </w:p>
    <w:sectPr>
      <w:pgSz w:w="11906" w:h="16838"/>
      <w:pgMar w:top="1440" w:right="1689" w:bottom="1440" w:left="1689"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p>
    <w:pPr>
      <w:pStyle w:val="17"/>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7CA8B"/>
    <w:multiLevelType w:val="singleLevel"/>
    <w:tmpl w:val="A0F7CA8B"/>
    <w:lvl w:ilvl="0" w:tentative="0">
      <w:start w:val="5"/>
      <w:numFmt w:val="chineseCounting"/>
      <w:suff w:val="nothing"/>
      <w:lvlText w:val="第%1章、"/>
      <w:lvlJc w:val="left"/>
      <w:rPr>
        <w:rFonts w:hint="eastAsia"/>
      </w:rPr>
    </w:lvl>
  </w:abstractNum>
  <w:abstractNum w:abstractNumId="1">
    <w:nsid w:val="D2C8FE26"/>
    <w:multiLevelType w:val="singleLevel"/>
    <w:tmpl w:val="D2C8FE26"/>
    <w:lvl w:ilvl="0" w:tentative="0">
      <w:start w:val="1"/>
      <w:numFmt w:val="chineseCounting"/>
      <w:suff w:val="nothing"/>
      <w:lvlText w:val="%1、"/>
      <w:lvlJc w:val="left"/>
      <w:rPr>
        <w:rFonts w:hint="eastAsia"/>
      </w:rPr>
    </w:lvl>
  </w:abstractNum>
  <w:abstractNum w:abstractNumId="2">
    <w:nsid w:val="FBCC0DDB"/>
    <w:multiLevelType w:val="singleLevel"/>
    <w:tmpl w:val="FBCC0DDB"/>
    <w:lvl w:ilvl="0" w:tentative="0">
      <w:start w:val="1"/>
      <w:numFmt w:val="chineseCounting"/>
      <w:suff w:val="nothing"/>
      <w:lvlText w:val="%1、"/>
      <w:lvlJc w:val="left"/>
      <w:rPr>
        <w:rFonts w:hint="eastAsia"/>
      </w:rPr>
    </w:lvl>
  </w:abstractNum>
  <w:abstractNum w:abstractNumId="3">
    <w:nsid w:val="00000005"/>
    <w:multiLevelType w:val="multilevel"/>
    <w:tmpl w:val="00000005"/>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6">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7">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8">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9">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num w:numId="1">
    <w:abstractNumId w:val="3"/>
  </w:num>
  <w:num w:numId="2">
    <w:abstractNumId w:val="2"/>
  </w:num>
  <w:num w:numId="3">
    <w:abstractNumId w:val="1"/>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mRmYmNlZjc3NWI5ZTBmZmVkZTE2OTdmMmZjMzgifQ=="/>
    <w:docVar w:name="KSO_WPS_MARK_KEY" w:val="591c26db-b30b-4fff-85d1-2447be32d74c"/>
  </w:docVars>
  <w:rsids>
    <w:rsidRoot w:val="5D7C6D44"/>
    <w:rsid w:val="00071FF5"/>
    <w:rsid w:val="00283C44"/>
    <w:rsid w:val="003F417C"/>
    <w:rsid w:val="00437B01"/>
    <w:rsid w:val="0065020A"/>
    <w:rsid w:val="006A7E9A"/>
    <w:rsid w:val="006D32D0"/>
    <w:rsid w:val="008F7C8F"/>
    <w:rsid w:val="00A864EF"/>
    <w:rsid w:val="00B36A69"/>
    <w:rsid w:val="00B64FDE"/>
    <w:rsid w:val="00B8067D"/>
    <w:rsid w:val="01280D0E"/>
    <w:rsid w:val="01363F1F"/>
    <w:rsid w:val="01396E1E"/>
    <w:rsid w:val="014564B0"/>
    <w:rsid w:val="016C7D7A"/>
    <w:rsid w:val="019A11B7"/>
    <w:rsid w:val="01A47452"/>
    <w:rsid w:val="01DD3C4D"/>
    <w:rsid w:val="01E62762"/>
    <w:rsid w:val="020D510A"/>
    <w:rsid w:val="024D4228"/>
    <w:rsid w:val="029463AA"/>
    <w:rsid w:val="02975DBA"/>
    <w:rsid w:val="03121C78"/>
    <w:rsid w:val="035937A7"/>
    <w:rsid w:val="035D5744"/>
    <w:rsid w:val="036231D4"/>
    <w:rsid w:val="03633282"/>
    <w:rsid w:val="03680B91"/>
    <w:rsid w:val="038C76D9"/>
    <w:rsid w:val="038E0430"/>
    <w:rsid w:val="03B13F76"/>
    <w:rsid w:val="03B362D5"/>
    <w:rsid w:val="03BA558C"/>
    <w:rsid w:val="03D92099"/>
    <w:rsid w:val="03DB240E"/>
    <w:rsid w:val="042E163E"/>
    <w:rsid w:val="04D909CC"/>
    <w:rsid w:val="04DF2AE1"/>
    <w:rsid w:val="04FF04CC"/>
    <w:rsid w:val="05086119"/>
    <w:rsid w:val="056412A6"/>
    <w:rsid w:val="057A3813"/>
    <w:rsid w:val="05B745E0"/>
    <w:rsid w:val="061C293C"/>
    <w:rsid w:val="063344D2"/>
    <w:rsid w:val="0648504B"/>
    <w:rsid w:val="06650A50"/>
    <w:rsid w:val="06932F08"/>
    <w:rsid w:val="06B75149"/>
    <w:rsid w:val="06D066F2"/>
    <w:rsid w:val="06F15C2B"/>
    <w:rsid w:val="071F2612"/>
    <w:rsid w:val="07360C9D"/>
    <w:rsid w:val="075524D7"/>
    <w:rsid w:val="07A11E28"/>
    <w:rsid w:val="07B90B0B"/>
    <w:rsid w:val="07BA3DC4"/>
    <w:rsid w:val="07E01DA1"/>
    <w:rsid w:val="07E33920"/>
    <w:rsid w:val="07F9435E"/>
    <w:rsid w:val="08076D31"/>
    <w:rsid w:val="08135DB3"/>
    <w:rsid w:val="0865707E"/>
    <w:rsid w:val="086A32AC"/>
    <w:rsid w:val="08721871"/>
    <w:rsid w:val="0888081E"/>
    <w:rsid w:val="08BD2249"/>
    <w:rsid w:val="08EB13EB"/>
    <w:rsid w:val="09093579"/>
    <w:rsid w:val="09524BFD"/>
    <w:rsid w:val="0957472D"/>
    <w:rsid w:val="0972131B"/>
    <w:rsid w:val="09A70C86"/>
    <w:rsid w:val="09D55638"/>
    <w:rsid w:val="0A126EFB"/>
    <w:rsid w:val="0A8235E3"/>
    <w:rsid w:val="0A965366"/>
    <w:rsid w:val="0ACC5B22"/>
    <w:rsid w:val="0B772E3E"/>
    <w:rsid w:val="0B970B50"/>
    <w:rsid w:val="0B984657"/>
    <w:rsid w:val="0B9F4B24"/>
    <w:rsid w:val="0BDC6D23"/>
    <w:rsid w:val="0BEF12D9"/>
    <w:rsid w:val="0BF46ED9"/>
    <w:rsid w:val="0C1E2A40"/>
    <w:rsid w:val="0C50326D"/>
    <w:rsid w:val="0C6F1945"/>
    <w:rsid w:val="0CFD1647"/>
    <w:rsid w:val="0D0475F3"/>
    <w:rsid w:val="0D221DE8"/>
    <w:rsid w:val="0D283F4E"/>
    <w:rsid w:val="0D443DAB"/>
    <w:rsid w:val="0D596B1F"/>
    <w:rsid w:val="0DB81851"/>
    <w:rsid w:val="0DD67AFB"/>
    <w:rsid w:val="0DE92535"/>
    <w:rsid w:val="0EAB29D3"/>
    <w:rsid w:val="0EB224EB"/>
    <w:rsid w:val="0EB56530"/>
    <w:rsid w:val="0F4143F0"/>
    <w:rsid w:val="0F937349"/>
    <w:rsid w:val="0FA30CB9"/>
    <w:rsid w:val="0FEE51E8"/>
    <w:rsid w:val="10216D39"/>
    <w:rsid w:val="103942D1"/>
    <w:rsid w:val="104E2E23"/>
    <w:rsid w:val="1055486A"/>
    <w:rsid w:val="106E4225"/>
    <w:rsid w:val="109D3AC9"/>
    <w:rsid w:val="10AE019C"/>
    <w:rsid w:val="10C72E85"/>
    <w:rsid w:val="10E723F2"/>
    <w:rsid w:val="111A2B66"/>
    <w:rsid w:val="117B2B3A"/>
    <w:rsid w:val="11947F8F"/>
    <w:rsid w:val="11B06C88"/>
    <w:rsid w:val="11B9584F"/>
    <w:rsid w:val="11BC5129"/>
    <w:rsid w:val="11BD47FB"/>
    <w:rsid w:val="11EE2188"/>
    <w:rsid w:val="11F76DFD"/>
    <w:rsid w:val="1230601B"/>
    <w:rsid w:val="125C6311"/>
    <w:rsid w:val="125D07AF"/>
    <w:rsid w:val="12B5608D"/>
    <w:rsid w:val="12E03013"/>
    <w:rsid w:val="12E10292"/>
    <w:rsid w:val="132F176A"/>
    <w:rsid w:val="13821182"/>
    <w:rsid w:val="138345A3"/>
    <w:rsid w:val="138D4967"/>
    <w:rsid w:val="13AC5F03"/>
    <w:rsid w:val="13B14A56"/>
    <w:rsid w:val="13BC1953"/>
    <w:rsid w:val="13E918DD"/>
    <w:rsid w:val="13FB7F63"/>
    <w:rsid w:val="14086B95"/>
    <w:rsid w:val="141A0406"/>
    <w:rsid w:val="14290138"/>
    <w:rsid w:val="14457225"/>
    <w:rsid w:val="14584D57"/>
    <w:rsid w:val="145F04F1"/>
    <w:rsid w:val="145F6743"/>
    <w:rsid w:val="147E12BF"/>
    <w:rsid w:val="14F84B50"/>
    <w:rsid w:val="14FA2223"/>
    <w:rsid w:val="150623C1"/>
    <w:rsid w:val="151651F0"/>
    <w:rsid w:val="158634F0"/>
    <w:rsid w:val="15877D00"/>
    <w:rsid w:val="15962639"/>
    <w:rsid w:val="15CA4090"/>
    <w:rsid w:val="15F12FD6"/>
    <w:rsid w:val="15FA7F2A"/>
    <w:rsid w:val="15FE2614"/>
    <w:rsid w:val="16054BAA"/>
    <w:rsid w:val="1647654D"/>
    <w:rsid w:val="164C4350"/>
    <w:rsid w:val="16584C21"/>
    <w:rsid w:val="16F47D4F"/>
    <w:rsid w:val="1706559C"/>
    <w:rsid w:val="170C2C84"/>
    <w:rsid w:val="17100A71"/>
    <w:rsid w:val="171E3E87"/>
    <w:rsid w:val="17204A59"/>
    <w:rsid w:val="1720665E"/>
    <w:rsid w:val="1752268D"/>
    <w:rsid w:val="177C264D"/>
    <w:rsid w:val="17A24BE8"/>
    <w:rsid w:val="17AF353E"/>
    <w:rsid w:val="17DE54CF"/>
    <w:rsid w:val="17E219FC"/>
    <w:rsid w:val="18117D55"/>
    <w:rsid w:val="18187335"/>
    <w:rsid w:val="18782ED7"/>
    <w:rsid w:val="18895F3B"/>
    <w:rsid w:val="18A045E2"/>
    <w:rsid w:val="18F648D4"/>
    <w:rsid w:val="19563E03"/>
    <w:rsid w:val="19570331"/>
    <w:rsid w:val="19681569"/>
    <w:rsid w:val="19684093"/>
    <w:rsid w:val="19893378"/>
    <w:rsid w:val="19934667"/>
    <w:rsid w:val="19D425CC"/>
    <w:rsid w:val="19EF40C6"/>
    <w:rsid w:val="1A0E575C"/>
    <w:rsid w:val="1A0F712B"/>
    <w:rsid w:val="1A427AAC"/>
    <w:rsid w:val="1A7C35DF"/>
    <w:rsid w:val="1A8640B2"/>
    <w:rsid w:val="1A9761E0"/>
    <w:rsid w:val="1AEE4042"/>
    <w:rsid w:val="1AF4088E"/>
    <w:rsid w:val="1B0821E6"/>
    <w:rsid w:val="1B682233"/>
    <w:rsid w:val="1B707B28"/>
    <w:rsid w:val="1B7C407F"/>
    <w:rsid w:val="1B896128"/>
    <w:rsid w:val="1BA535D6"/>
    <w:rsid w:val="1BD23784"/>
    <w:rsid w:val="1BD25A4D"/>
    <w:rsid w:val="1BF95742"/>
    <w:rsid w:val="1C07340D"/>
    <w:rsid w:val="1C0E2637"/>
    <w:rsid w:val="1C2D7127"/>
    <w:rsid w:val="1C424981"/>
    <w:rsid w:val="1C766D20"/>
    <w:rsid w:val="1C791CAC"/>
    <w:rsid w:val="1C7C476B"/>
    <w:rsid w:val="1C8036FB"/>
    <w:rsid w:val="1CB56A20"/>
    <w:rsid w:val="1CD851E0"/>
    <w:rsid w:val="1CD921E0"/>
    <w:rsid w:val="1CFB435F"/>
    <w:rsid w:val="1D2B296D"/>
    <w:rsid w:val="1D622A82"/>
    <w:rsid w:val="1D8C3629"/>
    <w:rsid w:val="1D9104A2"/>
    <w:rsid w:val="1DC15D79"/>
    <w:rsid w:val="1DDF52E6"/>
    <w:rsid w:val="1DE101C9"/>
    <w:rsid w:val="1DEC4931"/>
    <w:rsid w:val="1DF334BD"/>
    <w:rsid w:val="1E075E82"/>
    <w:rsid w:val="1E786D7F"/>
    <w:rsid w:val="1E861943"/>
    <w:rsid w:val="1E90452A"/>
    <w:rsid w:val="1EC91E2B"/>
    <w:rsid w:val="1ECE2380"/>
    <w:rsid w:val="1F1E00F2"/>
    <w:rsid w:val="1F5F0953"/>
    <w:rsid w:val="1F831CC5"/>
    <w:rsid w:val="1F89131B"/>
    <w:rsid w:val="1F8A2A58"/>
    <w:rsid w:val="1FBA5FD1"/>
    <w:rsid w:val="1FD53DE8"/>
    <w:rsid w:val="1FF56291"/>
    <w:rsid w:val="200810CC"/>
    <w:rsid w:val="2010196E"/>
    <w:rsid w:val="201605FE"/>
    <w:rsid w:val="20173AF2"/>
    <w:rsid w:val="201A4DD1"/>
    <w:rsid w:val="201E3957"/>
    <w:rsid w:val="206070CD"/>
    <w:rsid w:val="206F5F60"/>
    <w:rsid w:val="20A8516A"/>
    <w:rsid w:val="20C458E2"/>
    <w:rsid w:val="20CF69FF"/>
    <w:rsid w:val="20DA4D70"/>
    <w:rsid w:val="20FA3104"/>
    <w:rsid w:val="21155AAB"/>
    <w:rsid w:val="21271205"/>
    <w:rsid w:val="21375C8D"/>
    <w:rsid w:val="21524508"/>
    <w:rsid w:val="219F5B88"/>
    <w:rsid w:val="21C30312"/>
    <w:rsid w:val="21DB4D37"/>
    <w:rsid w:val="21E309B4"/>
    <w:rsid w:val="22205764"/>
    <w:rsid w:val="222454FE"/>
    <w:rsid w:val="22462CF1"/>
    <w:rsid w:val="225D3ED3"/>
    <w:rsid w:val="226558B0"/>
    <w:rsid w:val="226E2973"/>
    <w:rsid w:val="22783CAD"/>
    <w:rsid w:val="22A27603"/>
    <w:rsid w:val="22A94216"/>
    <w:rsid w:val="22AB1D83"/>
    <w:rsid w:val="22D548A1"/>
    <w:rsid w:val="22F664C5"/>
    <w:rsid w:val="23210078"/>
    <w:rsid w:val="23214179"/>
    <w:rsid w:val="23256004"/>
    <w:rsid w:val="233304F2"/>
    <w:rsid w:val="234710AA"/>
    <w:rsid w:val="236A5949"/>
    <w:rsid w:val="23757D31"/>
    <w:rsid w:val="238853DF"/>
    <w:rsid w:val="23B76660"/>
    <w:rsid w:val="24082954"/>
    <w:rsid w:val="24174945"/>
    <w:rsid w:val="24250339"/>
    <w:rsid w:val="242A6B06"/>
    <w:rsid w:val="243706F3"/>
    <w:rsid w:val="243D0F29"/>
    <w:rsid w:val="246D63E9"/>
    <w:rsid w:val="249E31E0"/>
    <w:rsid w:val="24BB518A"/>
    <w:rsid w:val="24DC4D3A"/>
    <w:rsid w:val="25276DB5"/>
    <w:rsid w:val="253C3296"/>
    <w:rsid w:val="25704BB8"/>
    <w:rsid w:val="25C24D84"/>
    <w:rsid w:val="25C46DB6"/>
    <w:rsid w:val="25C80F13"/>
    <w:rsid w:val="25D56619"/>
    <w:rsid w:val="25F52064"/>
    <w:rsid w:val="2613738E"/>
    <w:rsid w:val="261E020C"/>
    <w:rsid w:val="262275D1"/>
    <w:rsid w:val="262A2AC0"/>
    <w:rsid w:val="265101D7"/>
    <w:rsid w:val="26920BFA"/>
    <w:rsid w:val="26B331B4"/>
    <w:rsid w:val="26B90928"/>
    <w:rsid w:val="26D15046"/>
    <w:rsid w:val="27090EBD"/>
    <w:rsid w:val="2744145A"/>
    <w:rsid w:val="274633C2"/>
    <w:rsid w:val="277921BB"/>
    <w:rsid w:val="277A53C3"/>
    <w:rsid w:val="278D3205"/>
    <w:rsid w:val="279B06BE"/>
    <w:rsid w:val="280C633C"/>
    <w:rsid w:val="283B5C8E"/>
    <w:rsid w:val="28786771"/>
    <w:rsid w:val="287A631E"/>
    <w:rsid w:val="287F3D15"/>
    <w:rsid w:val="287F4493"/>
    <w:rsid w:val="28E70875"/>
    <w:rsid w:val="292A18FE"/>
    <w:rsid w:val="2954352C"/>
    <w:rsid w:val="295B3590"/>
    <w:rsid w:val="29714AF7"/>
    <w:rsid w:val="2999069F"/>
    <w:rsid w:val="299A7776"/>
    <w:rsid w:val="29A3550E"/>
    <w:rsid w:val="29B46D15"/>
    <w:rsid w:val="29B7629C"/>
    <w:rsid w:val="29E20197"/>
    <w:rsid w:val="2A041FA1"/>
    <w:rsid w:val="2A9071FF"/>
    <w:rsid w:val="2B246615"/>
    <w:rsid w:val="2B481068"/>
    <w:rsid w:val="2B797C93"/>
    <w:rsid w:val="2BA51913"/>
    <w:rsid w:val="2BAA123A"/>
    <w:rsid w:val="2BC91903"/>
    <w:rsid w:val="2BD07780"/>
    <w:rsid w:val="2BDC6E2B"/>
    <w:rsid w:val="2C1005F7"/>
    <w:rsid w:val="2C3A1E9B"/>
    <w:rsid w:val="2D226FC7"/>
    <w:rsid w:val="2D5409A9"/>
    <w:rsid w:val="2D592C0B"/>
    <w:rsid w:val="2D676B5F"/>
    <w:rsid w:val="2D6A3D37"/>
    <w:rsid w:val="2D981183"/>
    <w:rsid w:val="2D9A0EF8"/>
    <w:rsid w:val="2DA2135E"/>
    <w:rsid w:val="2DAF2E4B"/>
    <w:rsid w:val="2DF3338E"/>
    <w:rsid w:val="2E0E760D"/>
    <w:rsid w:val="2E634D99"/>
    <w:rsid w:val="2E665E24"/>
    <w:rsid w:val="2E7827AF"/>
    <w:rsid w:val="2E7E53FA"/>
    <w:rsid w:val="2E843358"/>
    <w:rsid w:val="2E866557"/>
    <w:rsid w:val="2EAE1131"/>
    <w:rsid w:val="2EBB2EFB"/>
    <w:rsid w:val="2EF12AA5"/>
    <w:rsid w:val="2F017E0F"/>
    <w:rsid w:val="2F0B5A68"/>
    <w:rsid w:val="2F1264B8"/>
    <w:rsid w:val="2F45680A"/>
    <w:rsid w:val="2F6616C8"/>
    <w:rsid w:val="2F785EE3"/>
    <w:rsid w:val="2F835FE6"/>
    <w:rsid w:val="2F8F2271"/>
    <w:rsid w:val="2FA53F52"/>
    <w:rsid w:val="303D2658"/>
    <w:rsid w:val="3066422A"/>
    <w:rsid w:val="308E71D0"/>
    <w:rsid w:val="30E9774E"/>
    <w:rsid w:val="310420E8"/>
    <w:rsid w:val="310A4B09"/>
    <w:rsid w:val="311F7DDC"/>
    <w:rsid w:val="31292481"/>
    <w:rsid w:val="31293A71"/>
    <w:rsid w:val="313811B1"/>
    <w:rsid w:val="313A4D74"/>
    <w:rsid w:val="314616B4"/>
    <w:rsid w:val="31633AA7"/>
    <w:rsid w:val="31972153"/>
    <w:rsid w:val="31D14AC5"/>
    <w:rsid w:val="31E63086"/>
    <w:rsid w:val="31EC008E"/>
    <w:rsid w:val="32095B90"/>
    <w:rsid w:val="322E59B4"/>
    <w:rsid w:val="3240150B"/>
    <w:rsid w:val="324134B2"/>
    <w:rsid w:val="324C1E2B"/>
    <w:rsid w:val="32737B32"/>
    <w:rsid w:val="32C00676"/>
    <w:rsid w:val="32F303BF"/>
    <w:rsid w:val="334C6058"/>
    <w:rsid w:val="336F71A9"/>
    <w:rsid w:val="33B30DF3"/>
    <w:rsid w:val="34164B0D"/>
    <w:rsid w:val="34A0361C"/>
    <w:rsid w:val="34AA1BB2"/>
    <w:rsid w:val="34B14942"/>
    <w:rsid w:val="34C75EE8"/>
    <w:rsid w:val="34E22D4D"/>
    <w:rsid w:val="34F66E82"/>
    <w:rsid w:val="35222791"/>
    <w:rsid w:val="358405D0"/>
    <w:rsid w:val="35B82166"/>
    <w:rsid w:val="35E70981"/>
    <w:rsid w:val="361B528F"/>
    <w:rsid w:val="36511767"/>
    <w:rsid w:val="36584EF1"/>
    <w:rsid w:val="3679446E"/>
    <w:rsid w:val="368B4D38"/>
    <w:rsid w:val="370C49A7"/>
    <w:rsid w:val="370F3C0D"/>
    <w:rsid w:val="376170EB"/>
    <w:rsid w:val="37704640"/>
    <w:rsid w:val="378644A7"/>
    <w:rsid w:val="379A346B"/>
    <w:rsid w:val="37B34BC8"/>
    <w:rsid w:val="37C2095E"/>
    <w:rsid w:val="37C800A6"/>
    <w:rsid w:val="37DE462A"/>
    <w:rsid w:val="37ED7A3F"/>
    <w:rsid w:val="37F012DD"/>
    <w:rsid w:val="38451946"/>
    <w:rsid w:val="388A1731"/>
    <w:rsid w:val="388D371B"/>
    <w:rsid w:val="3918573D"/>
    <w:rsid w:val="392B7005"/>
    <w:rsid w:val="39300383"/>
    <w:rsid w:val="3952586A"/>
    <w:rsid w:val="3958538C"/>
    <w:rsid w:val="398F6409"/>
    <w:rsid w:val="399C2EB1"/>
    <w:rsid w:val="39AD5401"/>
    <w:rsid w:val="39D730F7"/>
    <w:rsid w:val="39E13B89"/>
    <w:rsid w:val="39EB6350"/>
    <w:rsid w:val="3A027F19"/>
    <w:rsid w:val="3A03179B"/>
    <w:rsid w:val="3A414072"/>
    <w:rsid w:val="3A506E99"/>
    <w:rsid w:val="3A6D0632"/>
    <w:rsid w:val="3A812D72"/>
    <w:rsid w:val="3A937CAE"/>
    <w:rsid w:val="3AB605BC"/>
    <w:rsid w:val="3AD01A26"/>
    <w:rsid w:val="3AD153F6"/>
    <w:rsid w:val="3AF35D73"/>
    <w:rsid w:val="3AFD61EB"/>
    <w:rsid w:val="3B424545"/>
    <w:rsid w:val="3B4C7172"/>
    <w:rsid w:val="3B6C265C"/>
    <w:rsid w:val="3B7C0B27"/>
    <w:rsid w:val="3B88430F"/>
    <w:rsid w:val="3B9F231E"/>
    <w:rsid w:val="3BA0207D"/>
    <w:rsid w:val="3BA850BC"/>
    <w:rsid w:val="3BBD1DB4"/>
    <w:rsid w:val="3BD04E07"/>
    <w:rsid w:val="3BF17E28"/>
    <w:rsid w:val="3C0C1A2F"/>
    <w:rsid w:val="3C4D4F50"/>
    <w:rsid w:val="3CB63148"/>
    <w:rsid w:val="3CD952FE"/>
    <w:rsid w:val="3D0875A4"/>
    <w:rsid w:val="3D480B40"/>
    <w:rsid w:val="3D516558"/>
    <w:rsid w:val="3D5F16F4"/>
    <w:rsid w:val="3D702CFD"/>
    <w:rsid w:val="3D7D1865"/>
    <w:rsid w:val="3D9273AE"/>
    <w:rsid w:val="3DB86DD6"/>
    <w:rsid w:val="3DC72D75"/>
    <w:rsid w:val="3DCC3B27"/>
    <w:rsid w:val="3DF01A15"/>
    <w:rsid w:val="3E774506"/>
    <w:rsid w:val="3E821234"/>
    <w:rsid w:val="3E9230EE"/>
    <w:rsid w:val="3E9B311D"/>
    <w:rsid w:val="3EB7726D"/>
    <w:rsid w:val="3EF14DB3"/>
    <w:rsid w:val="3F001E06"/>
    <w:rsid w:val="3F0424A5"/>
    <w:rsid w:val="3F224721"/>
    <w:rsid w:val="3F2D1069"/>
    <w:rsid w:val="3F3608E0"/>
    <w:rsid w:val="3FC1012F"/>
    <w:rsid w:val="3FD03675"/>
    <w:rsid w:val="3FFC563B"/>
    <w:rsid w:val="400A444B"/>
    <w:rsid w:val="407F6985"/>
    <w:rsid w:val="408A6859"/>
    <w:rsid w:val="40FC0EDC"/>
    <w:rsid w:val="41076015"/>
    <w:rsid w:val="41124D31"/>
    <w:rsid w:val="4129310F"/>
    <w:rsid w:val="415E375B"/>
    <w:rsid w:val="417E6516"/>
    <w:rsid w:val="4191596D"/>
    <w:rsid w:val="41A86151"/>
    <w:rsid w:val="41A97065"/>
    <w:rsid w:val="41BC790C"/>
    <w:rsid w:val="41D67795"/>
    <w:rsid w:val="423E6349"/>
    <w:rsid w:val="425B4973"/>
    <w:rsid w:val="426408A6"/>
    <w:rsid w:val="426E79CE"/>
    <w:rsid w:val="427B205B"/>
    <w:rsid w:val="427C658F"/>
    <w:rsid w:val="428B7DC0"/>
    <w:rsid w:val="42F93A95"/>
    <w:rsid w:val="431C1A21"/>
    <w:rsid w:val="43B60D20"/>
    <w:rsid w:val="43BF3D19"/>
    <w:rsid w:val="43BF5FBB"/>
    <w:rsid w:val="43C639D7"/>
    <w:rsid w:val="43D368B5"/>
    <w:rsid w:val="43DE6DD5"/>
    <w:rsid w:val="43E8153E"/>
    <w:rsid w:val="43F860E9"/>
    <w:rsid w:val="43FC27C7"/>
    <w:rsid w:val="44153FCD"/>
    <w:rsid w:val="441B7340"/>
    <w:rsid w:val="44337121"/>
    <w:rsid w:val="445A78DD"/>
    <w:rsid w:val="448F37D7"/>
    <w:rsid w:val="449803AE"/>
    <w:rsid w:val="44F44EB9"/>
    <w:rsid w:val="454D4212"/>
    <w:rsid w:val="45766F29"/>
    <w:rsid w:val="459467CC"/>
    <w:rsid w:val="459B3D8B"/>
    <w:rsid w:val="45B44292"/>
    <w:rsid w:val="45DC5699"/>
    <w:rsid w:val="45FF375F"/>
    <w:rsid w:val="460528B8"/>
    <w:rsid w:val="462B7531"/>
    <w:rsid w:val="46540D30"/>
    <w:rsid w:val="468C379D"/>
    <w:rsid w:val="46A17500"/>
    <w:rsid w:val="46B45C85"/>
    <w:rsid w:val="46B83054"/>
    <w:rsid w:val="46BE47C9"/>
    <w:rsid w:val="46C133EA"/>
    <w:rsid w:val="46F40419"/>
    <w:rsid w:val="4711679F"/>
    <w:rsid w:val="47307ABE"/>
    <w:rsid w:val="477036BD"/>
    <w:rsid w:val="47775815"/>
    <w:rsid w:val="4792415F"/>
    <w:rsid w:val="479C7D76"/>
    <w:rsid w:val="47C334D7"/>
    <w:rsid w:val="47CE4C4C"/>
    <w:rsid w:val="482312F3"/>
    <w:rsid w:val="484216E1"/>
    <w:rsid w:val="48427933"/>
    <w:rsid w:val="48542559"/>
    <w:rsid w:val="48B80B7F"/>
    <w:rsid w:val="48CA5173"/>
    <w:rsid w:val="48EC1D27"/>
    <w:rsid w:val="4912188A"/>
    <w:rsid w:val="4915390D"/>
    <w:rsid w:val="4916491B"/>
    <w:rsid w:val="49307A8A"/>
    <w:rsid w:val="493D3BD5"/>
    <w:rsid w:val="493D786E"/>
    <w:rsid w:val="49773703"/>
    <w:rsid w:val="499E55EA"/>
    <w:rsid w:val="49B02FC2"/>
    <w:rsid w:val="49BF7239"/>
    <w:rsid w:val="49E71C16"/>
    <w:rsid w:val="4A4366F0"/>
    <w:rsid w:val="4A9151A6"/>
    <w:rsid w:val="4AAA284E"/>
    <w:rsid w:val="4ACD20A9"/>
    <w:rsid w:val="4B0A239F"/>
    <w:rsid w:val="4B115670"/>
    <w:rsid w:val="4B1B37A6"/>
    <w:rsid w:val="4B2422E4"/>
    <w:rsid w:val="4B321889"/>
    <w:rsid w:val="4B327839"/>
    <w:rsid w:val="4B662EA9"/>
    <w:rsid w:val="4B732868"/>
    <w:rsid w:val="4B8363C2"/>
    <w:rsid w:val="4B977F95"/>
    <w:rsid w:val="4BB93B50"/>
    <w:rsid w:val="4BDA6111"/>
    <w:rsid w:val="4C1C493F"/>
    <w:rsid w:val="4C4250A3"/>
    <w:rsid w:val="4C460283"/>
    <w:rsid w:val="4C5E4090"/>
    <w:rsid w:val="4C7D5BBB"/>
    <w:rsid w:val="4C8A0074"/>
    <w:rsid w:val="4C9B1090"/>
    <w:rsid w:val="4CB77648"/>
    <w:rsid w:val="4D3E3BA7"/>
    <w:rsid w:val="4D633133"/>
    <w:rsid w:val="4D800B91"/>
    <w:rsid w:val="4D98462D"/>
    <w:rsid w:val="4DAE439C"/>
    <w:rsid w:val="4DCF483E"/>
    <w:rsid w:val="4DD70349"/>
    <w:rsid w:val="4DE65318"/>
    <w:rsid w:val="4E21420F"/>
    <w:rsid w:val="4E5521E5"/>
    <w:rsid w:val="4E85410C"/>
    <w:rsid w:val="4EAD1CD6"/>
    <w:rsid w:val="4EAD2C74"/>
    <w:rsid w:val="4EE259CC"/>
    <w:rsid w:val="4EE80763"/>
    <w:rsid w:val="4EF12228"/>
    <w:rsid w:val="4EF944D0"/>
    <w:rsid w:val="4EFE5D52"/>
    <w:rsid w:val="4F487E28"/>
    <w:rsid w:val="4F6463E1"/>
    <w:rsid w:val="4F7F4C73"/>
    <w:rsid w:val="4FAA0388"/>
    <w:rsid w:val="4FB064A5"/>
    <w:rsid w:val="50090FDA"/>
    <w:rsid w:val="50101C28"/>
    <w:rsid w:val="503E33BF"/>
    <w:rsid w:val="506C089A"/>
    <w:rsid w:val="50B52F96"/>
    <w:rsid w:val="511358F6"/>
    <w:rsid w:val="51267DFC"/>
    <w:rsid w:val="515810C3"/>
    <w:rsid w:val="51581F75"/>
    <w:rsid w:val="516641F6"/>
    <w:rsid w:val="51C95F5F"/>
    <w:rsid w:val="51D71A1A"/>
    <w:rsid w:val="51E24515"/>
    <w:rsid w:val="51E33BA6"/>
    <w:rsid w:val="51F126D5"/>
    <w:rsid w:val="51F427FA"/>
    <w:rsid w:val="5206327A"/>
    <w:rsid w:val="52157E66"/>
    <w:rsid w:val="522D6900"/>
    <w:rsid w:val="52345F03"/>
    <w:rsid w:val="524C6F14"/>
    <w:rsid w:val="52674576"/>
    <w:rsid w:val="526D1BC8"/>
    <w:rsid w:val="528353A3"/>
    <w:rsid w:val="528F1DFC"/>
    <w:rsid w:val="52950320"/>
    <w:rsid w:val="5310438A"/>
    <w:rsid w:val="53292FA0"/>
    <w:rsid w:val="533D1B5D"/>
    <w:rsid w:val="534722A1"/>
    <w:rsid w:val="53790CB6"/>
    <w:rsid w:val="53B35B89"/>
    <w:rsid w:val="53B51901"/>
    <w:rsid w:val="53BD2563"/>
    <w:rsid w:val="53F75078"/>
    <w:rsid w:val="542637B9"/>
    <w:rsid w:val="542B2BCB"/>
    <w:rsid w:val="54527FB8"/>
    <w:rsid w:val="54863B40"/>
    <w:rsid w:val="54B75F59"/>
    <w:rsid w:val="54BF6BCE"/>
    <w:rsid w:val="54C63415"/>
    <w:rsid w:val="54C740CA"/>
    <w:rsid w:val="54E32AAA"/>
    <w:rsid w:val="54F0573D"/>
    <w:rsid w:val="55144D65"/>
    <w:rsid w:val="55517EC7"/>
    <w:rsid w:val="555B7C68"/>
    <w:rsid w:val="55DA5350"/>
    <w:rsid w:val="561F55DB"/>
    <w:rsid w:val="562543F0"/>
    <w:rsid w:val="562D21EE"/>
    <w:rsid w:val="56854D3B"/>
    <w:rsid w:val="5738076B"/>
    <w:rsid w:val="573E7698"/>
    <w:rsid w:val="57CE11E3"/>
    <w:rsid w:val="57EB7AFF"/>
    <w:rsid w:val="586B1E4B"/>
    <w:rsid w:val="587D49B7"/>
    <w:rsid w:val="588A6106"/>
    <w:rsid w:val="58D91E54"/>
    <w:rsid w:val="58FF53B5"/>
    <w:rsid w:val="59543241"/>
    <w:rsid w:val="59584779"/>
    <w:rsid w:val="59655944"/>
    <w:rsid w:val="597E3BA4"/>
    <w:rsid w:val="599E23AF"/>
    <w:rsid w:val="59B47412"/>
    <w:rsid w:val="59BB7545"/>
    <w:rsid w:val="59FE66B3"/>
    <w:rsid w:val="5A0907E5"/>
    <w:rsid w:val="5A0C23A5"/>
    <w:rsid w:val="5A184997"/>
    <w:rsid w:val="5A1924BD"/>
    <w:rsid w:val="5AC10B8B"/>
    <w:rsid w:val="5AD14C13"/>
    <w:rsid w:val="5AD405C9"/>
    <w:rsid w:val="5AF36529"/>
    <w:rsid w:val="5AF80325"/>
    <w:rsid w:val="5B057AF2"/>
    <w:rsid w:val="5B3C1ED2"/>
    <w:rsid w:val="5B540D70"/>
    <w:rsid w:val="5B61752A"/>
    <w:rsid w:val="5B962162"/>
    <w:rsid w:val="5B9D74B8"/>
    <w:rsid w:val="5BA83AF9"/>
    <w:rsid w:val="5BC07FCE"/>
    <w:rsid w:val="5BCD0477"/>
    <w:rsid w:val="5BCD05BD"/>
    <w:rsid w:val="5BD42464"/>
    <w:rsid w:val="5BD93074"/>
    <w:rsid w:val="5BDB7A2A"/>
    <w:rsid w:val="5BF55BE0"/>
    <w:rsid w:val="5BF64864"/>
    <w:rsid w:val="5C0F5926"/>
    <w:rsid w:val="5C272C70"/>
    <w:rsid w:val="5C632A6E"/>
    <w:rsid w:val="5C6B0779"/>
    <w:rsid w:val="5CA164B1"/>
    <w:rsid w:val="5CB04913"/>
    <w:rsid w:val="5CD91C56"/>
    <w:rsid w:val="5D002DD3"/>
    <w:rsid w:val="5D185C9B"/>
    <w:rsid w:val="5D21519C"/>
    <w:rsid w:val="5D5757D7"/>
    <w:rsid w:val="5D7C6D44"/>
    <w:rsid w:val="5D874E9B"/>
    <w:rsid w:val="5DA71878"/>
    <w:rsid w:val="5DC46523"/>
    <w:rsid w:val="5DDB1024"/>
    <w:rsid w:val="5DDF7248"/>
    <w:rsid w:val="5E0B450A"/>
    <w:rsid w:val="5E0F5996"/>
    <w:rsid w:val="5E246462"/>
    <w:rsid w:val="5ECF3FD1"/>
    <w:rsid w:val="5EFA28BD"/>
    <w:rsid w:val="5F78486F"/>
    <w:rsid w:val="5FAB0949"/>
    <w:rsid w:val="5FAE0D40"/>
    <w:rsid w:val="5FB41AB8"/>
    <w:rsid w:val="5FB8188D"/>
    <w:rsid w:val="5FC232EC"/>
    <w:rsid w:val="5FC30197"/>
    <w:rsid w:val="601C1311"/>
    <w:rsid w:val="60451097"/>
    <w:rsid w:val="60600E46"/>
    <w:rsid w:val="6065645C"/>
    <w:rsid w:val="606E1A73"/>
    <w:rsid w:val="61205D96"/>
    <w:rsid w:val="614F06DE"/>
    <w:rsid w:val="61711B4C"/>
    <w:rsid w:val="62015415"/>
    <w:rsid w:val="6220263B"/>
    <w:rsid w:val="62483DFE"/>
    <w:rsid w:val="62614690"/>
    <w:rsid w:val="62685D90"/>
    <w:rsid w:val="627913CF"/>
    <w:rsid w:val="62797F9D"/>
    <w:rsid w:val="628C13E5"/>
    <w:rsid w:val="62B35448"/>
    <w:rsid w:val="62C356A1"/>
    <w:rsid w:val="62CB093D"/>
    <w:rsid w:val="62DD6EEB"/>
    <w:rsid w:val="62FA231F"/>
    <w:rsid w:val="6309353D"/>
    <w:rsid w:val="630B4D5C"/>
    <w:rsid w:val="63155F18"/>
    <w:rsid w:val="63275B40"/>
    <w:rsid w:val="635B3E16"/>
    <w:rsid w:val="63725C09"/>
    <w:rsid w:val="63B125C8"/>
    <w:rsid w:val="63BA0763"/>
    <w:rsid w:val="63E905A8"/>
    <w:rsid w:val="63EC6E0D"/>
    <w:rsid w:val="63F011EF"/>
    <w:rsid w:val="641C2867"/>
    <w:rsid w:val="642D54E3"/>
    <w:rsid w:val="643C65A1"/>
    <w:rsid w:val="6468651B"/>
    <w:rsid w:val="646F5051"/>
    <w:rsid w:val="64A303C6"/>
    <w:rsid w:val="64D916EF"/>
    <w:rsid w:val="64E35BC7"/>
    <w:rsid w:val="651D2366"/>
    <w:rsid w:val="6532537D"/>
    <w:rsid w:val="65344017"/>
    <w:rsid w:val="65362997"/>
    <w:rsid w:val="65680967"/>
    <w:rsid w:val="656907B0"/>
    <w:rsid w:val="659805B8"/>
    <w:rsid w:val="65B54883"/>
    <w:rsid w:val="65FA7647"/>
    <w:rsid w:val="660D08E5"/>
    <w:rsid w:val="66370323"/>
    <w:rsid w:val="66485387"/>
    <w:rsid w:val="66582345"/>
    <w:rsid w:val="669B2BD8"/>
    <w:rsid w:val="66A600BA"/>
    <w:rsid w:val="66B01E8C"/>
    <w:rsid w:val="66BD51CD"/>
    <w:rsid w:val="66F26363"/>
    <w:rsid w:val="670267B3"/>
    <w:rsid w:val="670E33AA"/>
    <w:rsid w:val="67334BBF"/>
    <w:rsid w:val="67495FE4"/>
    <w:rsid w:val="67B22515"/>
    <w:rsid w:val="67B7228B"/>
    <w:rsid w:val="67FF03F1"/>
    <w:rsid w:val="680B7043"/>
    <w:rsid w:val="6883034C"/>
    <w:rsid w:val="68BC3B1D"/>
    <w:rsid w:val="68DC7F0C"/>
    <w:rsid w:val="68DE0B5A"/>
    <w:rsid w:val="6901225A"/>
    <w:rsid w:val="692840D6"/>
    <w:rsid w:val="693422DC"/>
    <w:rsid w:val="694035C3"/>
    <w:rsid w:val="69493201"/>
    <w:rsid w:val="696447FC"/>
    <w:rsid w:val="69704FF9"/>
    <w:rsid w:val="697C2E5E"/>
    <w:rsid w:val="69C12723"/>
    <w:rsid w:val="69C8725A"/>
    <w:rsid w:val="69EB1780"/>
    <w:rsid w:val="69F638FC"/>
    <w:rsid w:val="69FD762C"/>
    <w:rsid w:val="6A3C488E"/>
    <w:rsid w:val="6A3D6297"/>
    <w:rsid w:val="6A621379"/>
    <w:rsid w:val="6AB37DC4"/>
    <w:rsid w:val="6AB63605"/>
    <w:rsid w:val="6AC8410A"/>
    <w:rsid w:val="6AFD6825"/>
    <w:rsid w:val="6AFE22BC"/>
    <w:rsid w:val="6B0A3567"/>
    <w:rsid w:val="6B0B7C00"/>
    <w:rsid w:val="6B215175"/>
    <w:rsid w:val="6B5D6B0E"/>
    <w:rsid w:val="6B851761"/>
    <w:rsid w:val="6BB0001F"/>
    <w:rsid w:val="6BC54D4F"/>
    <w:rsid w:val="6BEA4F37"/>
    <w:rsid w:val="6BEF6AEF"/>
    <w:rsid w:val="6BFF55A6"/>
    <w:rsid w:val="6C197F88"/>
    <w:rsid w:val="6C556F87"/>
    <w:rsid w:val="6C562D66"/>
    <w:rsid w:val="6C573D7E"/>
    <w:rsid w:val="6C7E30B5"/>
    <w:rsid w:val="6C9F4AA4"/>
    <w:rsid w:val="6CC23DDA"/>
    <w:rsid w:val="6CCE4F28"/>
    <w:rsid w:val="6CE528E6"/>
    <w:rsid w:val="6CED33DD"/>
    <w:rsid w:val="6CF601C3"/>
    <w:rsid w:val="6D001295"/>
    <w:rsid w:val="6D39231F"/>
    <w:rsid w:val="6DAF2776"/>
    <w:rsid w:val="6E035053"/>
    <w:rsid w:val="6E5024FA"/>
    <w:rsid w:val="6E532ED0"/>
    <w:rsid w:val="6E722B2A"/>
    <w:rsid w:val="6E753BFB"/>
    <w:rsid w:val="6E7973B3"/>
    <w:rsid w:val="6EA045A7"/>
    <w:rsid w:val="6EE90259"/>
    <w:rsid w:val="6EE94212"/>
    <w:rsid w:val="6F1F1ECC"/>
    <w:rsid w:val="6F233351"/>
    <w:rsid w:val="6F411E43"/>
    <w:rsid w:val="6F592BC7"/>
    <w:rsid w:val="6F8E449E"/>
    <w:rsid w:val="6FB578C5"/>
    <w:rsid w:val="6FD90225"/>
    <w:rsid w:val="700C707A"/>
    <w:rsid w:val="70110FDB"/>
    <w:rsid w:val="702D7498"/>
    <w:rsid w:val="704B1178"/>
    <w:rsid w:val="70B56644"/>
    <w:rsid w:val="70D319AF"/>
    <w:rsid w:val="70D37CC3"/>
    <w:rsid w:val="70DA7BA5"/>
    <w:rsid w:val="70F133F4"/>
    <w:rsid w:val="70F1600C"/>
    <w:rsid w:val="71614A1E"/>
    <w:rsid w:val="71CA611F"/>
    <w:rsid w:val="720D425E"/>
    <w:rsid w:val="721534C3"/>
    <w:rsid w:val="7239075E"/>
    <w:rsid w:val="724A2849"/>
    <w:rsid w:val="7251260D"/>
    <w:rsid w:val="72DA669E"/>
    <w:rsid w:val="72DB37DB"/>
    <w:rsid w:val="72DC7BCE"/>
    <w:rsid w:val="72E637E4"/>
    <w:rsid w:val="72F64351"/>
    <w:rsid w:val="730F2646"/>
    <w:rsid w:val="73290512"/>
    <w:rsid w:val="73884920"/>
    <w:rsid w:val="73944429"/>
    <w:rsid w:val="73A3131E"/>
    <w:rsid w:val="73AB599B"/>
    <w:rsid w:val="73AF7CC3"/>
    <w:rsid w:val="73FC458A"/>
    <w:rsid w:val="741B7D3F"/>
    <w:rsid w:val="74273CFD"/>
    <w:rsid w:val="74522823"/>
    <w:rsid w:val="746126D0"/>
    <w:rsid w:val="74637F1A"/>
    <w:rsid w:val="749E69CF"/>
    <w:rsid w:val="74AF0844"/>
    <w:rsid w:val="74B26060"/>
    <w:rsid w:val="74B66434"/>
    <w:rsid w:val="74CA3CC0"/>
    <w:rsid w:val="74CF23E7"/>
    <w:rsid w:val="7500786C"/>
    <w:rsid w:val="752A258D"/>
    <w:rsid w:val="75332571"/>
    <w:rsid w:val="75396CDA"/>
    <w:rsid w:val="7561546C"/>
    <w:rsid w:val="75CE780D"/>
    <w:rsid w:val="76300AFA"/>
    <w:rsid w:val="76430DF0"/>
    <w:rsid w:val="76FC03FE"/>
    <w:rsid w:val="76FD4804"/>
    <w:rsid w:val="777918EB"/>
    <w:rsid w:val="77DA5A12"/>
    <w:rsid w:val="77DC5702"/>
    <w:rsid w:val="78227CD8"/>
    <w:rsid w:val="7829281A"/>
    <w:rsid w:val="784815D2"/>
    <w:rsid w:val="78665E3F"/>
    <w:rsid w:val="78902818"/>
    <w:rsid w:val="78994A9D"/>
    <w:rsid w:val="78B92555"/>
    <w:rsid w:val="78BC7A8A"/>
    <w:rsid w:val="78E31C25"/>
    <w:rsid w:val="78F20260"/>
    <w:rsid w:val="790A599B"/>
    <w:rsid w:val="79666685"/>
    <w:rsid w:val="79986BD9"/>
    <w:rsid w:val="79A00574"/>
    <w:rsid w:val="79F041EC"/>
    <w:rsid w:val="79F32CCB"/>
    <w:rsid w:val="7A0837FC"/>
    <w:rsid w:val="7A091ABE"/>
    <w:rsid w:val="7A7C01D3"/>
    <w:rsid w:val="7A8F43F6"/>
    <w:rsid w:val="7ACE731A"/>
    <w:rsid w:val="7AD44562"/>
    <w:rsid w:val="7AE82DB9"/>
    <w:rsid w:val="7B0F77C6"/>
    <w:rsid w:val="7B4A4786"/>
    <w:rsid w:val="7B677D81"/>
    <w:rsid w:val="7B6A44CF"/>
    <w:rsid w:val="7C27219A"/>
    <w:rsid w:val="7C3D04A0"/>
    <w:rsid w:val="7C5307BB"/>
    <w:rsid w:val="7C8A6757"/>
    <w:rsid w:val="7CA5157F"/>
    <w:rsid w:val="7CB16660"/>
    <w:rsid w:val="7CBC44C1"/>
    <w:rsid w:val="7CBF2918"/>
    <w:rsid w:val="7D1C3B35"/>
    <w:rsid w:val="7D295114"/>
    <w:rsid w:val="7D4465B5"/>
    <w:rsid w:val="7D553689"/>
    <w:rsid w:val="7D562F76"/>
    <w:rsid w:val="7D676C50"/>
    <w:rsid w:val="7D860671"/>
    <w:rsid w:val="7D8E6B9B"/>
    <w:rsid w:val="7D9153AD"/>
    <w:rsid w:val="7DA55C93"/>
    <w:rsid w:val="7DEF4A64"/>
    <w:rsid w:val="7E221091"/>
    <w:rsid w:val="7E242CEB"/>
    <w:rsid w:val="7E2C6E37"/>
    <w:rsid w:val="7E3F0EC0"/>
    <w:rsid w:val="7E8D74B1"/>
    <w:rsid w:val="7EA551B4"/>
    <w:rsid w:val="7EDF60D7"/>
    <w:rsid w:val="7F437894"/>
    <w:rsid w:val="7F574211"/>
    <w:rsid w:val="7F772B2B"/>
    <w:rsid w:val="7F9E7AC2"/>
    <w:rsid w:val="7FA90349"/>
    <w:rsid w:val="7FAA23BB"/>
    <w:rsid w:val="7FB77C93"/>
    <w:rsid w:val="7FE9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autoRedefine/>
    <w:qFormat/>
    <w:uiPriority w:val="0"/>
    <w:pPr>
      <w:keepNext/>
      <w:keepLines/>
      <w:spacing w:line="415" w:lineRule="auto"/>
      <w:outlineLvl w:val="1"/>
    </w:pPr>
    <w:rPr>
      <w:rFonts w:ascii="Arial" w:hAnsi="Arial" w:cs="Arial"/>
      <w:b/>
      <w:bCs/>
    </w:rPr>
  </w:style>
  <w:style w:type="paragraph" w:styleId="6">
    <w:name w:val="heading 3"/>
    <w:basedOn w:val="1"/>
    <w:next w:val="1"/>
    <w:autoRedefine/>
    <w:qFormat/>
    <w:uiPriority w:val="0"/>
    <w:pPr>
      <w:keepNext/>
      <w:keepLines/>
      <w:spacing w:line="412" w:lineRule="auto"/>
      <w:outlineLvl w:val="2"/>
    </w:pPr>
    <w:rPr>
      <w:b/>
      <w:bCs/>
      <w:sz w:val="32"/>
      <w:szCs w:val="32"/>
    </w:rPr>
  </w:style>
  <w:style w:type="paragraph" w:styleId="7">
    <w:name w:val="heading 4"/>
    <w:basedOn w:val="1"/>
    <w:next w:val="1"/>
    <w:autoRedefine/>
    <w:qFormat/>
    <w:uiPriority w:val="0"/>
    <w:pPr>
      <w:keepNext/>
      <w:keepLines/>
      <w:spacing w:line="372" w:lineRule="auto"/>
      <w:outlineLvl w:val="3"/>
    </w:pPr>
    <w:rPr>
      <w:rFonts w:ascii="Arial" w:hAnsi="Arial" w:eastAsia="黑体"/>
      <w:b/>
      <w:sz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autoSpaceDE w:val="0"/>
      <w:autoSpaceDN w:val="0"/>
      <w:adjustRightInd w:val="0"/>
      <w:spacing w:line="360" w:lineRule="auto"/>
      <w:ind w:right="-24" w:rightChars="-10" w:firstLine="425" w:firstLineChars="225"/>
    </w:pPr>
    <w:rPr>
      <w:rFonts w:ascii="Arial" w:eastAsia="仿宋_GB2312" w:cs="Arial"/>
      <w:kern w:val="0"/>
      <w:szCs w:val="32"/>
    </w:rPr>
  </w:style>
  <w:style w:type="paragraph" w:styleId="3">
    <w:name w:val="Body Text"/>
    <w:basedOn w:val="1"/>
    <w:autoRedefine/>
    <w:qFormat/>
    <w:uiPriority w:val="1"/>
    <w:pPr>
      <w:ind w:left="700"/>
    </w:pPr>
    <w:rPr>
      <w:rFonts w:ascii="宋体" w:hAnsi="宋体" w:cs="宋体"/>
      <w:sz w:val="24"/>
      <w:szCs w:val="24"/>
      <w:lang w:val="zh-CN" w:bidi="zh-CN"/>
    </w:rPr>
  </w:style>
  <w:style w:type="paragraph" w:styleId="8">
    <w:name w:val="Document Map"/>
    <w:basedOn w:val="1"/>
    <w:autoRedefine/>
    <w:qFormat/>
    <w:uiPriority w:val="0"/>
    <w:pPr>
      <w:shd w:val="clear" w:color="auto" w:fill="000080"/>
    </w:pPr>
  </w:style>
  <w:style w:type="paragraph" w:styleId="9">
    <w:name w:val="annotation text"/>
    <w:basedOn w:val="1"/>
    <w:autoRedefine/>
    <w:qFormat/>
    <w:uiPriority w:val="0"/>
    <w:pPr>
      <w:jc w:val="left"/>
    </w:pPr>
  </w:style>
  <w:style w:type="paragraph" w:styleId="10">
    <w:name w:val="Body Text Indent"/>
    <w:basedOn w:val="1"/>
    <w:next w:val="11"/>
    <w:autoRedefine/>
    <w:qFormat/>
    <w:uiPriority w:val="0"/>
    <w:pPr>
      <w:ind w:firstLine="645"/>
    </w:pPr>
    <w:rPr>
      <w:rFonts w:ascii="Arial" w:hAnsi="Arial" w:eastAsia="仿宋_GB2312"/>
      <w:sz w:val="28"/>
    </w:rPr>
  </w:style>
  <w:style w:type="paragraph" w:styleId="11">
    <w:name w:val="envelope return"/>
    <w:basedOn w:val="1"/>
    <w:next w:val="10"/>
    <w:autoRedefine/>
    <w:qFormat/>
    <w:uiPriority w:val="0"/>
    <w:pPr>
      <w:snapToGrid w:val="0"/>
    </w:pPr>
    <w:rPr>
      <w:rFonts w:ascii="Arial" w:hAnsi="Arial" w:cs="Arial"/>
      <w:szCs w:val="24"/>
    </w:rPr>
  </w:style>
  <w:style w:type="paragraph" w:styleId="12">
    <w:name w:val="Block Text"/>
    <w:basedOn w:val="1"/>
    <w:autoRedefine/>
    <w:semiHidden/>
    <w:unhideWhenUsed/>
    <w:qFormat/>
    <w:uiPriority w:val="99"/>
    <w:pPr>
      <w:spacing w:after="120"/>
      <w:ind w:left="1440" w:leftChars="700" w:right="1440" w:rightChars="700"/>
    </w:pPr>
  </w:style>
  <w:style w:type="paragraph" w:styleId="13">
    <w:name w:val="toc 3"/>
    <w:basedOn w:val="1"/>
    <w:next w:val="1"/>
    <w:autoRedefine/>
    <w:qFormat/>
    <w:uiPriority w:val="0"/>
    <w:pPr>
      <w:spacing w:before="100" w:beforeAutospacing="1" w:after="100" w:afterAutospacing="1"/>
      <w:ind w:left="400" w:leftChars="400"/>
    </w:pPr>
  </w:style>
  <w:style w:type="paragraph" w:styleId="14">
    <w:name w:val="Plain Text"/>
    <w:basedOn w:val="1"/>
    <w:autoRedefine/>
    <w:qFormat/>
    <w:uiPriority w:val="0"/>
    <w:rPr>
      <w:rFonts w:ascii="宋体" w:hAnsi="Courier New"/>
      <w:sz w:val="24"/>
    </w:rPr>
  </w:style>
  <w:style w:type="paragraph" w:styleId="15">
    <w:name w:val="Date"/>
    <w:basedOn w:val="1"/>
    <w:next w:val="1"/>
    <w:autoRedefine/>
    <w:qFormat/>
    <w:uiPriority w:val="0"/>
    <w:rPr>
      <w:rFonts w:ascii="仿宋_GB2312" w:hAnsi="宋体" w:eastAsia="仿宋_GB2312" w:cs="宋体"/>
      <w:sz w:val="30"/>
      <w:szCs w:val="30"/>
    </w:rPr>
  </w:style>
  <w:style w:type="paragraph" w:styleId="16">
    <w:name w:val="Body Text Indent 2"/>
    <w:basedOn w:val="1"/>
    <w:autoRedefine/>
    <w:qFormat/>
    <w:uiPriority w:val="0"/>
    <w:pPr>
      <w:ind w:left="630" w:firstLine="645"/>
    </w:pPr>
    <w:rPr>
      <w:rFonts w:ascii="Arial" w:hAnsi="Arial" w:eastAsia="仿宋_GB2312"/>
      <w:sz w:val="32"/>
      <w:szCs w:val="20"/>
    </w:rPr>
  </w:style>
  <w:style w:type="paragraph" w:styleId="17">
    <w:name w:val="footer"/>
    <w:basedOn w:val="1"/>
    <w:autoRedefine/>
    <w:qFormat/>
    <w:uiPriority w:val="0"/>
    <w:pPr>
      <w:snapToGrid w:val="0"/>
      <w:jc w:val="left"/>
    </w:pPr>
    <w:rPr>
      <w:sz w:val="18"/>
      <w:szCs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List"/>
    <w:basedOn w:val="1"/>
    <w:autoRedefine/>
    <w:qFormat/>
    <w:uiPriority w:val="0"/>
    <w:pPr>
      <w:ind w:left="420" w:hanging="420"/>
    </w:pPr>
    <w:rPr>
      <w:rFonts w:ascii="Arial" w:hAnsi="Arial" w:eastAsia="楷体_GB2312"/>
      <w:sz w:val="28"/>
    </w:rPr>
  </w:style>
  <w:style w:type="paragraph" w:styleId="20">
    <w:name w:val="toc 2"/>
    <w:basedOn w:val="21"/>
    <w:next w:val="21"/>
    <w:autoRedefine/>
    <w:qFormat/>
    <w:uiPriority w:val="0"/>
    <w:rPr>
      <w:rFonts w:eastAsia="仿宋_GB2312"/>
      <w:b/>
      <w:bCs/>
      <w:sz w:val="24"/>
      <w:szCs w:val="24"/>
    </w:rPr>
  </w:style>
  <w:style w:type="paragraph" w:styleId="21">
    <w:name w:val="index 2"/>
    <w:basedOn w:val="1"/>
    <w:next w:val="1"/>
    <w:autoRedefine/>
    <w:qFormat/>
    <w:uiPriority w:val="0"/>
    <w:pPr>
      <w:spacing w:before="100" w:beforeAutospacing="1" w:after="100" w:afterAutospacing="1"/>
      <w:ind w:left="200" w:leftChars="200"/>
    </w:p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index 1"/>
    <w:basedOn w:val="1"/>
    <w:next w:val="1"/>
    <w:autoRedefine/>
    <w:semiHidden/>
    <w:qFormat/>
    <w:uiPriority w:val="0"/>
    <w:pPr>
      <w:jc w:val="center"/>
    </w:pPr>
    <w:rPr>
      <w:rFonts w:ascii="仿宋_GB2312" w:eastAsia="仿宋_GB2312"/>
      <w:b/>
      <w:bCs/>
      <w:sz w:val="28"/>
      <w:szCs w:val="20"/>
    </w:rPr>
  </w:style>
  <w:style w:type="paragraph" w:styleId="24">
    <w:name w:val="Body Text First Indent 2"/>
    <w:basedOn w:val="10"/>
    <w:next w:val="19"/>
    <w:autoRedefine/>
    <w:qFormat/>
    <w:uiPriority w:val="0"/>
    <w:pPr>
      <w:ind w:left="420" w:leftChars="200"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page number"/>
    <w:basedOn w:val="27"/>
    <w:autoRedefine/>
    <w:qFormat/>
    <w:uiPriority w:val="0"/>
  </w:style>
  <w:style w:type="character" w:styleId="30">
    <w:name w:val="Hyperlink"/>
    <w:basedOn w:val="27"/>
    <w:autoRedefine/>
    <w:qFormat/>
    <w:uiPriority w:val="0"/>
    <w:rPr>
      <w:color w:val="0000FF"/>
      <w:u w:val="single"/>
    </w:rPr>
  </w:style>
  <w:style w:type="paragraph" w:styleId="31">
    <w:name w:val="List Paragraph"/>
    <w:basedOn w:val="1"/>
    <w:autoRedefine/>
    <w:qFormat/>
    <w:uiPriority w:val="34"/>
    <w:pPr>
      <w:ind w:firstLine="420" w:firstLineChars="200"/>
    </w:pPr>
  </w:style>
  <w:style w:type="paragraph" w:customStyle="1" w:styleId="32">
    <w:name w:val="H1"/>
    <w:basedOn w:val="5"/>
    <w:next w:val="33"/>
    <w:autoRedefine/>
    <w:qFormat/>
    <w:uiPriority w:val="0"/>
    <w:pPr>
      <w:spacing w:line="600" w:lineRule="exact"/>
      <w:jc w:val="center"/>
    </w:pPr>
    <w:rPr>
      <w:rFonts w:ascii="宋体" w:hAnsi="宋体" w:eastAsia="黑体" w:cs="宋体"/>
      <w:color w:val="000000"/>
      <w:sz w:val="32"/>
      <w:szCs w:val="32"/>
    </w:rPr>
  </w:style>
  <w:style w:type="paragraph" w:customStyle="1" w:styleId="33">
    <w:name w:val="GW-正文"/>
    <w:basedOn w:val="1"/>
    <w:autoRedefine/>
    <w:qFormat/>
    <w:uiPriority w:val="0"/>
    <w:pPr>
      <w:spacing w:line="360" w:lineRule="auto"/>
      <w:ind w:firstLine="200" w:firstLineChars="200"/>
      <w:contextualSpacing/>
    </w:pPr>
  </w:style>
  <w:style w:type="paragraph" w:customStyle="1" w:styleId="34">
    <w:name w:val="H2"/>
    <w:basedOn w:val="6"/>
    <w:next w:val="1"/>
    <w:autoRedefine/>
    <w:qFormat/>
    <w:uiPriority w:val="0"/>
    <w:pPr>
      <w:keepNext w:val="0"/>
      <w:keepLines w:val="0"/>
      <w:spacing w:line="360" w:lineRule="auto"/>
      <w:jc w:val="center"/>
    </w:pPr>
    <w:rPr>
      <w:rFonts w:ascii="宋体" w:hAnsi="宋体" w:cs="Arial"/>
      <w:color w:val="000000"/>
      <w:sz w:val="21"/>
      <w:szCs w:val="21"/>
    </w:rPr>
  </w:style>
  <w:style w:type="character" w:customStyle="1" w:styleId="35">
    <w:name w:val="16"/>
    <w:basedOn w:val="27"/>
    <w:autoRedefine/>
    <w:qFormat/>
    <w:uiPriority w:val="0"/>
    <w:rPr>
      <w:rFonts w:hint="default" w:ascii="Cambria" w:hAnsi="Cambria" w:cs="Times New Roman"/>
      <w:b/>
      <w:bCs/>
      <w:kern w:val="28"/>
      <w:sz w:val="21"/>
      <w:szCs w:val="21"/>
    </w:rPr>
  </w:style>
  <w:style w:type="paragraph" w:customStyle="1" w:styleId="36">
    <w:name w:val="p0"/>
    <w:basedOn w:val="1"/>
    <w:autoRedefine/>
    <w:qFormat/>
    <w:uiPriority w:val="0"/>
    <w:pPr>
      <w:widowControl/>
    </w:pPr>
    <w:rPr>
      <w:kern w:val="0"/>
    </w:rPr>
  </w:style>
  <w:style w:type="paragraph" w:customStyle="1" w:styleId="37">
    <w:name w:val="目录 71"/>
    <w:basedOn w:val="1"/>
    <w:next w:val="1"/>
    <w:autoRedefine/>
    <w:qFormat/>
    <w:uiPriority w:val="99"/>
    <w:pPr>
      <w:ind w:left="2520"/>
    </w:pPr>
    <w:rPr>
      <w:rFonts w:ascii="Calibri"/>
    </w:rPr>
  </w:style>
  <w:style w:type="paragraph" w:customStyle="1" w:styleId="38">
    <w:name w:val="*正文"/>
    <w:basedOn w:val="1"/>
    <w:autoRedefine/>
    <w:qFormat/>
    <w:uiPriority w:val="0"/>
    <w:pPr>
      <w:widowControl/>
      <w:spacing w:line="360" w:lineRule="auto"/>
      <w:ind w:firstLine="480" w:firstLineChars="200"/>
    </w:pPr>
    <w:rPr>
      <w:rFonts w:eastAsia="仿宋_GB2312"/>
      <w:sz w:val="24"/>
      <w:szCs w:val="28"/>
    </w:rPr>
  </w:style>
  <w:style w:type="paragraph" w:customStyle="1" w:styleId="39">
    <w:name w:val="列表段落1"/>
    <w:basedOn w:val="1"/>
    <w:autoRedefine/>
    <w:qFormat/>
    <w:uiPriority w:val="34"/>
    <w:pPr>
      <w:ind w:firstLine="420" w:firstLineChars="200"/>
    </w:pPr>
  </w:style>
  <w:style w:type="paragraph" w:customStyle="1" w:styleId="40">
    <w:name w:val="CES正文"/>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1">
    <w:name w:val="内容"/>
    <w:basedOn w:val="1"/>
    <w:autoRedefine/>
    <w:qFormat/>
    <w:uiPriority w:val="0"/>
    <w:pPr>
      <w:spacing w:line="360" w:lineRule="auto"/>
      <w:ind w:firstLine="420" w:firstLineChars="200"/>
    </w:pPr>
    <w:rPr>
      <w:rFonts w:ascii="华文仿宋" w:hAnsi="华文仿宋" w:eastAsia="仿宋_GB2312"/>
      <w:sz w:val="28"/>
    </w:rPr>
  </w:style>
  <w:style w:type="paragraph" w:customStyle="1" w:styleId="42">
    <w:name w:val="Normal_19"/>
    <w:autoRedefine/>
    <w:qFormat/>
    <w:uiPriority w:val="0"/>
    <w:pPr>
      <w:widowControl w:val="0"/>
      <w:jc w:val="both"/>
    </w:pPr>
    <w:rPr>
      <w:rFonts w:ascii="Calibri" w:hAnsi="Calibri" w:eastAsia="宋体" w:cs="Times New Roman"/>
      <w:lang w:val="en-US" w:eastAsia="zh-CN" w:bidi="ar-SA"/>
    </w:rPr>
  </w:style>
  <w:style w:type="paragraph" w:customStyle="1" w:styleId="43">
    <w:name w:val="Normal_21"/>
    <w:autoRedefine/>
    <w:qFormat/>
    <w:uiPriority w:val="0"/>
    <w:pPr>
      <w:widowControl w:val="0"/>
      <w:jc w:val="both"/>
    </w:pPr>
    <w:rPr>
      <w:rFonts w:ascii="Calibri" w:hAnsi="Calibri" w:eastAsia="Times New Roman" w:cs="Times New Roman"/>
      <w:lang w:val="en-US" w:eastAsia="zh-CN" w:bidi="ar-SA"/>
    </w:rPr>
  </w:style>
  <w:style w:type="paragraph" w:customStyle="1" w:styleId="44">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Heading #1|1"/>
    <w:basedOn w:val="1"/>
    <w:autoRedefine/>
    <w:qFormat/>
    <w:uiPriority w:val="0"/>
    <w:pPr>
      <w:spacing w:after="6340"/>
      <w:jc w:val="center"/>
      <w:outlineLvl w:val="0"/>
    </w:pPr>
    <w:rPr>
      <w:rFonts w:ascii="宋体" w:hAnsi="宋体" w:cs="宋体"/>
      <w:color w:val="2D2C30"/>
      <w:sz w:val="70"/>
      <w:szCs w:val="70"/>
      <w:lang w:val="zh-TW" w:eastAsia="zh-TW" w:bidi="zh-TW"/>
    </w:rPr>
  </w:style>
  <w:style w:type="paragraph" w:customStyle="1" w:styleId="46">
    <w:name w:val="Body text|1"/>
    <w:basedOn w:val="1"/>
    <w:autoRedefine/>
    <w:qFormat/>
    <w:uiPriority w:val="0"/>
    <w:pPr>
      <w:spacing w:line="434" w:lineRule="auto"/>
      <w:ind w:firstLine="400"/>
    </w:pPr>
    <w:rPr>
      <w:rFonts w:ascii="宋体" w:hAnsi="宋体" w:cs="宋体"/>
      <w:color w:val="2D2C30"/>
      <w:sz w:val="28"/>
      <w:szCs w:val="28"/>
      <w:lang w:val="zh-TW" w:eastAsia="zh-TW" w:bidi="zh-TW"/>
    </w:rPr>
  </w:style>
  <w:style w:type="paragraph" w:customStyle="1" w:styleId="47">
    <w:name w:val="Body text|2"/>
    <w:basedOn w:val="1"/>
    <w:autoRedefine/>
    <w:qFormat/>
    <w:uiPriority w:val="0"/>
    <w:pPr>
      <w:spacing w:after="130" w:line="346" w:lineRule="auto"/>
      <w:ind w:firstLine="590"/>
    </w:pPr>
    <w:rPr>
      <w:color w:val="2D2C30"/>
      <w:sz w:val="30"/>
      <w:szCs w:val="30"/>
      <w:u w:val="single"/>
      <w:lang w:val="zh-TW" w:eastAsia="zh-TW" w:bidi="zh-TW"/>
    </w:rPr>
  </w:style>
  <w:style w:type="paragraph" w:customStyle="1" w:styleId="48">
    <w:name w:val="Header or footer|2"/>
    <w:basedOn w:val="1"/>
    <w:autoRedefine/>
    <w:qFormat/>
    <w:uiPriority w:val="0"/>
    <w:rPr>
      <w:sz w:val="20"/>
      <w:szCs w:val="20"/>
      <w:lang w:val="zh-TW" w:eastAsia="zh-TW" w:bidi="zh-TW"/>
    </w:rPr>
  </w:style>
  <w:style w:type="paragraph" w:customStyle="1" w:styleId="49">
    <w:name w:val="D&amp;L"/>
    <w:basedOn w:val="18"/>
    <w:autoRedefine/>
    <w:qFormat/>
    <w:uiPriority w:val="0"/>
    <w:pPr>
      <w:pBdr>
        <w:bottom w:val="thinThickSmallGap" w:color="auto" w:sz="12" w:space="1"/>
      </w:pBdr>
      <w:adjustRightInd w:val="0"/>
      <w:snapToGrid/>
      <w:spacing w:line="240" w:lineRule="atLeast"/>
      <w:textAlignment w:val="baseline"/>
    </w:pPr>
    <w:rPr>
      <w:kern w:val="0"/>
      <w:sz w:val="24"/>
      <w:szCs w:val="24"/>
    </w:rPr>
  </w:style>
  <w:style w:type="paragraph" w:customStyle="1" w:styleId="50">
    <w:name w:val="Table Paragraph"/>
    <w:basedOn w:val="1"/>
    <w:autoRedefine/>
    <w:qFormat/>
    <w:uiPriority w:val="1"/>
    <w:rPr>
      <w:rFonts w:ascii="宋体" w:hAnsi="宋体" w:cs="宋体"/>
    </w:rPr>
  </w:style>
  <w:style w:type="paragraph" w:customStyle="1" w:styleId="51">
    <w:name w:val="正文空2格  1."/>
    <w:basedOn w:val="1"/>
    <w:autoRedefine/>
    <w:qFormat/>
    <w:uiPriority w:val="0"/>
    <w:pPr>
      <w:ind w:firstLine="200" w:firstLineChars="200"/>
    </w:pPr>
    <w:rPr>
      <w:rFonts w:ascii="Calibri" w:hAnsi="Calibri" w:cs="宋体"/>
      <w:sz w:val="28"/>
      <w:szCs w:val="20"/>
    </w:rPr>
  </w:style>
  <w:style w:type="paragraph" w:customStyle="1" w:styleId="52">
    <w:name w:val="A 正文"/>
    <w:autoRedefine/>
    <w:qFormat/>
    <w:uiPriority w:val="0"/>
    <w:pPr>
      <w:spacing w:afterLines="50"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53">
    <w:name w:val="font1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28382</Words>
  <Characters>29908</Characters>
  <Lines>125</Lines>
  <Paragraphs>35</Paragraphs>
  <TotalTime>33</TotalTime>
  <ScaleCrop>false</ScaleCrop>
  <LinksUpToDate>false</LinksUpToDate>
  <CharactersWithSpaces>30993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2019-10-02T02:14:00Z</dcterms:created>
  <dc:creator>WZJ，Champion</dc:creator>
  <cp:lastModifiedBy>二丁目</cp:lastModifiedBy>
  <cp:lastPrinted>2025-01-17T02:39:00Z</cp:lastPrinted>
  <dcterms:modified xsi:type="dcterms:W3CDTF">2025-08-07T07:27:32Z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126621E2A72D4431AC59BBFF85A170B4_13</vt:lpwstr>
  </property>
  <property fmtid="{D5CDD505-2E9C-101B-9397-08002B2CF9AE}" pid="4" name="KSOTemplateDocerSaveRecord">
    <vt:lpwstr>eyJoZGlkIjoiNDU2OGFmNGNkYThmNDMzNzI4OTRhNDYwOTc1MzM1MTQiLCJ1c2VySWQiOiI3NDE0OTI4MTkifQ==</vt:lpwstr>
  </property>
</Properties>
</file>