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皖北卫生职业学院</w:t>
      </w:r>
      <w:r>
        <w:rPr>
          <w:rFonts w:hint="eastAsia" w:ascii="宋体" w:hAnsi="宋体" w:cs="宋体"/>
          <w:b/>
          <w:bCs/>
          <w:color w:val="000000" w:themeColor="text1"/>
          <w:sz w:val="44"/>
          <w:szCs w:val="44"/>
          <w:lang w:eastAsia="zh-CN"/>
          <w14:textFill>
            <w14:solidFill>
              <w14:schemeClr w14:val="tx1"/>
            </w14:solidFill>
          </w14:textFill>
        </w:rPr>
        <w:t>零星</w:t>
      </w:r>
      <w:r>
        <w:rPr>
          <w:rFonts w:hint="eastAsia" w:ascii="宋体" w:hAnsi="宋体" w:cs="宋体"/>
          <w:b/>
          <w:bCs/>
          <w:color w:val="auto"/>
          <w:sz w:val="44"/>
          <w:szCs w:val="44"/>
          <w:lang w:eastAsia="zh-CN"/>
        </w:rPr>
        <w:t>维修服务</w:t>
      </w:r>
      <w:r>
        <w:rPr>
          <w:rFonts w:hint="eastAsia" w:ascii="宋体" w:hAnsi="宋体" w:cs="宋体"/>
          <w:b/>
          <w:bCs/>
          <w:color w:val="auto"/>
          <w:sz w:val="44"/>
          <w:szCs w:val="44"/>
        </w:rPr>
        <w:t>项目</w:t>
      </w:r>
    </w:p>
    <w:p>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项目编号：</w:t>
      </w:r>
      <w:r>
        <w:rPr>
          <w:rFonts w:hint="eastAsia" w:ascii="宋体" w:hAnsi="宋体" w:cs="宋体"/>
          <w:b/>
          <w:bCs/>
          <w:color w:val="000000" w:themeColor="text1"/>
          <w:sz w:val="32"/>
          <w:szCs w:val="32"/>
          <w:lang w:val="en-US" w:eastAsia="zh-CN"/>
          <w14:textFill>
            <w14:solidFill>
              <w14:schemeClr w14:val="tx1"/>
            </w14:solidFill>
          </w14:textFill>
        </w:rPr>
        <w:t>DZSJ2025-008</w:t>
      </w:r>
    </w:p>
    <w:p>
      <w:pPr>
        <w:spacing w:line="800" w:lineRule="exact"/>
        <w:jc w:val="center"/>
        <w:rPr>
          <w:rFonts w:ascii="黑体" w:eastAsia="黑体"/>
          <w:b/>
          <w:bCs/>
          <w:color w:val="000000" w:themeColor="text1"/>
          <w:sz w:val="52"/>
          <w:szCs w:val="52"/>
          <w14:textFill>
            <w14:solidFill>
              <w14:schemeClr w14:val="tx1"/>
            </w14:solidFill>
          </w14:textFill>
        </w:rPr>
      </w:pPr>
    </w:p>
    <w:p>
      <w:pPr>
        <w:pStyle w:val="2"/>
      </w:pP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pPr>
        <w:pStyle w:val="2"/>
        <w:ind w:firstLine="560"/>
        <w:rPr>
          <w:rFonts w:ascii="宋体" w:hAnsi="宋体" w:eastAsia="宋体" w:cs="宋体"/>
          <w:color w:val="000000" w:themeColor="text1"/>
          <w14:textFill>
            <w14:solidFill>
              <w14:schemeClr w14:val="tx1"/>
            </w14:solidFill>
          </w14:textFill>
        </w:rPr>
      </w:pPr>
    </w:p>
    <w:p>
      <w:pPr>
        <w:jc w:val="center"/>
        <w:rPr>
          <w:rFonts w:ascii="宋体" w:hAnsi="宋体" w:cs="宋体"/>
          <w:color w:val="000000" w:themeColor="text1"/>
          <w:sz w:val="24"/>
          <w:szCs w:val="24"/>
          <w14:textFill>
            <w14:solidFill>
              <w14:schemeClr w14:val="tx1"/>
            </w14:solidFill>
          </w14:textFill>
        </w:rPr>
      </w:pPr>
    </w:p>
    <w:p>
      <w:pPr>
        <w:pStyle w:val="2"/>
      </w:pPr>
    </w:p>
    <w:p>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pPr>
        <w:ind w:firstLine="843" w:firstLineChars="300"/>
        <w:rPr>
          <w:rFonts w:ascii="宋体" w:hAnsi="宋体" w:cs="宋体"/>
          <w:b/>
          <w:bCs/>
          <w:color w:val="000000" w:themeColor="text1"/>
          <w:sz w:val="28"/>
          <w:szCs w:val="28"/>
          <w14:textFill>
            <w14:solidFill>
              <w14:schemeClr w14:val="tx1"/>
            </w14:solidFill>
          </w14:textFill>
        </w:rPr>
      </w:pPr>
    </w:p>
    <w:p>
      <w:pPr>
        <w:ind w:firstLine="843" w:firstLineChars="300"/>
        <w:rPr>
          <w:rFonts w:ascii="宋体" w:hAnsi="宋体" w:cs="宋体"/>
          <w:b/>
          <w:bCs/>
          <w:color w:val="000000" w:themeColor="text1"/>
          <w:sz w:val="28"/>
          <w:szCs w:val="28"/>
          <w14:textFill>
            <w14:solidFill>
              <w14:schemeClr w14:val="tx1"/>
            </w14:solidFill>
          </w14:textFill>
        </w:rPr>
      </w:pPr>
    </w:p>
    <w:p>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大洲设计咨询集团有限公司</w:t>
      </w:r>
      <w:r>
        <w:rPr>
          <w:rFonts w:hint="eastAsia" w:ascii="宋体" w:hAnsi="宋体" w:cs="宋体"/>
          <w:b/>
          <w:bCs/>
          <w:color w:val="000000" w:themeColor="text1"/>
          <w:sz w:val="28"/>
          <w:szCs w:val="28"/>
          <w14:textFill>
            <w14:solidFill>
              <w14:schemeClr w14:val="tx1"/>
            </w14:solidFill>
          </w14:textFill>
        </w:rPr>
        <w:t>（盖章）</w:t>
      </w:r>
    </w:p>
    <w:p>
      <w:pPr>
        <w:pStyle w:val="2"/>
        <w:ind w:firstLine="640"/>
        <w:rPr>
          <w:b/>
          <w:bCs/>
          <w:color w:val="000000" w:themeColor="text1"/>
          <w:sz w:val="32"/>
          <w:szCs w:val="22"/>
          <w14:textFill>
            <w14:solidFill>
              <w14:schemeClr w14:val="tx1"/>
            </w14:solidFill>
          </w14:textFill>
        </w:rPr>
      </w:pPr>
    </w:p>
    <w:p>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07</w:t>
      </w:r>
      <w:r>
        <w:rPr>
          <w:rFonts w:hint="eastAsia" w:ascii="宋体" w:hAnsi="宋体" w:cs="宋体"/>
          <w:b/>
          <w:bCs/>
          <w:color w:val="000000" w:themeColor="text1"/>
          <w:sz w:val="32"/>
          <w:szCs w:val="32"/>
          <w14:textFill>
            <w14:solidFill>
              <w14:schemeClr w14:val="tx1"/>
            </w14:solidFill>
          </w14:textFill>
        </w:rPr>
        <w:t>月</w:t>
      </w:r>
    </w:p>
    <w:p>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footerReference r:id="rId3" w:type="default"/>
          <w:pgSz w:w="11910" w:h="16850"/>
          <w:pgMar w:top="1380" w:right="900" w:bottom="1480" w:left="1440" w:header="1046" w:footer="1218" w:gutter="0"/>
          <w:pgNumType w:fmt="decimal" w:start="1"/>
          <w:cols w:space="720" w:num="1"/>
        </w:sectPr>
      </w:pPr>
      <w:bookmarkStart w:id="0" w:name="_Toc511899286"/>
      <w:bookmarkEnd w:id="0"/>
      <w:bookmarkStart w:id="1" w:name="_Toc272218544"/>
    </w:p>
    <w:p>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p>
    <w:p>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fldChar w:fldCharType="end"/>
      </w:r>
    </w:p>
    <w:p>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lang w:eastAsia="zh-CN"/>
          <w14:textFill>
            <w14:solidFill>
              <w14:schemeClr w14:val="tx1"/>
            </w14:solidFill>
          </w14:textFill>
        </w:rPr>
        <w:t>及商务要求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p>
    <w:p>
      <w:pPr>
        <w:pStyle w:val="19"/>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2</w:t>
      </w:r>
    </w:p>
    <w:p>
      <w:pPr>
        <w:pStyle w:val="19"/>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5</w:t>
      </w:r>
    </w:p>
    <w:p>
      <w:pPr>
        <w:pStyle w:val="19"/>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8</w:t>
      </w:r>
    </w:p>
    <w:p>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lang w:val="en-US" w:eastAsia="zh-CN"/>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pPr>
        <w:pStyle w:val="19"/>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lang w:eastAsia="zh-CN"/>
          <w14:textFill>
            <w14:solidFill>
              <w14:schemeClr w14:val="tx1"/>
            </w14:solidFill>
          </w14:textFill>
        </w:rPr>
        <w:t>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6</w:t>
      </w:r>
    </w:p>
    <w:p>
      <w:pPr>
        <w:pStyle w:val="12"/>
        <w:tabs>
          <w:tab w:val="right" w:leader="dot" w:pos="9570"/>
        </w:tabs>
        <w:ind w:left="840"/>
        <w:rPr>
          <w:rFonts w:ascii="宋体" w:hAnsi="宋体" w:cs="宋体"/>
          <w:color w:val="000000" w:themeColor="text1"/>
          <w14:textFill>
            <w14:solidFill>
              <w14:schemeClr w14:val="tx1"/>
            </w14:solidFill>
          </w14:textFill>
        </w:rPr>
      </w:pPr>
    </w:p>
    <w:p>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pPr>
        <w:pStyle w:val="31"/>
        <w:spacing w:line="440" w:lineRule="exact"/>
        <w:rPr>
          <w:rFonts w:eastAsia="宋体"/>
          <w:color w:val="000000" w:themeColor="text1"/>
          <w14:textFill>
            <w14:solidFill>
              <w14:schemeClr w14:val="tx1"/>
            </w14:solidFill>
          </w14:textFill>
        </w:rPr>
        <w:sectPr>
          <w:footerReference r:id="rId4" w:type="default"/>
          <w:pgSz w:w="11910" w:h="16850"/>
          <w:pgMar w:top="1380" w:right="900" w:bottom="1480" w:left="1440" w:header="1046" w:footer="1218" w:gutter="0"/>
          <w:pgNumType w:fmt="decimal"/>
          <w:cols w:space="720" w:num="1"/>
        </w:sectPr>
      </w:pPr>
    </w:p>
    <w:p>
      <w:pPr>
        <w:pStyle w:val="31"/>
        <w:pageBreakBefore w:val="0"/>
        <w:widowControl w:val="0"/>
        <w:kinsoku/>
        <w:wordWrap/>
        <w:overflowPunct/>
        <w:topLinePunct w:val="0"/>
        <w:autoSpaceDE/>
        <w:autoSpaceDN/>
        <w:bidi w:val="0"/>
        <w:adjustRightInd/>
        <w:snapToGrid/>
        <w:spacing w:line="480" w:lineRule="auto"/>
        <w:textAlignment w:val="auto"/>
        <w:rPr>
          <w:rFonts w:eastAsia="宋体"/>
          <w:color w:val="auto"/>
        </w:rPr>
      </w:pPr>
      <w:bookmarkStart w:id="2" w:name="_Toc9403"/>
      <w:r>
        <w:rPr>
          <w:rFonts w:hint="eastAsia" w:eastAsia="宋体"/>
          <w:color w:val="auto"/>
        </w:rPr>
        <w:t>第一章 竞争性磋商公告</w:t>
      </w:r>
      <w:bookmarkEnd w:id="1"/>
      <w:bookmarkEnd w:id="2"/>
    </w:p>
    <w:p>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ascii="宋体" w:hAnsi="宋体" w:cs="宋体"/>
          <w:color w:val="auto"/>
        </w:rPr>
      </w:pPr>
      <w:r>
        <w:rPr>
          <w:rFonts w:hint="eastAsia" w:ascii="宋体" w:hAnsi="宋体" w:cs="宋体"/>
          <w:b/>
          <w:bCs/>
          <w:color w:val="auto"/>
          <w:u w:val="single"/>
          <w:lang w:val="en-US" w:eastAsia="zh-CN"/>
        </w:rPr>
        <w:t>大洲设计咨询集团有限公司</w:t>
      </w:r>
      <w:r>
        <w:rPr>
          <w:rFonts w:hint="eastAsia" w:ascii="宋体" w:hAnsi="宋体" w:cs="宋体"/>
          <w:color w:val="auto"/>
        </w:rPr>
        <w:t>受</w:t>
      </w:r>
      <w:r>
        <w:rPr>
          <w:rFonts w:hint="eastAsia" w:ascii="宋体" w:hAnsi="宋体" w:cs="宋体"/>
          <w:b/>
          <w:bCs/>
          <w:color w:val="auto"/>
          <w:u w:val="single"/>
        </w:rPr>
        <w:t>皖北卫生职业学院</w:t>
      </w:r>
      <w:r>
        <w:rPr>
          <w:rFonts w:hint="eastAsia" w:ascii="宋体" w:hAnsi="宋体" w:cs="宋体"/>
          <w:color w:val="auto"/>
        </w:rPr>
        <w:t>的委托，现对</w:t>
      </w:r>
      <w:r>
        <w:rPr>
          <w:rFonts w:hint="eastAsia" w:ascii="宋体" w:hAnsi="宋体" w:cs="宋体"/>
          <w:b/>
          <w:bCs/>
          <w:color w:val="auto"/>
          <w:u w:val="single"/>
        </w:rPr>
        <w:t>皖北卫生职业学院</w:t>
      </w:r>
      <w:r>
        <w:rPr>
          <w:rFonts w:hint="eastAsia" w:ascii="宋体" w:hAnsi="宋体" w:cs="宋体"/>
          <w:b/>
          <w:bCs/>
          <w:color w:val="auto"/>
          <w:u w:val="single"/>
          <w:lang w:eastAsia="zh-CN"/>
        </w:rPr>
        <w:t>零星维修服务</w:t>
      </w:r>
      <w:r>
        <w:rPr>
          <w:rFonts w:hint="eastAsia" w:ascii="宋体" w:hAnsi="宋体" w:cs="宋体"/>
          <w:b/>
          <w:bCs/>
          <w:color w:val="auto"/>
          <w:u w:val="single"/>
        </w:rPr>
        <w:t>项目</w:t>
      </w:r>
      <w:r>
        <w:rPr>
          <w:rFonts w:hint="eastAsia" w:ascii="宋体" w:hAnsi="宋体" w:cs="宋体"/>
          <w:color w:val="auto"/>
        </w:rPr>
        <w:t>进行竞争性磋商，欢迎具备条件的国内供应商参加磋商。</w:t>
      </w:r>
    </w:p>
    <w:p>
      <w:pPr>
        <w:pStyle w:val="33"/>
        <w:keepNext w:val="0"/>
        <w:keepLines w:val="0"/>
        <w:pageBreakBefore w:val="0"/>
        <w:widowControl w:val="0"/>
        <w:kinsoku/>
        <w:wordWrap/>
        <w:overflowPunct/>
        <w:topLinePunct w:val="0"/>
        <w:bidi w:val="0"/>
        <w:snapToGrid/>
        <w:spacing w:line="480" w:lineRule="auto"/>
        <w:jc w:val="left"/>
        <w:textAlignment w:val="auto"/>
        <w:rPr>
          <w:rFonts w:cs="宋体"/>
          <w:color w:val="auto"/>
        </w:rPr>
      </w:pPr>
      <w:bookmarkStart w:id="3" w:name="_Toc511899287"/>
      <w:bookmarkEnd w:id="3"/>
      <w:bookmarkStart w:id="4" w:name="_Toc26736"/>
      <w:bookmarkStart w:id="5" w:name="_Toc11370"/>
      <w:r>
        <w:rPr>
          <w:rFonts w:hint="eastAsia" w:cs="宋体"/>
          <w:color w:val="auto"/>
        </w:rPr>
        <w:t>一、项目名称及内容</w:t>
      </w:r>
      <w:bookmarkEnd w:id="4"/>
      <w:bookmarkEnd w:id="5"/>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auto"/>
          <w:lang w:val="en-US" w:eastAsia="zh-CN"/>
        </w:rPr>
      </w:pPr>
      <w:r>
        <w:rPr>
          <w:rFonts w:hint="eastAsia"/>
          <w:color w:val="auto"/>
        </w:rPr>
        <w:t>1、项</w:t>
      </w:r>
      <w:r>
        <w:rPr>
          <w:rFonts w:hint="eastAsia" w:ascii="宋体" w:hAnsi="宋体" w:cs="宋体"/>
          <w:color w:val="auto"/>
        </w:rPr>
        <w:t>目编号：DZSJ2025-00</w:t>
      </w:r>
      <w:r>
        <w:rPr>
          <w:rFonts w:hint="eastAsia" w:ascii="宋体" w:hAnsi="宋体" w:cs="宋体"/>
          <w:color w:val="auto"/>
          <w:lang w:val="en-US" w:eastAsia="zh-CN"/>
        </w:rPr>
        <w:t>8</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eastAsia="宋体" w:cs="宋体"/>
          <w:color w:val="auto"/>
          <w:lang w:eastAsia="zh-CN"/>
        </w:rPr>
      </w:pPr>
      <w:r>
        <w:rPr>
          <w:rFonts w:hint="eastAsia" w:ascii="宋体" w:hAnsi="宋体" w:cs="宋体"/>
          <w:color w:val="auto"/>
        </w:rPr>
        <w:t>2、项目名称：皖北卫生职业学院</w:t>
      </w:r>
      <w:r>
        <w:rPr>
          <w:rFonts w:hint="eastAsia" w:ascii="宋体" w:hAnsi="宋体" w:cs="宋体"/>
          <w:color w:val="auto"/>
          <w:lang w:eastAsia="zh-CN"/>
        </w:rPr>
        <w:t>零星维修服务</w:t>
      </w:r>
      <w:r>
        <w:rPr>
          <w:rFonts w:hint="eastAsia" w:ascii="宋体" w:hAnsi="宋体" w:cs="宋体"/>
          <w:color w:val="auto"/>
        </w:rPr>
        <w:t>项目</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3、采购人：皖北卫生职业学院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4、资金来源：自筹资金</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auto"/>
          <w:lang w:val="en-US" w:eastAsia="zh-CN"/>
        </w:rPr>
      </w:pPr>
      <w:r>
        <w:rPr>
          <w:rFonts w:hint="eastAsia" w:ascii="宋体" w:hAnsi="宋体" w:cs="宋体"/>
          <w:color w:val="auto"/>
        </w:rPr>
        <w:t>5、</w:t>
      </w:r>
      <w:r>
        <w:rPr>
          <w:rFonts w:hint="eastAsia" w:ascii="宋体" w:hAnsi="宋体" w:cs="宋体"/>
          <w:color w:val="auto"/>
          <w:lang w:val="en-US" w:eastAsia="zh-CN"/>
        </w:rPr>
        <w:t>最高限价</w:t>
      </w:r>
      <w:r>
        <w:rPr>
          <w:rFonts w:hint="eastAsia" w:ascii="宋体" w:hAnsi="宋体" w:cs="宋体"/>
          <w:color w:val="auto"/>
        </w:rPr>
        <w:t>：</w:t>
      </w:r>
      <w:r>
        <w:rPr>
          <w:rFonts w:hint="eastAsia" w:ascii="宋体" w:hAnsi="宋体" w:cs="宋体"/>
          <w:b/>
          <w:bCs/>
          <w:color w:val="000000"/>
          <w:kern w:val="0"/>
          <w:sz w:val="24"/>
          <w:szCs w:val="24"/>
          <w:lang w:eastAsia="zh-CN"/>
        </w:rPr>
        <w:t>费率</w:t>
      </w:r>
      <w:r>
        <w:rPr>
          <w:rFonts w:hint="eastAsia" w:ascii="宋体" w:hAnsi="宋体" w:cs="宋体"/>
          <w:b/>
          <w:bCs/>
          <w:color w:val="000000"/>
          <w:kern w:val="0"/>
          <w:sz w:val="24"/>
          <w:szCs w:val="24"/>
          <w:lang w:val="en-US" w:eastAsia="zh-CN"/>
        </w:rPr>
        <w:t>100%（中标人编制的工程结算经学院委托的第三方审计机构审核后确定的工程竣工结算审核价款的100%）</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auto"/>
          <w:lang w:val="en-US" w:eastAsia="zh-CN"/>
        </w:rPr>
      </w:pPr>
      <w:r>
        <w:rPr>
          <w:rFonts w:hint="eastAsia" w:ascii="宋体" w:hAnsi="宋体" w:cs="宋体"/>
          <w:color w:val="auto"/>
        </w:rPr>
        <w:t>6、服务期：</w:t>
      </w:r>
      <w:r>
        <w:rPr>
          <w:rFonts w:hint="eastAsia" w:ascii="宋体" w:hAnsi="宋体" w:cs="宋体"/>
          <w:b/>
          <w:bCs/>
          <w:color w:val="auto"/>
          <w:lang w:val="en-US" w:eastAsia="zh-CN"/>
        </w:rPr>
        <w:t>365日（采用1+1+1模式</w:t>
      </w:r>
      <w:r>
        <w:rPr>
          <w:rFonts w:hint="eastAsia" w:ascii="宋体" w:hAnsi="宋体" w:cs="宋体"/>
          <w:color w:val="auto"/>
          <w:lang w:val="en-US" w:eastAsia="zh-CN"/>
        </w:rPr>
        <w:t>，服务期三年，合同一年一签。每年服务期末，采购人对中标服务单位进行考核，考核合格可续签合同，如考核不合格，采购人有权取消中标单位服务资格）</w:t>
      </w:r>
      <w:r>
        <w:rPr>
          <w:rFonts w:hint="eastAsia"/>
          <w:color w:val="auto"/>
          <w:lang w:val="en-US" w:eastAsia="zh-CN"/>
        </w:rPr>
        <w:t>。</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lang w:val="en-US" w:eastAsia="zh-CN"/>
        </w:rPr>
      </w:pPr>
      <w:r>
        <w:rPr>
          <w:rFonts w:hint="eastAsia" w:ascii="宋体" w:hAnsi="宋体" w:cs="宋体"/>
          <w:color w:val="auto"/>
        </w:rPr>
        <w:t>7、采购需求</w:t>
      </w:r>
      <w:r>
        <w:rPr>
          <w:rFonts w:hint="eastAsia" w:ascii="宋体" w:hAnsi="宋体" w:cs="宋体"/>
          <w:color w:val="auto"/>
          <w:lang w:val="en-US" w:eastAsia="zh-CN"/>
        </w:rPr>
        <w:t>：</w:t>
      </w:r>
      <w:r>
        <w:rPr>
          <w:rFonts w:hint="eastAsia" w:ascii="宋体" w:hAnsi="宋体" w:cs="宋体"/>
          <w:color w:val="auto"/>
        </w:rPr>
        <w:t>本项目为皖北卫生职业学院 3 万元以下</w:t>
      </w:r>
      <w:r>
        <w:rPr>
          <w:rFonts w:hint="eastAsia" w:ascii="宋体" w:hAnsi="宋体" w:cs="宋体"/>
          <w:color w:val="auto"/>
          <w:lang w:eastAsia="zh-CN"/>
        </w:rPr>
        <w:t>零星维修服务</w:t>
      </w:r>
      <w:r>
        <w:rPr>
          <w:rFonts w:hint="eastAsia" w:ascii="宋体" w:hAnsi="宋体" w:cs="宋体"/>
          <w:color w:val="auto"/>
        </w:rPr>
        <w:t>单位采购，我院拟通过竞争性磋商的方式，择优选取一家符合资质要求的施工企业，为学院承建3万元以下的小型零星工程</w:t>
      </w:r>
      <w:r>
        <w:rPr>
          <w:rFonts w:hint="eastAsia" w:ascii="宋体" w:hAnsi="宋体" w:cs="宋体"/>
          <w:color w:val="auto"/>
          <w:lang w:val="en-US" w:eastAsia="zh-CN"/>
        </w:rPr>
        <w:t>维修服务，具体详见采购文件第三章采购需求。</w:t>
      </w:r>
    </w:p>
    <w:p>
      <w:pPr>
        <w:keepNext w:val="0"/>
        <w:keepLines w:val="0"/>
        <w:pageBreakBefore w:val="0"/>
        <w:widowControl w:val="0"/>
        <w:kinsoku/>
        <w:wordWrap/>
        <w:overflowPunct/>
        <w:topLinePunct w:val="0"/>
        <w:bidi w:val="0"/>
        <w:snapToGrid/>
        <w:spacing w:line="480" w:lineRule="auto"/>
        <w:ind w:firstLine="211" w:firstLineChars="100"/>
        <w:textAlignment w:val="auto"/>
        <w:rPr>
          <w:rFonts w:hint="eastAsia" w:ascii="宋体" w:hAnsi="宋体" w:cs="宋体"/>
          <w:b/>
          <w:bCs/>
          <w:color w:val="000000" w:themeColor="text1"/>
          <w14:textFill>
            <w14:solidFill>
              <w14:schemeClr w14:val="tx1"/>
            </w14:solidFill>
          </w14:textFill>
        </w:rPr>
      </w:pPr>
      <w:bookmarkStart w:id="6" w:name="_Toc7601"/>
      <w:bookmarkStart w:id="7" w:name="_Toc23771"/>
      <w:r>
        <w:rPr>
          <w:rFonts w:hint="eastAsia" w:ascii="宋体" w:hAnsi="宋体" w:cs="宋体"/>
          <w:b/>
          <w:bCs/>
          <w:color w:val="000000" w:themeColor="text1"/>
          <w14:textFill>
            <w14:solidFill>
              <w14:schemeClr w14:val="tx1"/>
            </w14:solidFill>
          </w14:textFill>
        </w:rPr>
        <w:t>二、供应商资格</w:t>
      </w:r>
      <w:bookmarkEnd w:id="6"/>
      <w:bookmarkEnd w:id="7"/>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8" w:name="_Toc511898260"/>
      <w:bookmarkEnd w:id="8"/>
      <w:bookmarkStart w:id="9" w:name="_Toc511828355"/>
      <w:bookmarkEnd w:id="9"/>
      <w:bookmarkStart w:id="10" w:name="_Toc511899289"/>
      <w:bookmarkStart w:id="11" w:name="_Toc30594"/>
      <w:bookmarkStart w:id="12" w:name="_Toc29577"/>
      <w:r>
        <w:rPr>
          <w:rFonts w:hint="eastAsia" w:ascii="宋体" w:hAnsi="宋体" w:eastAsia="宋体" w:cs="宋体"/>
          <w:color w:val="000000" w:themeColor="text1"/>
          <w:kern w:val="2"/>
          <w:sz w:val="21"/>
          <w:szCs w:val="21"/>
          <w:lang w:val="en-US" w:eastAsia="zh-CN" w:bidi="ar-SA"/>
          <w14:textFill>
            <w14:solidFill>
              <w14:schemeClr w14:val="tx1"/>
            </w14:solidFill>
          </w14:textFill>
        </w:rPr>
        <w:t>1、符合《中华人民共和国政府采购法》第二十二条规定；</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2、本项目不接受联合体磋商；</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3、供应商（含不具有独立法人资格的分公司、不含具备独立法人资格的子公司）存在以下不良信用记录情形之一,不得推荐为成交候选人，不得确定为成交供应商:</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（1）供应商被人民法院列入失信被执行人的；</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（2）供应商或其法定代表人或拟派项目经理（项目负责人）被列入行贿犯罪档案的；</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（3）供应商被工商行政管理部门列入企业经营异常名录的；</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（4）供应商被税务部门列入重大税收违法案件当事人名单的；</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（5）供应商被政府采购监管部门列入政府采购严重违法失信行为记录名单的。</w:t>
      </w:r>
    </w:p>
    <w:p>
      <w:pPr>
        <w:pStyle w:val="23"/>
        <w:keepNext w:val="0"/>
        <w:keepLines w:val="0"/>
        <w:pageBreakBefore w:val="0"/>
        <w:widowControl w:val="0"/>
        <w:kinsoku/>
        <w:wordWrap/>
        <w:overflowPunct/>
        <w:topLinePunct w:val="0"/>
        <w:bidi w:val="0"/>
        <w:snapToGrid/>
        <w:spacing w:line="480" w:lineRule="auto"/>
        <w:ind w:left="0" w:right="-21" w:firstLine="210" w:firstLineChars="1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pPr>
        <w:pStyle w:val="23"/>
        <w:keepNext w:val="0"/>
        <w:keepLines w:val="0"/>
        <w:pageBreakBefore w:val="0"/>
        <w:widowControl w:val="0"/>
        <w:kinsoku/>
        <w:wordWrap/>
        <w:overflowPunct/>
        <w:topLinePunct w:val="0"/>
        <w:bidi w:val="0"/>
        <w:snapToGrid/>
        <w:spacing w:line="480" w:lineRule="auto"/>
        <w:ind w:left="0" w:right="-21"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情形（2）由供应商提供无行贿犯罪记录承诺函。</w:t>
      </w:r>
    </w:p>
    <w:p>
      <w:pPr>
        <w:pStyle w:val="23"/>
        <w:keepNext w:val="0"/>
        <w:keepLines w:val="0"/>
        <w:pageBreakBefore w:val="0"/>
        <w:widowControl w:val="0"/>
        <w:numPr>
          <w:ilvl w:val="0"/>
          <w:numId w:val="2"/>
        </w:numPr>
        <w:kinsoku/>
        <w:wordWrap/>
        <w:overflowPunct/>
        <w:topLinePunct w:val="0"/>
        <w:bidi w:val="0"/>
        <w:snapToGrid/>
        <w:spacing w:line="480" w:lineRule="auto"/>
        <w:ind w:left="0" w:right="-21" w:firstLine="422" w:firstLineChars="200"/>
        <w:textAlignment w:val="auto"/>
        <w:rPr>
          <w:rFonts w:hint="eastAsia" w:ascii="宋体" w:eastAsia="宋体" w:cs="宋体"/>
          <w:b/>
          <w:bCs/>
          <w:color w:val="000000" w:themeColor="text1"/>
          <w:kern w:val="2"/>
          <w:sz w:val="21"/>
          <w:szCs w:val="21"/>
          <w:lang w:val="en-US" w:bidi="ar-SA"/>
          <w14:textFill>
            <w14:solidFill>
              <w14:schemeClr w14:val="tx1"/>
            </w14:solidFill>
          </w14:textFill>
        </w:rPr>
      </w:pPr>
      <w:r>
        <w:rPr>
          <w:rFonts w:hint="eastAsia" w:ascii="宋体" w:eastAsia="宋体" w:cs="宋体"/>
          <w:b/>
          <w:bCs/>
          <w:color w:val="000000" w:themeColor="text1"/>
          <w:kern w:val="2"/>
          <w:sz w:val="21"/>
          <w:szCs w:val="21"/>
          <w:lang w:val="en-US" w:bidi="ar-SA"/>
          <w14:textFill>
            <w14:solidFill>
              <w14:schemeClr w14:val="tx1"/>
            </w14:solidFill>
          </w14:textFill>
        </w:rPr>
        <w:t>已登记报名并获取本项目招标文件。</w:t>
      </w:r>
    </w:p>
    <w:p>
      <w:pPr>
        <w:pStyle w:val="23"/>
        <w:keepNext w:val="0"/>
        <w:keepLines w:val="0"/>
        <w:pageBreakBefore w:val="0"/>
        <w:widowControl w:val="0"/>
        <w:numPr>
          <w:ilvl w:val="0"/>
          <w:numId w:val="2"/>
        </w:numPr>
        <w:kinsoku/>
        <w:wordWrap/>
        <w:overflowPunct/>
        <w:topLinePunct w:val="0"/>
        <w:bidi w:val="0"/>
        <w:snapToGrid/>
        <w:spacing w:line="480" w:lineRule="auto"/>
        <w:ind w:left="0" w:leftChars="0" w:right="-21" w:rightChars="-10" w:firstLine="422" w:firstLineChars="200"/>
        <w:textAlignment w:val="auto"/>
        <w:rPr>
          <w:rFonts w:hint="eastAsia" w:ascii="宋体" w:eastAsia="宋体" w:cs="宋体"/>
          <w:b/>
          <w:bCs/>
          <w:color w:val="auto"/>
          <w:kern w:val="2"/>
          <w:sz w:val="21"/>
          <w:szCs w:val="21"/>
          <w:lang w:val="en-US" w:eastAsia="zh-CN" w:bidi="ar-SA"/>
        </w:rPr>
      </w:pPr>
      <w:r>
        <w:rPr>
          <w:rFonts w:hint="eastAsia" w:ascii="宋体" w:eastAsia="宋体" w:cs="宋体"/>
          <w:b/>
          <w:bCs/>
          <w:color w:val="auto"/>
          <w:kern w:val="2"/>
          <w:sz w:val="21"/>
          <w:szCs w:val="21"/>
          <w:lang w:val="en-US" w:eastAsia="zh-CN" w:bidi="ar-SA"/>
        </w:rPr>
        <w:t>供应商的企业资格：本次招标要求投标人须具备建筑施工总承包三级及以上资质（或建设工程企业资质管理制度改革后颁发的建筑工程施工总承包乙级及以上资质）。</w:t>
      </w:r>
    </w:p>
    <w:p>
      <w:pPr>
        <w:pStyle w:val="23"/>
        <w:keepNext w:val="0"/>
        <w:keepLines w:val="0"/>
        <w:pageBreakBefore w:val="0"/>
        <w:widowControl w:val="0"/>
        <w:numPr>
          <w:ilvl w:val="0"/>
          <w:numId w:val="0"/>
        </w:numPr>
        <w:kinsoku/>
        <w:wordWrap/>
        <w:overflowPunct/>
        <w:topLinePunct w:val="0"/>
        <w:bidi w:val="0"/>
        <w:snapToGrid/>
        <w:spacing w:line="480" w:lineRule="auto"/>
        <w:ind w:right="-21" w:rightChars="-10" w:firstLine="422" w:firstLineChars="200"/>
        <w:textAlignment w:val="auto"/>
        <w:rPr>
          <w:rFonts w:hint="default" w:ascii="宋体" w:eastAsia="宋体" w:cs="宋体"/>
          <w:b/>
          <w:bCs/>
          <w:color w:val="auto"/>
          <w:kern w:val="2"/>
          <w:sz w:val="21"/>
          <w:szCs w:val="21"/>
          <w:lang w:val="en-US" w:eastAsia="zh-CN" w:bidi="ar-SA"/>
        </w:rPr>
      </w:pPr>
      <w:r>
        <w:rPr>
          <w:rFonts w:hint="eastAsia" w:ascii="宋体" w:eastAsia="宋体" w:cs="宋体"/>
          <w:b/>
          <w:bCs/>
          <w:color w:val="auto"/>
          <w:kern w:val="2"/>
          <w:sz w:val="21"/>
          <w:szCs w:val="21"/>
          <w:lang w:val="en-US" w:eastAsia="zh-CN" w:bidi="ar-SA"/>
        </w:rPr>
        <w:t>6、拟派项目负责人资格：投标人拟派项目负责人须具备建筑工程专业二级（含以上级）注册建造师执业资格，具备有效的安全生产考核合格（B类）证书，且符合注册建造师执业管理办法规定。</w:t>
      </w:r>
    </w:p>
    <w:bookmarkEnd w:id="10"/>
    <w:bookmarkEnd w:id="11"/>
    <w:bookmarkEnd w:id="12"/>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000000" w:themeColor="text1"/>
          <w14:textFill>
            <w14:solidFill>
              <w14:schemeClr w14:val="tx1"/>
            </w14:solidFill>
          </w14:textFill>
        </w:rPr>
      </w:pPr>
      <w:bookmarkStart w:id="13" w:name="_Toc31011"/>
      <w:r>
        <w:rPr>
          <w:rFonts w:hint="eastAsia" w:ascii="宋体" w:hAnsi="宋体" w:cs="宋体"/>
          <w:b/>
          <w:bCs/>
          <w:color w:val="000000" w:themeColor="text1"/>
          <w14:textFill>
            <w14:solidFill>
              <w14:schemeClr w14:val="tx1"/>
            </w14:solidFill>
          </w14:textFill>
        </w:rPr>
        <w:t>三、报名及招标文件获取方式</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u w:val="single"/>
          <w:shd w:val="clear" w:color="auto" w:fill="auto"/>
        </w:rPr>
      </w:pPr>
      <w:r>
        <w:rPr>
          <w:rFonts w:hint="eastAsia" w:ascii="宋体" w:hAnsi="宋体" w:cs="宋体"/>
          <w:color w:val="auto"/>
          <w:u w:val="none"/>
          <w:shd w:val="clear" w:color="auto" w:fill="auto"/>
        </w:rPr>
        <w:t>1.报名时间：</w:t>
      </w:r>
      <w:r>
        <w:rPr>
          <w:rFonts w:hint="eastAsia" w:ascii="宋体" w:hAnsi="宋体" w:cs="宋体"/>
          <w:color w:val="auto"/>
          <w:u w:val="single"/>
          <w:shd w:val="clear" w:color="auto" w:fill="auto"/>
        </w:rPr>
        <w:t>至</w:t>
      </w:r>
      <w:r>
        <w:rPr>
          <w:rFonts w:hint="eastAsia" w:ascii="宋体" w:hAnsi="宋体" w:cs="宋体"/>
          <w:color w:val="auto"/>
          <w:u w:val="single"/>
          <w:shd w:val="clear" w:color="auto" w:fill="auto"/>
          <w:lang w:eastAsia="zh-CN"/>
        </w:rPr>
        <w:t>202</w:t>
      </w:r>
      <w:r>
        <w:rPr>
          <w:rFonts w:hint="eastAsia" w:ascii="宋体" w:hAnsi="宋体" w:cs="宋体"/>
          <w:color w:val="auto"/>
          <w:u w:val="single"/>
          <w:shd w:val="clear" w:color="auto" w:fill="auto"/>
          <w:lang w:val="en-US" w:eastAsia="zh-CN"/>
        </w:rPr>
        <w:t>5</w:t>
      </w:r>
      <w:r>
        <w:rPr>
          <w:rFonts w:hint="eastAsia" w:ascii="宋体" w:hAnsi="宋体" w:cs="宋体"/>
          <w:color w:val="auto"/>
          <w:u w:val="single"/>
          <w:shd w:val="clear" w:color="auto" w:fill="auto"/>
        </w:rPr>
        <w:t>年</w:t>
      </w:r>
      <w:r>
        <w:rPr>
          <w:rFonts w:hint="eastAsia" w:ascii="宋体" w:hAnsi="宋体" w:cs="宋体"/>
          <w:color w:val="auto"/>
          <w:u w:val="single"/>
          <w:shd w:val="clear" w:color="auto" w:fill="auto"/>
          <w:lang w:val="en-US" w:eastAsia="zh-CN"/>
        </w:rPr>
        <w:t>8</w:t>
      </w:r>
      <w:r>
        <w:rPr>
          <w:rFonts w:hint="eastAsia" w:ascii="宋体" w:hAnsi="宋体" w:cs="宋体"/>
          <w:color w:val="auto"/>
          <w:u w:val="single"/>
          <w:shd w:val="clear" w:color="auto" w:fill="auto"/>
        </w:rPr>
        <w:t>月</w:t>
      </w:r>
      <w:r>
        <w:rPr>
          <w:rFonts w:hint="eastAsia" w:ascii="宋体" w:hAnsi="宋体" w:cs="宋体"/>
          <w:color w:val="auto"/>
          <w:u w:val="single"/>
          <w:shd w:val="clear" w:color="auto" w:fill="auto"/>
          <w:lang w:val="en-US" w:eastAsia="zh-CN"/>
        </w:rPr>
        <w:t>7</w:t>
      </w:r>
      <w:r>
        <w:rPr>
          <w:rFonts w:hint="eastAsia" w:ascii="宋体" w:hAnsi="宋体" w:cs="宋体"/>
          <w:color w:val="auto"/>
          <w:u w:val="single"/>
          <w:shd w:val="clear" w:color="auto" w:fill="auto"/>
        </w:rPr>
        <w:t>日</w:t>
      </w:r>
      <w:r>
        <w:rPr>
          <w:rFonts w:hint="eastAsia" w:ascii="宋体" w:hAnsi="宋体" w:cs="宋体"/>
          <w:color w:val="auto"/>
          <w:u w:val="single"/>
          <w:shd w:val="clear" w:color="auto" w:fill="auto"/>
          <w:lang w:eastAsia="zh-CN"/>
        </w:rPr>
        <w:t>；每天上午08:00至12:00，下午14:00至17:00（北京时间，法定节假日除外）</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u w:val="single"/>
        </w:rPr>
      </w:pPr>
      <w:r>
        <w:rPr>
          <w:rFonts w:hint="eastAsia" w:ascii="宋体" w:hAnsi="宋体" w:cs="宋体"/>
          <w:color w:val="auto"/>
        </w:rPr>
        <w:fldChar w:fldCharType="begin"/>
      </w:r>
      <w:r>
        <w:rPr>
          <w:rFonts w:hint="eastAsia" w:ascii="宋体" w:hAnsi="宋体" w:cs="宋体"/>
          <w:color w:val="auto"/>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auto"/>
        </w:rPr>
        <w:fldChar w:fldCharType="separate"/>
      </w:r>
      <w:r>
        <w:rPr>
          <w:rFonts w:hint="eastAsia" w:ascii="宋体" w:hAnsi="宋体" w:cs="宋体"/>
          <w:color w:val="auto"/>
          <w:lang w:val="zh-CN"/>
        </w:rPr>
        <w:t>（1）凡有意参加投标者，投标人将</w:t>
      </w:r>
      <w:r>
        <w:rPr>
          <w:rFonts w:hint="eastAsia" w:ascii="宋体" w:hAnsi="宋体" w:cs="宋体"/>
          <w:color w:val="auto"/>
        </w:rPr>
        <w:t>企业营业执照、资质证书扫描件（加盖公章、</w:t>
      </w:r>
      <w:r>
        <w:rPr>
          <w:rFonts w:hint="eastAsia" w:ascii="宋体" w:hAnsi="宋体" w:cs="宋体"/>
          <w:color w:val="auto"/>
          <w:lang w:val="zh-CN"/>
        </w:rPr>
        <w:t>法定代表人（</w:t>
      </w:r>
      <w:r>
        <w:rPr>
          <w:rFonts w:hint="eastAsia" w:ascii="宋体" w:hAnsi="宋体" w:cs="宋体"/>
          <w:color w:val="auto"/>
        </w:rPr>
        <w:t>负责人</w:t>
      </w:r>
      <w:r>
        <w:rPr>
          <w:rFonts w:hint="eastAsia" w:ascii="宋体" w:hAnsi="宋体" w:cs="宋体"/>
          <w:color w:val="auto"/>
          <w:lang w:val="zh-CN"/>
        </w:rPr>
        <w:t>）身份证明或法定代表人（</w:t>
      </w:r>
      <w:r>
        <w:rPr>
          <w:rFonts w:hint="eastAsia" w:ascii="宋体" w:hAnsi="宋体" w:cs="宋体"/>
          <w:color w:val="auto"/>
        </w:rPr>
        <w:t>负责人</w:t>
      </w:r>
      <w:r>
        <w:rPr>
          <w:rFonts w:hint="eastAsia" w:ascii="宋体" w:hAnsi="宋体" w:cs="宋体"/>
          <w:color w:val="auto"/>
          <w:lang w:val="zh-CN"/>
        </w:rPr>
        <w:t>）授权委托书（含有项目名称、委托代理人联系电话、邮箱）加盖单位公章发送至邮箱</w:t>
      </w:r>
      <w:r>
        <w:rPr>
          <w:rFonts w:hint="eastAsia" w:ascii="宋体" w:hAnsi="宋体" w:cs="宋体"/>
          <w:color w:val="auto"/>
        </w:rPr>
        <w:t>wbwyzbb@163.com，</w:t>
      </w:r>
      <w:r>
        <w:rPr>
          <w:rFonts w:hint="eastAsia" w:ascii="宋体" w:hAnsi="宋体" w:eastAsia="宋体" w:cs="宋体"/>
          <w:snapToGrid w:val="0"/>
          <w:color w:val="auto"/>
          <w:kern w:val="0"/>
          <w:sz w:val="21"/>
          <w:szCs w:val="21"/>
          <w:highlight w:val="none"/>
        </w:rPr>
        <w:t>（邮箱标题格式为项目名称+公司名称+联系电话</w:t>
      </w:r>
      <w:r>
        <w:rPr>
          <w:rFonts w:hint="eastAsia" w:ascii="宋体" w:hAnsi="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以该邮箱邮件回复作为报名材料发送成功依据</w:t>
      </w:r>
      <w:r>
        <w:rPr>
          <w:rFonts w:hint="eastAsia" w:ascii="宋体" w:hAnsi="宋体" w:eastAsia="宋体" w:cs="宋体"/>
          <w:snapToGrid w:val="0"/>
          <w:color w:val="auto"/>
          <w:kern w:val="0"/>
          <w:sz w:val="21"/>
          <w:szCs w:val="21"/>
          <w:highlight w:val="none"/>
        </w:rPr>
        <w:t>）</w:t>
      </w:r>
      <w:r>
        <w:rPr>
          <w:rFonts w:hint="eastAsia" w:ascii="宋体" w:hAnsi="宋体" w:cs="宋体"/>
          <w:color w:val="auto"/>
        </w:rPr>
        <w:t>。报名联系人：</w:t>
      </w:r>
      <w:r>
        <w:rPr>
          <w:rFonts w:hint="eastAsia" w:ascii="宋体" w:hAnsi="宋体" w:eastAsia="宋体" w:cs="宋体"/>
          <w:color w:val="auto"/>
        </w:rPr>
        <w:t>张老师，电话：</w:t>
      </w:r>
      <w:r>
        <w:rPr>
          <w:rFonts w:hint="eastAsia" w:ascii="宋体" w:hAnsi="宋体" w:eastAsia="宋体" w:cs="宋体"/>
          <w:color w:val="auto"/>
          <w:lang w:val="en-US" w:eastAsia="zh-CN"/>
        </w:rPr>
        <w:t>0557-3095077</w:t>
      </w:r>
      <w:r>
        <w:rPr>
          <w:rFonts w:hint="eastAsia" w:ascii="宋体" w:hAnsi="宋体" w:eastAsia="宋体" w:cs="宋体"/>
          <w:color w:val="FF0000"/>
        </w:rPr>
        <w:t>，</w:t>
      </w:r>
      <w:r>
        <w:rPr>
          <w:rFonts w:hint="eastAsia" w:ascii="宋体" w:hAnsi="宋体" w:cs="宋体"/>
          <w:color w:val="auto"/>
        </w:rPr>
        <w:t>各投标单位自行从皖北卫生职业学院官网（本公告的附件）下载采购文件电子版，不发放纸质采购文件。”</w:t>
      </w:r>
      <w:r>
        <w:rPr>
          <w:rFonts w:hint="eastAsia" w:ascii="宋体" w:hAnsi="宋体" w:cs="宋体"/>
          <w:color w:val="auto"/>
        </w:rPr>
        <w:fldChar w:fldCharType="end"/>
      </w:r>
      <w:r>
        <w:rPr>
          <w:rFonts w:hint="eastAsia" w:ascii="宋体" w:hAnsi="宋体" w:cs="宋体"/>
          <w:color w:val="auto"/>
          <w:u w:val="none"/>
        </w:rPr>
        <w:t>报名截止时间</w:t>
      </w:r>
      <w:r>
        <w:rPr>
          <w:rFonts w:hint="eastAsia" w:ascii="宋体" w:hAnsi="宋体" w:cs="宋体"/>
          <w:color w:val="auto"/>
          <w:u w:val="single"/>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8</w:t>
      </w:r>
      <w:r>
        <w:rPr>
          <w:rFonts w:hint="eastAsia" w:ascii="宋体" w:hAnsi="宋体" w:cs="宋体"/>
          <w:color w:val="auto"/>
          <w:u w:val="single"/>
        </w:rPr>
        <w:t>月</w:t>
      </w:r>
      <w:r>
        <w:rPr>
          <w:rFonts w:hint="eastAsia" w:ascii="宋体" w:hAnsi="宋体" w:cs="宋体"/>
          <w:color w:val="auto"/>
          <w:u w:val="single"/>
          <w:lang w:val="en-US" w:eastAsia="zh-CN"/>
        </w:rPr>
        <w:t>7</w:t>
      </w:r>
      <w:r>
        <w:rPr>
          <w:rFonts w:hint="eastAsia" w:ascii="宋体" w:hAnsi="宋体" w:cs="宋体"/>
          <w:color w:val="auto"/>
          <w:u w:val="single"/>
        </w:rPr>
        <w:t>日17时00分。</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auto"/>
        </w:rPr>
      </w:pPr>
      <w:r>
        <w:rPr>
          <w:rFonts w:hint="eastAsia" w:ascii="宋体" w:hAnsi="宋体" w:cs="宋体"/>
          <w:b/>
          <w:bCs/>
          <w:color w:val="auto"/>
        </w:rPr>
        <w:t>四、开标时间和地点</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u w:val="single"/>
        </w:rPr>
      </w:pPr>
      <w:r>
        <w:rPr>
          <w:rFonts w:hint="eastAsia" w:ascii="宋体" w:hAnsi="宋体" w:cs="宋体"/>
          <w:color w:val="auto"/>
          <w:u w:val="none"/>
        </w:rPr>
        <w:t>开标时间：</w:t>
      </w:r>
      <w:r>
        <w:rPr>
          <w:rFonts w:hint="eastAsia" w:ascii="宋体" w:hAnsi="宋体" w:cs="宋体"/>
          <w:color w:val="auto"/>
          <w:u w:val="single"/>
          <w:lang w:eastAsia="zh-CN"/>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8</w:t>
      </w:r>
      <w:r>
        <w:rPr>
          <w:rFonts w:hint="eastAsia" w:ascii="宋体" w:hAnsi="宋体" w:cs="宋体"/>
          <w:color w:val="auto"/>
          <w:u w:val="single"/>
        </w:rPr>
        <w:t>月</w:t>
      </w:r>
      <w:r>
        <w:rPr>
          <w:rFonts w:hint="eastAsia" w:ascii="宋体" w:hAnsi="宋体" w:cs="宋体"/>
          <w:color w:val="auto"/>
          <w:u w:val="single"/>
          <w:lang w:val="en-US" w:eastAsia="zh-CN"/>
        </w:rPr>
        <w:t>8</w:t>
      </w:r>
      <w:bookmarkStart w:id="107" w:name="_GoBack"/>
      <w:bookmarkEnd w:id="107"/>
      <w:r>
        <w:rPr>
          <w:rFonts w:hint="eastAsia" w:ascii="宋体" w:hAnsi="宋体" w:cs="宋体"/>
          <w:color w:val="auto"/>
          <w:u w:val="single"/>
        </w:rPr>
        <w:t>日</w:t>
      </w:r>
      <w:r>
        <w:rPr>
          <w:rFonts w:hint="eastAsia" w:ascii="宋体" w:hAnsi="宋体" w:cs="宋体"/>
          <w:color w:val="auto"/>
          <w:u w:val="single"/>
          <w:lang w:val="en-US" w:eastAsia="zh-CN"/>
        </w:rPr>
        <w:t>15</w:t>
      </w:r>
      <w:r>
        <w:rPr>
          <w:rFonts w:hint="eastAsia" w:ascii="宋体" w:hAnsi="宋体" w:cs="宋体"/>
          <w:color w:val="auto"/>
          <w:u w:val="single"/>
        </w:rPr>
        <w:t>点00分</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开标地点：皖北卫生职业学院图书馆北三楼录播室。逾期送达的或者未送达指定地点的投标文件，采购人不予接受。</w:t>
      </w:r>
    </w:p>
    <w:p>
      <w:pPr>
        <w:keepNext w:val="0"/>
        <w:keepLines w:val="0"/>
        <w:pageBreakBefore w:val="0"/>
        <w:widowControl w:val="0"/>
        <w:kinsoku/>
        <w:wordWrap/>
        <w:overflowPunct/>
        <w:topLinePunct w:val="0"/>
        <w:bidi w:val="0"/>
        <w:snapToGrid/>
        <w:spacing w:line="480" w:lineRule="auto"/>
        <w:textAlignment w:val="auto"/>
        <w:rPr>
          <w:rFonts w:ascii="宋体" w:hAnsi="宋体" w:cs="宋体"/>
          <w:b/>
          <w:bCs/>
          <w:color w:val="auto"/>
        </w:rPr>
      </w:pPr>
      <w:r>
        <w:rPr>
          <w:rFonts w:hint="eastAsia" w:ascii="宋体" w:hAnsi="宋体" w:cs="宋体"/>
          <w:b/>
          <w:bCs/>
          <w:color w:val="auto"/>
        </w:rPr>
        <w:t>五、联系方法</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名   称：皖北卫生职业学院</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地   址：安徽省宿州市东二铺大学城学府大道1606号</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报名联系人：张老师，电话：13965300662</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eastAsia" w:ascii="宋体" w:hAnsi="宋体" w:cs="宋体"/>
          <w:color w:val="auto"/>
        </w:rPr>
      </w:pPr>
      <w:r>
        <w:rPr>
          <w:rFonts w:hint="eastAsia" w:ascii="宋体" w:hAnsi="宋体" w:cs="宋体"/>
          <w:color w:val="auto"/>
        </w:rPr>
        <w:t>联  系  人：</w:t>
      </w:r>
      <w:r>
        <w:rPr>
          <w:rFonts w:hint="eastAsia" w:ascii="宋体" w:hAnsi="宋体" w:cs="宋体"/>
          <w:color w:val="auto"/>
          <w:lang w:val="en-US" w:eastAsia="zh-CN"/>
        </w:rPr>
        <w:t>赵老师</w:t>
      </w:r>
      <w:r>
        <w:rPr>
          <w:rFonts w:hint="eastAsia" w:ascii="宋体" w:hAnsi="宋体" w:cs="宋体"/>
          <w:color w:val="auto"/>
        </w:rPr>
        <w:t>，</w:t>
      </w:r>
      <w:r>
        <w:rPr>
          <w:rFonts w:hint="eastAsia" w:ascii="宋体" w:hAnsi="宋体" w:cs="宋体"/>
          <w:color w:val="auto"/>
          <w:lang w:val="zh-CN"/>
        </w:rPr>
        <w:t>电话：</w:t>
      </w:r>
      <w:r>
        <w:rPr>
          <w:rFonts w:hint="eastAsia" w:ascii="宋体" w:hAnsi="宋体" w:cs="宋体"/>
          <w:color w:val="auto"/>
          <w:lang w:val="en-US" w:eastAsia="zh-CN"/>
        </w:rPr>
        <w:t>17719346657</w:t>
      </w:r>
      <w:r>
        <w:rPr>
          <w:rFonts w:hint="eastAsia" w:ascii="宋体" w:hAnsi="宋体" w:cs="宋体"/>
          <w:color w:val="auto"/>
        </w:rPr>
        <w:t>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采购代理机构：</w:t>
      </w:r>
      <w:r>
        <w:rPr>
          <w:rFonts w:hint="eastAsia" w:ascii="宋体" w:hAnsi="宋体" w:cs="宋体"/>
          <w:color w:val="auto"/>
          <w:lang w:val="en-US" w:eastAsia="zh-CN"/>
        </w:rPr>
        <w:t>大洲设计咨询集团有限公司</w:t>
      </w:r>
      <w:r>
        <w:rPr>
          <w:rFonts w:hint="eastAsia" w:ascii="宋体" w:hAnsi="宋体" w:cs="宋体"/>
          <w:color w:val="auto"/>
        </w:rPr>
        <w:t xml:space="preserve">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ascii="宋体" w:hAnsi="宋体" w:cs="宋体"/>
          <w:color w:val="auto"/>
        </w:rPr>
      </w:pPr>
      <w:r>
        <w:rPr>
          <w:rFonts w:hint="eastAsia" w:ascii="宋体" w:hAnsi="宋体" w:cs="宋体"/>
          <w:color w:val="auto"/>
        </w:rPr>
        <w:t xml:space="preserve">地  址：宿州市埇桥区银河二路港利锦绣江南西区  </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张工</w:t>
      </w:r>
    </w:p>
    <w:p>
      <w:pPr>
        <w:keepNext w:val="0"/>
        <w:keepLines w:val="0"/>
        <w:pageBreakBefore w:val="0"/>
        <w:widowControl w:val="0"/>
        <w:kinsoku/>
        <w:wordWrap/>
        <w:overflowPunct/>
        <w:topLinePunct w:val="0"/>
        <w:bidi w:val="0"/>
        <w:snapToGrid/>
        <w:spacing w:line="480" w:lineRule="auto"/>
        <w:ind w:firstLine="210" w:firstLineChars="100"/>
        <w:textAlignment w:val="auto"/>
        <w:rPr>
          <w:rFonts w:hint="default" w:ascii="宋体" w:hAnsi="宋体" w:eastAsia="宋体" w:cs="宋体"/>
          <w:color w:val="auto"/>
          <w:lang w:val="en-US" w:eastAsia="zh-CN"/>
        </w:rPr>
      </w:pPr>
      <w:r>
        <w:rPr>
          <w:rFonts w:hint="eastAsia" w:ascii="宋体" w:hAnsi="宋体" w:cs="宋体"/>
          <w:color w:val="auto"/>
        </w:rPr>
        <w:t>电  话：</w:t>
      </w:r>
      <w:r>
        <w:rPr>
          <w:rFonts w:hint="eastAsia" w:ascii="宋体" w:hAnsi="宋体" w:cs="宋体"/>
          <w:color w:val="auto"/>
          <w:lang w:val="en-US" w:eastAsia="zh-CN"/>
        </w:rPr>
        <w:t>15705575399</w:t>
      </w:r>
    </w:p>
    <w:p>
      <w:pPr>
        <w:pStyle w:val="32"/>
        <w:rPr>
          <w:rFonts w:hint="eastAsia"/>
          <w:color w:val="000000" w:themeColor="text1"/>
          <w14:textFill>
            <w14:solidFill>
              <w14:schemeClr w14:val="tx1"/>
            </w14:solidFill>
          </w14:textFill>
        </w:rPr>
      </w:pPr>
    </w:p>
    <w:p>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3"/>
    </w:p>
    <w:tbl>
      <w:tblPr>
        <w:tblStyle w:val="24"/>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pPr>
              <w:pStyle w:val="14"/>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 xml:space="preserve">本项目类别：□货物类 </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服务类</w:t>
            </w:r>
            <w:r>
              <w:rPr>
                <w:rFonts w:hint="eastAsia" w:ascii="宋体" w:eastAsia="宋体" w:cs="Arial"/>
                <w:color w:val="000000" w:themeColor="text1"/>
                <w:sz w:val="21"/>
                <w:szCs w:val="21"/>
                <w:lang w:eastAsia="zh-CN"/>
                <w14:textFill>
                  <w14:solidFill>
                    <w14:schemeClr w14:val="tx1"/>
                  </w14:solidFill>
                </w14:textFill>
              </w:rPr>
              <w:t>□</w:t>
            </w:r>
            <w:r>
              <w:rPr>
                <w:rFonts w:hint="eastAsia" w:ascii="宋体" w:eastAsia="宋体" w:cs="Arial"/>
                <w:color w:val="000000" w:themeColor="text1"/>
                <w:sz w:val="21"/>
                <w:szCs w:val="21"/>
                <w14:textFill>
                  <w14:solidFill>
                    <w14:schemeClr w14:val="tx1"/>
                  </w14:solidFill>
                </w14:textFill>
              </w:rPr>
              <w:t>工程类</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1个</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eastAsia="宋体" w:cs="Arial"/>
                <w:color w:val="000000" w:themeColor="text1"/>
                <w:lang w:eastAsia="zh-CN"/>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r>
              <w:rPr>
                <w:rFonts w:hint="eastAsia" w:ascii="宋体" w:hAnsi="宋体" w:cs="Arial"/>
                <w:color w:val="000000" w:themeColor="text1"/>
                <w:lang w:eastAsia="zh-CN"/>
                <w14:textFill>
                  <w14:solidFill>
                    <w14:schemeClr w14:val="tx1"/>
                  </w14:solidFill>
                </w14:textFill>
              </w:rPr>
              <w:t>境内</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磋商响应文件（纸质文件）份数：</w:t>
            </w:r>
            <w:r>
              <w:rPr>
                <w:rFonts w:hint="eastAsia" w:ascii="宋体" w:hAnsi="宋体" w:cs="Arial"/>
                <w:b/>
                <w:bCs/>
                <w:color w:val="000000" w:themeColor="text1"/>
                <w:u w:val="single"/>
                <w14:textFill>
                  <w14:solidFill>
                    <w14:schemeClr w14:val="tx1"/>
                  </w14:solidFill>
                </w14:textFill>
              </w:rPr>
              <w:t xml:space="preserve">1正2副  共3 </w:t>
            </w:r>
            <w:r>
              <w:rPr>
                <w:rFonts w:hint="eastAsia" w:ascii="宋体" w:hAnsi="宋体" w:cs="Arial"/>
                <w:b/>
                <w:bCs/>
                <w:color w:val="000000" w:themeColor="text1"/>
                <w14:textFill>
                  <w14:solidFill>
                    <w14:schemeClr w14:val="tx1"/>
                  </w14:solidFill>
                </w14:textFill>
              </w:rPr>
              <w:t>份，装订和封装要求详见本文件第六章第18条。</w:t>
            </w:r>
            <w:r>
              <w:rPr>
                <w:rFonts w:hint="eastAsia" w:ascii="宋体" w:hAnsi="宋体" w:cs="Arial"/>
                <w:b/>
                <w:bCs/>
                <w:color w:val="000000" w:themeColor="text1"/>
                <w:lang w:val="en-US" w:eastAsia="zh-CN"/>
                <w14:textFill>
                  <w14:solidFill>
                    <w14:schemeClr w14:val="tx1"/>
                  </w14:solidFill>
                </w14:textFill>
              </w:rPr>
              <w:t>除</w:t>
            </w:r>
            <w:r>
              <w:rPr>
                <w:rFonts w:hint="eastAsia" w:ascii="宋体" w:hAnsi="宋体" w:cs="Arial"/>
                <w:b/>
                <w:bCs/>
                <w:color w:val="000000" w:themeColor="text1"/>
                <w14:textFill>
                  <w14:solidFill>
                    <w14:schemeClr w14:val="tx1"/>
                  </w14:solidFill>
                </w14:textFill>
              </w:rPr>
              <w:t>提交的</w:t>
            </w:r>
            <w:r>
              <w:rPr>
                <w:rFonts w:hint="eastAsia" w:ascii="宋体" w:hAnsi="宋体" w:cs="Arial"/>
                <w:b/>
                <w:bCs/>
                <w:color w:val="000000" w:themeColor="text1"/>
                <w:lang w:val="en-US" w:eastAsia="zh-CN"/>
                <w14:textFill>
                  <w14:solidFill>
                    <w14:schemeClr w14:val="tx1"/>
                  </w14:solidFill>
                </w14:textFill>
              </w:rPr>
              <w:t>纸质</w:t>
            </w:r>
            <w:r>
              <w:rPr>
                <w:rFonts w:hint="eastAsia" w:ascii="宋体" w:hAnsi="宋体" w:cs="Arial"/>
                <w:b/>
                <w:bCs/>
                <w:color w:val="000000" w:themeColor="text1"/>
                <w14:textFill>
                  <w14:solidFill>
                    <w14:schemeClr w14:val="tx1"/>
                  </w14:solidFill>
                </w14:textFill>
              </w:rPr>
              <w:t>磋商响应文件外，本项目还需递交一份含有磋商响应文件的电子u盘。</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pPr>
              <w:pStyle w:val="14"/>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default" w:ascii="宋体" w:hAnsi="宋体"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w:t>
            </w:r>
            <w:r>
              <w:rPr>
                <w:rFonts w:hint="eastAsia"/>
                <w:color w:val="auto"/>
              </w:rPr>
              <w:t>目服务期</w:t>
            </w:r>
            <w:r>
              <w:rPr>
                <w:rFonts w:hint="eastAsia"/>
                <w:color w:val="auto"/>
                <w:lang w:eastAsia="zh-CN"/>
              </w:rPr>
              <w:t>：</w:t>
            </w:r>
            <w:r>
              <w:rPr>
                <w:rFonts w:hint="eastAsia"/>
                <w:b/>
                <w:bCs/>
                <w:color w:val="auto"/>
                <w:lang w:val="en-US" w:eastAsia="zh-CN"/>
              </w:rPr>
              <w:t>365日（采用1+1+1模式，</w:t>
            </w:r>
            <w:r>
              <w:rPr>
                <w:rFonts w:hint="eastAsia"/>
                <w:color w:val="auto"/>
                <w:lang w:val="en-US" w:eastAsia="zh-CN"/>
              </w:rPr>
              <w:t>服务期三年，合同一年一签。每年服务期末，采购人对中标服务单位进行考核，考核合格可续签合同，如考核不合格，采购人有权取消中标单位服务资格）</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pPr>
              <w:spacing w:line="400" w:lineRule="atLeas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pPr>
              <w:pStyle w:val="2"/>
              <w:ind w:left="0" w:leftChars="0" w:firstLine="0" w:firstLineChars="0"/>
              <w:rPr>
                <w:rFonts w:hint="default" w:eastAsia="仿宋_GB2312"/>
                <w:lang w:val="en-US" w:eastAsia="zh-CN"/>
              </w:rPr>
            </w:pPr>
            <w:r>
              <w:rPr>
                <w:rFonts w:hint="eastAsia" w:ascii="宋体" w:hAnsi="宋体" w:eastAsia="宋体" w:cs="宋体"/>
                <w:b/>
                <w:bCs/>
                <w:i w:val="0"/>
                <w:iCs w:val="0"/>
                <w:color w:val="auto"/>
                <w:kern w:val="2"/>
                <w:sz w:val="21"/>
                <w:szCs w:val="21"/>
                <w:lang w:val="en-US" w:eastAsia="zh-CN" w:bidi="ar-SA"/>
              </w:rPr>
              <w:t>磋商保证金承诺函见第八章磋商响应文件格式附件</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cs="宋体"/>
                <w:b/>
                <w:bCs/>
                <w:i w:val="0"/>
                <w:iCs w:val="0"/>
                <w:color w:val="FFC000"/>
                <w:szCs w:val="21"/>
                <w:lang w:val="en-US" w:eastAsia="zh-CN"/>
              </w:rPr>
            </w:pPr>
            <w:r>
              <w:rPr>
                <w:rFonts w:hint="eastAsia" w:ascii="宋体" w:hAnsi="宋体" w:cs="宋体"/>
                <w:color w:val="auto"/>
              </w:rPr>
              <w:t>履约保证金：</w:t>
            </w:r>
            <w:r>
              <w:rPr>
                <w:rFonts w:hint="eastAsia" w:ascii="宋体" w:hAnsi="宋体" w:cs="宋体"/>
                <w:color w:val="auto"/>
                <w:lang w:val="en-US" w:eastAsia="zh-CN"/>
              </w:rPr>
              <w:t>3</w:t>
            </w:r>
            <w:r>
              <w:rPr>
                <w:rFonts w:hint="eastAsia" w:ascii="宋体" w:hAnsi="宋体" w:cs="宋体"/>
                <w:b/>
                <w:bCs/>
                <w:i w:val="0"/>
                <w:iCs w:val="0"/>
                <w:color w:val="auto"/>
                <w:szCs w:val="21"/>
                <w:lang w:val="en-US" w:eastAsia="zh-CN"/>
              </w:rPr>
              <w:t>0000元：</w:t>
            </w:r>
            <w:r>
              <w:rPr>
                <w:rFonts w:hint="default" w:ascii="宋体" w:hAnsi="宋体" w:cs="宋体"/>
                <w:b/>
                <w:bCs/>
                <w:i w:val="0"/>
                <w:iCs w:val="0"/>
                <w:color w:val="auto"/>
                <w:szCs w:val="21"/>
                <w:lang w:val="en-US" w:eastAsia="zh-CN"/>
              </w:rPr>
              <w:t>签订合同前向采购人履约保证金。</w:t>
            </w:r>
          </w:p>
          <w:p>
            <w:pPr>
              <w:spacing w:line="360" w:lineRule="auto"/>
              <w:rPr>
                <w:rFonts w:hint="eastAsia" w:ascii="宋体" w:hAnsi="宋体" w:eastAsia="宋体"/>
                <w:color w:val="auto"/>
                <w:lang w:val="en-US" w:eastAsia="zh-CN"/>
              </w:rPr>
            </w:pPr>
            <w:r>
              <w:rPr>
                <w:rFonts w:hint="eastAsia" w:ascii="宋体" w:hAnsi="宋体" w:cs="宋体"/>
                <w:color w:val="auto"/>
              </w:rPr>
              <w:t>履约保证金形式：转账、电汇、保函。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pPr>
              <w:pStyle w:val="35"/>
              <w:widowControl w:val="0"/>
              <w:spacing w:line="340" w:lineRule="exact"/>
              <w:rPr>
                <w:rFonts w:hint="default" w:ascii="宋体" w:hAnsi="宋体" w:eastAsia="宋体" w:cs="Arial"/>
                <w:color w:val="auto"/>
                <w:lang w:val="en-US" w:eastAsia="zh-CN"/>
              </w:rPr>
            </w:pPr>
            <w:r>
              <w:rPr>
                <w:rFonts w:hint="eastAsia" w:ascii="宋体" w:hAnsi="宋体" w:cs="Arial"/>
                <w:b/>
                <w:bCs/>
                <w:color w:val="auto"/>
                <w:lang w:val="en-US" w:eastAsia="zh-CN"/>
              </w:rPr>
              <w:t>结款</w:t>
            </w:r>
            <w:r>
              <w:rPr>
                <w:rFonts w:hint="eastAsia" w:ascii="宋体" w:hAnsi="宋体" w:cs="Arial"/>
                <w:b/>
                <w:bCs/>
                <w:color w:val="auto"/>
              </w:rPr>
              <w:t>方式</w:t>
            </w:r>
            <w:r>
              <w:rPr>
                <w:rFonts w:hint="eastAsia" w:ascii="宋体" w:hAnsi="宋体" w:cs="Arial"/>
                <w:color w:val="auto"/>
              </w:rPr>
              <w:t>：</w:t>
            </w:r>
            <w:r>
              <w:rPr>
                <w:rFonts w:hint="eastAsia" w:ascii="宋体" w:hAnsi="宋体" w:cs="Arial"/>
                <w:b/>
                <w:bCs/>
                <w:color w:val="auto"/>
                <w:lang w:eastAsia="zh-CN"/>
              </w:rPr>
              <w:t>每完成一季度工作，经</w:t>
            </w:r>
            <w:r>
              <w:rPr>
                <w:rFonts w:hint="eastAsia" w:ascii="宋体" w:hAnsi="宋体" w:cs="宋体"/>
                <w:b/>
                <w:bCs/>
                <w:i w:val="0"/>
                <w:iCs w:val="0"/>
                <w:color w:val="auto"/>
                <w:szCs w:val="21"/>
                <w:lang w:val="en-US" w:eastAsia="zh-CN"/>
              </w:rPr>
              <w:t>验收合格后，中标人应按要求提供派工单作为结算依据，按时报送结算和决算资料，以中标人编制的该项目工程结算经学院委托的第三方审计机构审核后确定的工程竣工结算审核价款为</w:t>
            </w:r>
            <w:bookmarkStart w:id="14" w:name="OLE_LINK2"/>
            <w:r>
              <w:rPr>
                <w:rFonts w:hint="eastAsia" w:ascii="宋体" w:hAnsi="宋体" w:cs="宋体"/>
                <w:b/>
                <w:bCs/>
                <w:i w:val="0"/>
                <w:iCs w:val="0"/>
                <w:color w:val="auto"/>
                <w:szCs w:val="21"/>
                <w:lang w:val="en-US" w:eastAsia="zh-CN"/>
              </w:rPr>
              <w:t>依据，按照中标单位投标费率进行支付。</w:t>
            </w:r>
            <w:bookmarkEnd w:id="14"/>
            <w:r>
              <w:rPr>
                <w:rFonts w:hint="eastAsia" w:ascii="宋体" w:hAnsi="宋体" w:cs="宋体"/>
                <w:b/>
                <w:bCs/>
                <w:i w:val="0"/>
                <w:iCs w:val="0"/>
                <w:color w:val="auto"/>
                <w:szCs w:val="21"/>
                <w:lang w:val="en-US" w:eastAsia="zh-CN"/>
              </w:rPr>
              <w:t>（如投标费率为 95%，最终支付价款为中标人编制的该项目工程结算经学院委托的第三方审计机构审核后确定的工程竣工结算审核价款的 95%）。</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pPr>
              <w:pStyle w:val="35"/>
              <w:widowControl w:val="0"/>
              <w:spacing w:line="440" w:lineRule="atLeast"/>
              <w:rPr>
                <w:rFonts w:hint="default" w:ascii="宋体" w:hAnsi="宋体" w:eastAsia="宋体" w:cs="宋体"/>
                <w:color w:val="auto"/>
                <w:shd w:val="clear" w:color="auto" w:fill="FFFFFF"/>
                <w:lang w:val="en-US" w:eastAsia="zh-CN"/>
              </w:rPr>
            </w:pPr>
            <w:r>
              <w:rPr>
                <w:rFonts w:hint="eastAsia" w:ascii="宋体" w:hAnsi="宋体" w:cs="宋体"/>
                <w:color w:val="auto"/>
                <w:shd w:val="clear" w:color="auto" w:fill="FFFFFF"/>
              </w:rPr>
              <w:t>以下费用均由中标单位支付，请各供应商报价时综合考虑在报价中：招标代理服务费</w:t>
            </w:r>
            <w:r>
              <w:rPr>
                <w:rFonts w:hint="eastAsia" w:ascii="宋体" w:hAnsi="宋体" w:cs="宋体"/>
                <w:b/>
                <w:bCs/>
                <w:color w:val="auto"/>
                <w:u w:val="single"/>
                <w:shd w:val="clear" w:color="auto" w:fill="FFFFFF"/>
                <w:lang w:val="en-US" w:eastAsia="zh-CN"/>
              </w:rPr>
              <w:t>，3000元，</w:t>
            </w:r>
            <w:r>
              <w:rPr>
                <w:rFonts w:hint="eastAsia" w:ascii="宋体" w:hAnsi="宋体" w:cs="宋体"/>
                <w:b/>
                <w:bCs/>
                <w:color w:val="auto"/>
                <w:u w:val="single"/>
                <w:shd w:val="clear" w:color="auto" w:fill="FFFFFF"/>
              </w:rPr>
              <w:t>专家评审费</w:t>
            </w:r>
            <w:r>
              <w:rPr>
                <w:rFonts w:hint="eastAsia" w:ascii="宋体" w:hAnsi="宋体" w:cs="宋体"/>
                <w:b/>
                <w:bCs/>
                <w:color w:val="auto"/>
                <w:u w:val="single"/>
                <w:shd w:val="clear" w:color="auto" w:fill="FFFFFF"/>
                <w:lang w:val="en-US" w:eastAsia="zh-CN"/>
              </w:rPr>
              <w:t>据实结算</w:t>
            </w:r>
            <w:r>
              <w:rPr>
                <w:rFonts w:hint="eastAsia" w:ascii="宋体" w:hAnsi="宋体" w:cs="宋体"/>
                <w:color w:val="auto"/>
                <w:shd w:val="clear" w:color="auto" w:fill="FFFFFF"/>
              </w:rPr>
              <w:t>。</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pPr>
              <w:pStyle w:val="35"/>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pPr>
        <w:pStyle w:val="31"/>
        <w:spacing w:line="480" w:lineRule="auto"/>
        <w:rPr>
          <w:rFonts w:hint="eastAsia"/>
          <w:color w:val="000000" w:themeColor="text1"/>
          <w14:textFill>
            <w14:solidFill>
              <w14:schemeClr w14:val="tx1"/>
            </w14:solidFill>
          </w14:textFill>
        </w:rPr>
        <w:sectPr>
          <w:footerReference r:id="rId5" w:type="default"/>
          <w:pgSz w:w="11906" w:h="16838"/>
          <w:pgMar w:top="1440" w:right="1689" w:bottom="1440" w:left="1689" w:header="851" w:footer="992" w:gutter="0"/>
          <w:pgNumType w:fmt="decimal"/>
          <w:cols w:space="720" w:num="1"/>
          <w:docGrid w:type="lines" w:linePitch="312" w:charSpace="0"/>
        </w:sectPr>
      </w:pPr>
      <w:bookmarkStart w:id="15" w:name="_Hlk450145192"/>
      <w:bookmarkEnd w:id="15"/>
    </w:p>
    <w:p>
      <w:pPr>
        <w:pStyle w:val="31"/>
        <w:spacing w:line="480" w:lineRule="auto"/>
        <w:jc w:val="center"/>
        <w:rPr>
          <w:color w:val="000000" w:themeColor="text1"/>
          <w14:textFill>
            <w14:solidFill>
              <w14:schemeClr w14:val="tx1"/>
            </w14:solidFill>
          </w14:textFill>
        </w:rPr>
      </w:pPr>
      <w:bookmarkStart w:id="16" w:name="_Toc511899297"/>
      <w:bookmarkEnd w:id="16"/>
      <w:bookmarkStart w:id="17" w:name="_Toc272218546"/>
      <w:bookmarkStart w:id="18" w:name="_Toc18529"/>
      <w:r>
        <w:rPr>
          <w:rFonts w:hint="eastAsia" w:ascii="黑体"/>
          <w:color w:val="000000" w:themeColor="text1"/>
          <w14:textFill>
            <w14:solidFill>
              <w14:schemeClr w14:val="tx1"/>
            </w14:solidFill>
          </w14:textFill>
        </w:rPr>
        <w:t>第三章</w:t>
      </w:r>
      <w:bookmarkEnd w:id="17"/>
      <w:bookmarkEnd w:id="18"/>
      <w:r>
        <w:rPr>
          <w:rFonts w:hint="eastAsia" w:ascii="黑体"/>
          <w:color w:val="000000" w:themeColor="text1"/>
          <w14:textFill>
            <w14:solidFill>
              <w14:schemeClr w14:val="tx1"/>
            </w14:solidFill>
          </w14:textFill>
        </w:rPr>
        <w:t>采购需求及商务要求</w:t>
      </w:r>
    </w:p>
    <w:p>
      <w:pPr>
        <w:pStyle w:val="21"/>
        <w:numPr>
          <w:ilvl w:val="0"/>
          <w:numId w:val="3"/>
        </w:numPr>
        <w:spacing w:before="0" w:beforeAutospacing="0" w:after="0" w:afterAutospacing="0" w:line="480" w:lineRule="auto"/>
        <w:jc w:val="center"/>
        <w:rPr>
          <w:rStyle w:val="27"/>
          <w:rFonts w:hint="eastAsia"/>
          <w:color w:val="000000" w:themeColor="text1"/>
          <w14:textFill>
            <w14:solidFill>
              <w14:schemeClr w14:val="tx1"/>
            </w14:solidFill>
          </w14:textFill>
        </w:rPr>
      </w:pPr>
      <w:bookmarkStart w:id="19" w:name="_Toc511899298"/>
      <w:bookmarkEnd w:id="19"/>
      <w:bookmarkStart w:id="20" w:name="_Toc13290"/>
      <w:r>
        <w:rPr>
          <w:rStyle w:val="27"/>
          <w:rFonts w:hint="eastAsia"/>
          <w:color w:val="000000" w:themeColor="text1"/>
          <w14:textFill>
            <w14:solidFill>
              <w14:schemeClr w14:val="tx1"/>
            </w14:solidFill>
          </w14:textFill>
        </w:rPr>
        <w:t>采购需求</w:t>
      </w:r>
    </w:p>
    <w:p>
      <w:pPr>
        <w:spacing w:line="500" w:lineRule="exact"/>
        <w:jc w:val="left"/>
        <w:rPr>
          <w:rFonts w:hint="eastAsia" w:ascii="宋体" w:hAnsi="宋体" w:eastAsia="宋体" w:cs="宋体"/>
          <w:b/>
          <w:bCs/>
          <w:sz w:val="24"/>
          <w:szCs w:val="24"/>
          <w:highlight w:val="none"/>
        </w:rPr>
      </w:pPr>
      <w:bookmarkStart w:id="21" w:name="_Toc5960"/>
      <w:r>
        <w:rPr>
          <w:rFonts w:hint="eastAsia" w:ascii="宋体" w:hAnsi="宋体" w:eastAsia="宋体" w:cs="宋体"/>
          <w:b/>
          <w:bCs/>
          <w:sz w:val="24"/>
          <w:szCs w:val="24"/>
          <w:highlight w:val="none"/>
        </w:rPr>
        <w:t>一、项目概况</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w:t>
      </w:r>
      <w:r>
        <w:rPr>
          <w:rFonts w:hint="eastAsia" w:ascii="宋体" w:hAnsi="宋体" w:eastAsia="宋体" w:cs="宋体"/>
          <w:b w:val="0"/>
          <w:bCs w:val="0"/>
          <w:spacing w:val="-6"/>
          <w:sz w:val="24"/>
          <w:szCs w:val="24"/>
          <w:highlight w:val="none"/>
        </w:rPr>
        <w:t>项目为</w:t>
      </w:r>
      <w:r>
        <w:rPr>
          <w:rFonts w:hint="eastAsia" w:ascii="宋体" w:hAnsi="宋体" w:eastAsia="宋体" w:cs="宋体"/>
          <w:b w:val="0"/>
          <w:bCs w:val="0"/>
          <w:spacing w:val="-6"/>
          <w:sz w:val="24"/>
          <w:szCs w:val="24"/>
          <w:highlight w:val="none"/>
          <w:lang w:val="en-US" w:eastAsia="zh-CN"/>
        </w:rPr>
        <w:t>皖北卫生职业</w:t>
      </w:r>
      <w:r>
        <w:rPr>
          <w:rFonts w:hint="eastAsia" w:ascii="宋体" w:hAnsi="宋体" w:eastAsia="宋体" w:cs="宋体"/>
          <w:b w:val="0"/>
          <w:bCs w:val="0"/>
          <w:spacing w:val="-6"/>
          <w:sz w:val="24"/>
          <w:szCs w:val="24"/>
          <w:highlight w:val="none"/>
        </w:rPr>
        <w:t xml:space="preserve">学院 </w:t>
      </w:r>
      <w:r>
        <w:rPr>
          <w:rFonts w:hint="eastAsia" w:ascii="宋体" w:hAnsi="宋体" w:eastAsia="宋体" w:cs="宋体"/>
          <w:b w:val="0"/>
          <w:bCs w:val="0"/>
          <w:spacing w:val="-6"/>
          <w:sz w:val="24"/>
          <w:szCs w:val="24"/>
          <w:highlight w:val="none"/>
          <w:lang w:val="en-US" w:eastAsia="zh-CN"/>
        </w:rPr>
        <w:t>3</w:t>
      </w:r>
      <w:r>
        <w:rPr>
          <w:rFonts w:hint="eastAsia" w:ascii="宋体" w:hAnsi="宋体" w:eastAsia="宋体" w:cs="宋体"/>
          <w:b w:val="0"/>
          <w:bCs w:val="0"/>
          <w:spacing w:val="-9"/>
          <w:sz w:val="24"/>
          <w:szCs w:val="24"/>
          <w:highlight w:val="none"/>
        </w:rPr>
        <w:t xml:space="preserve"> 万元以下</w:t>
      </w:r>
      <w:r>
        <w:rPr>
          <w:rFonts w:hint="eastAsia" w:ascii="宋体" w:hAnsi="宋体" w:cs="宋体"/>
          <w:b w:val="0"/>
          <w:bCs w:val="0"/>
          <w:spacing w:val="-9"/>
          <w:sz w:val="24"/>
          <w:szCs w:val="24"/>
          <w:highlight w:val="none"/>
          <w:lang w:eastAsia="zh-CN"/>
        </w:rPr>
        <w:t>零星维修服务</w:t>
      </w:r>
      <w:r>
        <w:rPr>
          <w:rFonts w:hint="eastAsia" w:ascii="宋体" w:hAnsi="宋体" w:eastAsia="宋体" w:cs="宋体"/>
          <w:b w:val="0"/>
          <w:bCs w:val="0"/>
          <w:spacing w:val="-9"/>
          <w:sz w:val="24"/>
          <w:szCs w:val="24"/>
          <w:highlight w:val="none"/>
          <w:lang w:val="en-US" w:eastAsia="zh-CN"/>
        </w:rPr>
        <w:t>单位</w:t>
      </w:r>
      <w:r>
        <w:rPr>
          <w:rFonts w:hint="eastAsia" w:ascii="宋体" w:hAnsi="宋体" w:eastAsia="宋体" w:cs="宋体"/>
          <w:b w:val="0"/>
          <w:bCs w:val="0"/>
          <w:spacing w:val="-12"/>
          <w:sz w:val="24"/>
          <w:szCs w:val="24"/>
          <w:highlight w:val="none"/>
        </w:rPr>
        <w:t>采购，</w:t>
      </w:r>
      <w:r>
        <w:rPr>
          <w:rFonts w:hint="eastAsia" w:ascii="宋体" w:hAnsi="宋体" w:eastAsia="宋体" w:cs="宋体"/>
          <w:b w:val="0"/>
          <w:bCs w:val="0"/>
          <w:spacing w:val="-12"/>
          <w:sz w:val="24"/>
          <w:szCs w:val="24"/>
          <w:highlight w:val="none"/>
          <w:lang w:val="en-US" w:eastAsia="zh-CN"/>
        </w:rPr>
        <w:t>我院</w:t>
      </w:r>
      <w:r>
        <w:rPr>
          <w:rFonts w:hint="eastAsia" w:ascii="宋体" w:hAnsi="宋体" w:eastAsia="宋体" w:cs="宋体"/>
          <w:b w:val="0"/>
          <w:bCs w:val="0"/>
          <w:spacing w:val="-12"/>
          <w:sz w:val="24"/>
          <w:szCs w:val="24"/>
          <w:highlight w:val="none"/>
        </w:rPr>
        <w:t>拟通过</w:t>
      </w:r>
      <w:r>
        <w:rPr>
          <w:rFonts w:hint="eastAsia" w:ascii="宋体" w:hAnsi="宋体" w:eastAsia="宋体" w:cs="宋体"/>
          <w:b w:val="0"/>
          <w:bCs w:val="0"/>
          <w:spacing w:val="-12"/>
          <w:sz w:val="24"/>
          <w:szCs w:val="24"/>
          <w:highlight w:val="none"/>
          <w:lang w:val="en-US" w:eastAsia="zh-CN"/>
        </w:rPr>
        <w:t>竞争性磋商</w:t>
      </w:r>
      <w:r>
        <w:rPr>
          <w:rFonts w:hint="eastAsia" w:ascii="宋体" w:hAnsi="宋体" w:eastAsia="宋体" w:cs="宋体"/>
          <w:b w:val="0"/>
          <w:bCs w:val="0"/>
          <w:spacing w:val="-12"/>
          <w:sz w:val="24"/>
          <w:szCs w:val="24"/>
          <w:highlight w:val="none"/>
        </w:rPr>
        <w:t>的方式，择优选取一家符合资质要求</w:t>
      </w:r>
      <w:r>
        <w:rPr>
          <w:rFonts w:hint="eastAsia" w:ascii="宋体" w:hAnsi="宋体" w:eastAsia="宋体" w:cs="宋体"/>
          <w:b w:val="0"/>
          <w:bCs w:val="0"/>
          <w:spacing w:val="-5"/>
          <w:sz w:val="24"/>
          <w:szCs w:val="24"/>
          <w:highlight w:val="none"/>
        </w:rPr>
        <w:t>的施工企业，为学院承建</w:t>
      </w:r>
      <w:r>
        <w:rPr>
          <w:rFonts w:hint="eastAsia" w:ascii="宋体" w:hAnsi="宋体" w:eastAsia="宋体" w:cs="宋体"/>
          <w:b w:val="0"/>
          <w:bCs w:val="0"/>
          <w:spacing w:val="-5"/>
          <w:sz w:val="24"/>
          <w:szCs w:val="24"/>
          <w:highlight w:val="none"/>
          <w:lang w:val="en-US" w:eastAsia="zh-CN"/>
        </w:rPr>
        <w:t>3</w:t>
      </w:r>
      <w:r>
        <w:rPr>
          <w:rFonts w:hint="eastAsia" w:ascii="宋体" w:hAnsi="宋体" w:eastAsia="宋体" w:cs="宋体"/>
          <w:b w:val="0"/>
          <w:bCs w:val="0"/>
          <w:spacing w:val="-9"/>
          <w:sz w:val="24"/>
          <w:szCs w:val="24"/>
          <w:highlight w:val="none"/>
        </w:rPr>
        <w:t>万元以下的小型零</w:t>
      </w:r>
      <w:r>
        <w:rPr>
          <w:rFonts w:hint="eastAsia" w:ascii="宋体" w:hAnsi="宋体" w:eastAsia="宋体" w:cs="宋体"/>
          <w:b w:val="0"/>
          <w:bCs w:val="0"/>
          <w:color w:val="auto"/>
          <w:spacing w:val="-9"/>
          <w:sz w:val="24"/>
          <w:szCs w:val="24"/>
          <w:highlight w:val="none"/>
        </w:rPr>
        <w:t>星工程</w:t>
      </w:r>
      <w:r>
        <w:rPr>
          <w:rFonts w:hint="eastAsia" w:ascii="宋体" w:hAnsi="宋体" w:cs="宋体"/>
          <w:b w:val="0"/>
          <w:bCs w:val="0"/>
          <w:color w:val="auto"/>
          <w:spacing w:val="-9"/>
          <w:sz w:val="24"/>
          <w:szCs w:val="24"/>
          <w:highlight w:val="none"/>
          <w:lang w:val="en-US" w:eastAsia="zh-CN"/>
        </w:rPr>
        <w:t>维修服务</w:t>
      </w:r>
      <w:r>
        <w:rPr>
          <w:rFonts w:hint="eastAsia" w:ascii="宋体" w:hAnsi="宋体" w:eastAsia="宋体" w:cs="宋体"/>
          <w:b w:val="0"/>
          <w:bCs w:val="0"/>
          <w:color w:val="auto"/>
          <w:spacing w:val="-9"/>
          <w:sz w:val="24"/>
          <w:szCs w:val="24"/>
          <w:highlight w:val="none"/>
        </w:rPr>
        <w:t>，</w:t>
      </w:r>
      <w:r>
        <w:rPr>
          <w:rFonts w:hint="eastAsia" w:ascii="宋体" w:hAnsi="宋体" w:eastAsia="宋体" w:cs="宋体"/>
          <w:b w:val="0"/>
          <w:bCs w:val="0"/>
          <w:color w:val="auto"/>
          <w:sz w:val="24"/>
          <w:szCs w:val="24"/>
          <w:highlight w:val="none"/>
        </w:rPr>
        <w:t>服</w:t>
      </w:r>
      <w:r>
        <w:rPr>
          <w:rFonts w:hint="eastAsia" w:ascii="宋体" w:hAnsi="宋体" w:eastAsia="宋体" w:cs="宋体"/>
          <w:sz w:val="24"/>
          <w:szCs w:val="24"/>
          <w:highlight w:val="none"/>
        </w:rPr>
        <w:t>务期</w:t>
      </w:r>
      <w:r>
        <w:rPr>
          <w:rFonts w:hint="eastAsia" w:ascii="宋体" w:hAnsi="宋体" w:eastAsia="宋体" w:cs="宋体"/>
          <w:color w:val="auto"/>
          <w:sz w:val="24"/>
          <w:szCs w:val="24"/>
          <w:highlight w:val="none"/>
        </w:rPr>
        <w:t>为</w:t>
      </w:r>
      <w:r>
        <w:rPr>
          <w:rFonts w:hint="eastAsia" w:ascii="宋体" w:hAnsi="宋体" w:cs="宋体"/>
          <w:b/>
          <w:bCs/>
          <w:color w:val="auto"/>
          <w:sz w:val="24"/>
          <w:szCs w:val="24"/>
          <w:highlight w:val="none"/>
          <w:lang w:val="en-US" w:eastAsia="zh-CN"/>
        </w:rPr>
        <w:t>365日历日</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采用</w:t>
      </w:r>
      <w:r>
        <w:rPr>
          <w:rFonts w:hint="eastAsia" w:ascii="宋体" w:hAnsi="宋体" w:eastAsia="宋体" w:cs="宋体"/>
          <w:b/>
          <w:bCs/>
          <w:color w:val="auto"/>
          <w:sz w:val="24"/>
          <w:szCs w:val="24"/>
          <w:highlight w:val="none"/>
        </w:rPr>
        <w:t>1+1+1</w:t>
      </w:r>
      <w:r>
        <w:rPr>
          <w:rFonts w:hint="eastAsia" w:ascii="宋体" w:hAnsi="宋体" w:cs="宋体"/>
          <w:b/>
          <w:bCs/>
          <w:color w:val="auto"/>
          <w:sz w:val="24"/>
          <w:szCs w:val="24"/>
          <w:highlight w:val="none"/>
          <w:lang w:val="en-US" w:eastAsia="zh-CN"/>
        </w:rPr>
        <w:t>模式</w:t>
      </w:r>
      <w:r>
        <w:rPr>
          <w:rFonts w:hint="eastAsia" w:ascii="宋体" w:hAnsi="宋体" w:eastAsia="宋体" w:cs="宋体"/>
          <w:color w:val="auto"/>
          <w:sz w:val="24"/>
          <w:szCs w:val="24"/>
          <w:highlight w:val="none"/>
        </w:rPr>
        <w:t>，服务</w:t>
      </w:r>
      <w:r>
        <w:rPr>
          <w:rFonts w:hint="eastAsia" w:ascii="宋体" w:hAnsi="宋体" w:eastAsia="宋体" w:cs="宋体"/>
          <w:sz w:val="24"/>
          <w:szCs w:val="24"/>
          <w:highlight w:val="none"/>
        </w:rPr>
        <w:t>期三年，合同一年一签。每年服务期末，采购人对中标服务单位进行考核，考核合格可续签合同，如考核不合格，采购人有权取消中标单位服务资格）。</w:t>
      </w:r>
    </w:p>
    <w:p>
      <w:pPr>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二、服务需求</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pacing w:val="-11"/>
          <w:sz w:val="24"/>
          <w:szCs w:val="24"/>
          <w:highlight w:val="none"/>
        </w:rPr>
        <w:t>、学院内部分基础设施老旧及损坏的修复，道路破损修复， 道路标线、标牌的设置，窨井盖破损更换，管道清淤及吸污，广场市政设施、路灯景观灯管以及泵站维护， 教室、办公室及学生公寓简单装修等零星工程</w:t>
      </w:r>
      <w:r>
        <w:rPr>
          <w:rFonts w:hint="eastAsia" w:ascii="宋体" w:hAnsi="宋体" w:eastAsia="宋体" w:cs="宋体"/>
          <w:color w:val="auto"/>
          <w:spacing w:val="-11"/>
          <w:sz w:val="24"/>
          <w:szCs w:val="24"/>
          <w:highlight w:val="none"/>
        </w:rPr>
        <w:t>日常修补及维护</w:t>
      </w:r>
      <w:r>
        <w:rPr>
          <w:rFonts w:hint="eastAsia" w:ascii="宋体" w:hAnsi="宋体" w:cs="宋体"/>
          <w:color w:val="auto"/>
          <w:spacing w:val="-11"/>
          <w:sz w:val="24"/>
          <w:szCs w:val="24"/>
          <w:highlight w:val="none"/>
          <w:lang w:eastAsia="zh-CN"/>
        </w:rPr>
        <w:t>，</w:t>
      </w:r>
      <w:r>
        <w:rPr>
          <w:rFonts w:hint="eastAsia" w:ascii="宋体" w:hAnsi="宋体" w:cs="宋体"/>
          <w:color w:val="auto"/>
          <w:spacing w:val="-11"/>
          <w:sz w:val="24"/>
          <w:szCs w:val="24"/>
          <w:highlight w:val="none"/>
          <w:lang w:val="en-US" w:eastAsia="zh-CN"/>
        </w:rPr>
        <w:t>部分简易设施检修、物品搬运、空调电风扇灰尘清理、屋面垃圾清理等</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5"/>
          <w:sz w:val="24"/>
          <w:szCs w:val="24"/>
          <w:highlight w:val="none"/>
        </w:rPr>
        <w:t>日常</w:t>
      </w:r>
      <w:r>
        <w:rPr>
          <w:rFonts w:hint="eastAsia" w:ascii="宋体" w:hAnsi="宋体" w:eastAsia="宋体" w:cs="宋体"/>
          <w:spacing w:val="-15"/>
          <w:sz w:val="24"/>
          <w:szCs w:val="24"/>
          <w:highlight w:val="none"/>
        </w:rPr>
        <w:t>修补及维护工程包括但不限于以上内容，以学院下达的派工单为准。</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2、中标人在接到学院工作任务时，必须在学院指定的时间</w:t>
      </w:r>
      <w:r>
        <w:rPr>
          <w:rFonts w:hint="eastAsia" w:ascii="宋体" w:hAnsi="宋体" w:eastAsia="宋体" w:cs="宋体"/>
          <w:spacing w:val="-7"/>
          <w:sz w:val="24"/>
          <w:szCs w:val="24"/>
          <w:highlight w:val="none"/>
        </w:rPr>
        <w:t>内安排相应数量的人员、机械设备及材料到达指定地点，按照学院要求开展施工作业</w:t>
      </w:r>
      <w:r>
        <w:rPr>
          <w:rFonts w:hint="eastAsia" w:ascii="宋体" w:hAnsi="宋体" w:eastAsia="宋体" w:cs="宋体"/>
          <w:spacing w:val="-18"/>
          <w:sz w:val="24"/>
          <w:szCs w:val="24"/>
          <w:highlight w:val="none"/>
        </w:rPr>
        <w:t xml:space="preserve">，按规范操作，文明施工，保证质量， </w:t>
      </w:r>
      <w:r>
        <w:rPr>
          <w:rFonts w:hint="eastAsia" w:ascii="宋体" w:hAnsi="宋体" w:eastAsia="宋体" w:cs="宋体"/>
          <w:spacing w:val="-6"/>
          <w:sz w:val="24"/>
          <w:szCs w:val="24"/>
          <w:highlight w:val="none"/>
        </w:rPr>
        <w:t>并在规定的时间内完成任务。逾期未完成任务的</w:t>
      </w:r>
      <w:r>
        <w:rPr>
          <w:rFonts w:hint="eastAsia" w:ascii="宋体" w:hAnsi="宋体" w:eastAsia="宋体" w:cs="宋体"/>
          <w:sz w:val="24"/>
          <w:szCs w:val="24"/>
          <w:highlight w:val="none"/>
        </w:rPr>
        <w:t>（</w:t>
      </w:r>
      <w:r>
        <w:rPr>
          <w:rFonts w:hint="eastAsia" w:ascii="宋体" w:hAnsi="宋体" w:eastAsia="宋体" w:cs="宋体"/>
          <w:spacing w:val="-3"/>
          <w:sz w:val="24"/>
          <w:szCs w:val="24"/>
          <w:highlight w:val="none"/>
        </w:rPr>
        <w:t>除</w:t>
      </w:r>
      <w:r>
        <w:rPr>
          <w:rFonts w:hint="eastAsia" w:ascii="宋体" w:hAnsi="宋体" w:eastAsia="宋体" w:cs="宋体"/>
          <w:sz w:val="24"/>
          <w:szCs w:val="24"/>
          <w:highlight w:val="none"/>
        </w:rPr>
        <w:t>不可抗力因素造成的逾期），学院将给予相应的处罚。</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3、中标人在作业过程中所涉及的机械、设备、车辆、劳务</w:t>
      </w:r>
      <w:r>
        <w:rPr>
          <w:rFonts w:hint="eastAsia" w:ascii="宋体" w:hAnsi="宋体" w:eastAsia="宋体" w:cs="宋体"/>
          <w:spacing w:val="-6"/>
          <w:sz w:val="24"/>
          <w:szCs w:val="24"/>
          <w:highlight w:val="none"/>
        </w:rPr>
        <w:t>人员都必须按照安全生产要求进行操作使用，特别是吊车、铲车</w:t>
      </w:r>
      <w:r>
        <w:rPr>
          <w:rFonts w:hint="eastAsia" w:ascii="宋体" w:hAnsi="宋体" w:eastAsia="宋体" w:cs="宋体"/>
          <w:sz w:val="24"/>
          <w:szCs w:val="24"/>
          <w:highlight w:val="none"/>
        </w:rPr>
        <w:t>（装载机</w:t>
      </w:r>
      <w:r>
        <w:rPr>
          <w:rFonts w:hint="eastAsia" w:ascii="宋体" w:hAnsi="宋体" w:eastAsia="宋体" w:cs="宋体"/>
          <w:spacing w:val="-46"/>
          <w:sz w:val="24"/>
          <w:szCs w:val="24"/>
          <w:highlight w:val="none"/>
        </w:rPr>
        <w:t>）</w:t>
      </w:r>
      <w:r>
        <w:rPr>
          <w:rFonts w:hint="eastAsia" w:ascii="宋体" w:hAnsi="宋体" w:eastAsia="宋体" w:cs="宋体"/>
          <w:spacing w:val="-4"/>
          <w:sz w:val="24"/>
          <w:szCs w:val="24"/>
          <w:highlight w:val="none"/>
        </w:rPr>
        <w:t>及升降机等大型车辆机械，一定要提前做好相关作业</w:t>
      </w:r>
      <w:r>
        <w:rPr>
          <w:rFonts w:hint="eastAsia" w:ascii="宋体" w:hAnsi="宋体" w:eastAsia="宋体" w:cs="宋体"/>
          <w:sz w:val="24"/>
          <w:szCs w:val="24"/>
          <w:highlight w:val="none"/>
        </w:rPr>
        <w:t>的安全防护措施，并按规范要求作业。施工过程中发生的一切意外与学院无关。</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pacing w:val="-9"/>
          <w:sz w:val="24"/>
          <w:szCs w:val="24"/>
          <w:highlight w:val="none"/>
        </w:rPr>
        <w:t>、本项目所有使用的机械设备及操作人员的工资、汽</w:t>
      </w:r>
      <w:r>
        <w:rPr>
          <w:rFonts w:hint="eastAsia" w:ascii="宋体" w:hAnsi="宋体" w:eastAsia="宋体" w:cs="宋体"/>
          <w:sz w:val="24"/>
          <w:szCs w:val="24"/>
          <w:highlight w:val="none"/>
        </w:rPr>
        <w:t>（柴</w:t>
      </w:r>
      <w:r>
        <w:rPr>
          <w:rFonts w:hint="eastAsia" w:ascii="宋体" w:hAnsi="宋体" w:eastAsia="宋体" w:cs="宋体"/>
          <w:spacing w:val="-14"/>
          <w:sz w:val="24"/>
          <w:szCs w:val="24"/>
          <w:highlight w:val="none"/>
        </w:rPr>
        <w:t xml:space="preserve">） </w:t>
      </w:r>
      <w:r>
        <w:rPr>
          <w:rFonts w:hint="eastAsia" w:ascii="宋体" w:hAnsi="宋体" w:eastAsia="宋体" w:cs="宋体"/>
          <w:spacing w:val="-9"/>
          <w:sz w:val="24"/>
          <w:szCs w:val="24"/>
          <w:highlight w:val="none"/>
        </w:rPr>
        <w:t>油费、维修费等其它费用均包含在本次报价内，不另外计算。中</w:t>
      </w:r>
      <w:r>
        <w:rPr>
          <w:rFonts w:hint="eastAsia" w:ascii="宋体" w:hAnsi="宋体" w:eastAsia="宋体" w:cs="宋体"/>
          <w:spacing w:val="-18"/>
          <w:sz w:val="24"/>
          <w:szCs w:val="24"/>
          <w:highlight w:val="none"/>
        </w:rPr>
        <w:t>标方提前备齐各类拆除</w:t>
      </w:r>
      <w:r>
        <w:rPr>
          <w:rFonts w:hint="eastAsia" w:ascii="宋体" w:hAnsi="宋体" w:eastAsia="宋体" w:cs="宋体"/>
          <w:sz w:val="24"/>
          <w:szCs w:val="24"/>
          <w:highlight w:val="none"/>
        </w:rPr>
        <w:t>（所产生的废弃物等由中标人自行清理干净</w:t>
      </w:r>
      <w:r>
        <w:rPr>
          <w:rFonts w:hint="eastAsia" w:ascii="宋体" w:hAnsi="宋体" w:eastAsia="宋体" w:cs="宋体"/>
          <w:spacing w:val="-16"/>
          <w:sz w:val="24"/>
          <w:szCs w:val="24"/>
          <w:highlight w:val="none"/>
        </w:rPr>
        <w:t>）</w:t>
      </w:r>
      <w:r>
        <w:rPr>
          <w:rFonts w:hint="eastAsia" w:ascii="宋体" w:hAnsi="宋体" w:eastAsia="宋体" w:cs="宋体"/>
          <w:spacing w:val="-7"/>
          <w:sz w:val="24"/>
          <w:szCs w:val="24"/>
          <w:highlight w:val="none"/>
        </w:rPr>
        <w:t>、垃圾清理等各项工作所需的人工、车辆机械、器材、辅助</w:t>
      </w:r>
      <w:r>
        <w:rPr>
          <w:rFonts w:hint="eastAsia" w:ascii="宋体" w:hAnsi="宋体" w:eastAsia="宋体" w:cs="宋体"/>
          <w:spacing w:val="-12"/>
          <w:sz w:val="24"/>
          <w:szCs w:val="24"/>
          <w:highlight w:val="none"/>
        </w:rPr>
        <w:t>工具、辅材等</w:t>
      </w:r>
      <w:r>
        <w:rPr>
          <w:rFonts w:hint="eastAsia" w:ascii="宋体" w:hAnsi="宋体" w:eastAsia="宋体" w:cs="宋体"/>
          <w:spacing w:val="-12"/>
          <w:sz w:val="24"/>
          <w:szCs w:val="24"/>
        </w:rPr>
        <w:t>，并承担相关费用。各类垃圾处置由中标方寻找场地自行妥善解决。</w:t>
      </w:r>
    </w:p>
    <w:p>
      <w:pPr>
        <w:spacing w:line="50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5、中标方要服从学院的统一安排，未经学院的同意不得随意改变学院已制定的工作计划和意图，遇工作中特殊情况及时与学院保持沟通。因中标方擅自做主造成学院的损失及其他影响，中标方要承担全部责任及损失。</w:t>
      </w:r>
    </w:p>
    <w:p>
      <w:pPr>
        <w:spacing w:line="50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6、中标方不得以任何理由拒绝为学院提供机械设备、车辆、</w:t>
      </w:r>
      <w:r>
        <w:rPr>
          <w:rFonts w:hint="eastAsia" w:ascii="宋体" w:hAnsi="宋体" w:eastAsia="宋体" w:cs="宋体"/>
          <w:spacing w:val="-12"/>
          <w:sz w:val="24"/>
          <w:szCs w:val="24"/>
          <w:highlight w:val="none"/>
        </w:rPr>
        <w:t>主材、人员及服务项目。如有违反，由此造成学院的一切损失及</w:t>
      </w:r>
      <w:r>
        <w:rPr>
          <w:rFonts w:hint="eastAsia" w:ascii="宋体" w:hAnsi="宋体" w:eastAsia="宋体" w:cs="宋体"/>
          <w:spacing w:val="-11"/>
          <w:sz w:val="24"/>
          <w:szCs w:val="24"/>
          <w:highlight w:val="none"/>
        </w:rPr>
        <w:t>影响，中标方应予以全部承担，并视影响大小，承担相应的法律责任。</w:t>
      </w:r>
    </w:p>
    <w:p>
      <w:pPr>
        <w:spacing w:line="500" w:lineRule="exact"/>
        <w:ind w:firstLine="600"/>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7</w:t>
      </w:r>
      <w:r>
        <w:rPr>
          <w:rFonts w:hint="eastAsia" w:ascii="宋体" w:hAnsi="宋体" w:eastAsia="宋体" w:cs="宋体"/>
          <w:spacing w:val="-11"/>
          <w:sz w:val="24"/>
          <w:szCs w:val="24"/>
          <w:highlight w:val="none"/>
        </w:rPr>
        <w:t>、中标人在承包期内所发生的有关民事、刑事、安全事故、</w:t>
      </w:r>
      <w:r>
        <w:rPr>
          <w:rFonts w:hint="eastAsia" w:ascii="宋体" w:hAnsi="宋体" w:eastAsia="宋体" w:cs="宋体"/>
          <w:spacing w:val="-4"/>
          <w:sz w:val="24"/>
          <w:szCs w:val="24"/>
          <w:highlight w:val="none"/>
        </w:rPr>
        <w:t>劳资纠纷等一切责任及经济损失均由中标人自行承担。合同期间因中标人自身原因造成的上访、投诉对学院造成不良影响的，学院有权取消中标资格、提请宿州市</w:t>
      </w:r>
      <w:r>
        <w:rPr>
          <w:rFonts w:hint="eastAsia" w:ascii="宋体" w:hAnsi="宋体" w:eastAsia="宋体" w:cs="宋体"/>
          <w:spacing w:val="-4"/>
          <w:sz w:val="24"/>
          <w:szCs w:val="24"/>
          <w:highlight w:val="none"/>
          <w:lang w:val="en-US" w:eastAsia="zh-CN"/>
        </w:rPr>
        <w:t>相关部门</w:t>
      </w:r>
      <w:r>
        <w:rPr>
          <w:rFonts w:hint="eastAsia" w:ascii="宋体" w:hAnsi="宋体" w:eastAsia="宋体" w:cs="宋体"/>
          <w:spacing w:val="-4"/>
          <w:sz w:val="24"/>
          <w:szCs w:val="24"/>
          <w:highlight w:val="none"/>
        </w:rPr>
        <w:t>记入信用记录，并有权解除合同，不予返还履约保证金和已完成部分的费用。</w:t>
      </w:r>
    </w:p>
    <w:p>
      <w:pPr>
        <w:spacing w:line="50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8、每次工作完成</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季度</w:t>
      </w:r>
      <w:r>
        <w:rPr>
          <w:rFonts w:hint="eastAsia" w:ascii="宋体" w:hAnsi="宋体" w:eastAsia="宋体" w:cs="宋体"/>
          <w:sz w:val="24"/>
          <w:szCs w:val="24"/>
          <w:highlight w:val="none"/>
        </w:rPr>
        <w:t>内中标人应按要求</w:t>
      </w:r>
      <w:r>
        <w:rPr>
          <w:rFonts w:hint="eastAsia" w:ascii="宋体" w:hAnsi="宋体" w:eastAsia="宋体" w:cs="宋体"/>
          <w:spacing w:val="-9"/>
          <w:sz w:val="24"/>
          <w:szCs w:val="24"/>
          <w:highlight w:val="none"/>
        </w:rPr>
        <w:t>提供</w:t>
      </w:r>
      <w:r>
        <w:rPr>
          <w:rFonts w:hint="eastAsia" w:ascii="宋体" w:hAnsi="宋体" w:eastAsia="宋体" w:cs="宋体"/>
          <w:spacing w:val="-4"/>
          <w:sz w:val="24"/>
          <w:szCs w:val="24"/>
          <w:highlight w:val="none"/>
        </w:rPr>
        <w:t>派工单作为结算依据，按时报送结</w:t>
      </w:r>
      <w:r>
        <w:rPr>
          <w:rFonts w:hint="eastAsia" w:ascii="宋体" w:hAnsi="宋体" w:eastAsia="宋体" w:cs="宋体"/>
          <w:spacing w:val="-9"/>
          <w:sz w:val="24"/>
          <w:szCs w:val="24"/>
          <w:highlight w:val="none"/>
        </w:rPr>
        <w:t>算和决算资料，若因中标方拖延结算、审</w:t>
      </w:r>
      <w:r>
        <w:rPr>
          <w:rFonts w:hint="eastAsia" w:ascii="宋体" w:hAnsi="宋体" w:eastAsia="宋体" w:cs="宋体"/>
          <w:spacing w:val="-7"/>
          <w:sz w:val="24"/>
          <w:szCs w:val="24"/>
          <w:highlight w:val="none"/>
        </w:rPr>
        <w:t>计等相关工作，由中标方</w:t>
      </w:r>
      <w:r>
        <w:rPr>
          <w:rFonts w:hint="eastAsia" w:ascii="宋体" w:hAnsi="宋体" w:eastAsia="宋体" w:cs="宋体"/>
          <w:sz w:val="24"/>
          <w:szCs w:val="24"/>
          <w:highlight w:val="none"/>
        </w:rPr>
        <w:t>承担相应责任及后果。</w:t>
      </w:r>
    </w:p>
    <w:p>
      <w:pPr>
        <w:spacing w:line="500" w:lineRule="exact"/>
        <w:ind w:firstLine="600"/>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9、技术规范和要求：本项目施工、验收须达到国家现行的工程建设标准、规范、规定的要求。</w:t>
      </w:r>
    </w:p>
    <w:p>
      <w:pPr>
        <w:spacing w:line="500" w:lineRule="exact"/>
        <w:ind w:firstLine="600"/>
        <w:rPr>
          <w:rFonts w:hint="eastAsia" w:ascii="宋体" w:hAnsi="宋体" w:eastAsia="宋体" w:cs="宋体"/>
          <w:spacing w:val="-7"/>
          <w:sz w:val="24"/>
          <w:szCs w:val="24"/>
          <w:highlight w:val="none"/>
          <w:lang w:val="en-US" w:eastAsia="zh-CN"/>
        </w:rPr>
      </w:pPr>
      <w:r>
        <w:rPr>
          <w:rFonts w:hint="eastAsia" w:ascii="宋体" w:hAnsi="宋体" w:eastAsia="宋体" w:cs="宋体"/>
          <w:spacing w:val="-4"/>
          <w:sz w:val="24"/>
          <w:szCs w:val="24"/>
          <w:highlight w:val="none"/>
          <w:lang w:val="en-US" w:eastAsia="zh-CN"/>
        </w:rPr>
        <w:t>10、工期要求：中标人接</w:t>
      </w:r>
      <w:r>
        <w:rPr>
          <w:rFonts w:hint="eastAsia" w:ascii="宋体" w:hAnsi="宋体" w:eastAsia="宋体" w:cs="宋体"/>
          <w:spacing w:val="-7"/>
          <w:sz w:val="24"/>
          <w:szCs w:val="24"/>
          <w:highlight w:val="none"/>
          <w:lang w:val="en-US" w:eastAsia="zh-CN"/>
        </w:rPr>
        <w:t>到维修任务后须尽快组织人员进入施工现场。零星维修服务改造一般要求在2小时内响应，12小时内实施维修工作。突发事件的应急抢修须立即响应并即刻实施抢修工作。</w:t>
      </w:r>
    </w:p>
    <w:p>
      <w:pPr>
        <w:spacing w:line="500" w:lineRule="exact"/>
        <w:ind w:firstLine="600"/>
        <w:rPr>
          <w:rFonts w:hint="default" w:ascii="宋体" w:hAnsi="宋体" w:eastAsia="宋体" w:cs="宋体"/>
          <w:b/>
          <w:bCs/>
          <w:spacing w:val="-7"/>
          <w:sz w:val="24"/>
          <w:szCs w:val="24"/>
          <w:highlight w:val="none"/>
          <w:lang w:val="en-US" w:eastAsia="zh-CN"/>
        </w:rPr>
      </w:pPr>
      <w:r>
        <w:rPr>
          <w:rFonts w:hint="eastAsia" w:ascii="宋体" w:hAnsi="宋体" w:eastAsia="宋体" w:cs="宋体"/>
          <w:spacing w:val="-7"/>
          <w:sz w:val="24"/>
          <w:szCs w:val="24"/>
          <w:highlight w:val="none"/>
          <w:lang w:val="en-US" w:eastAsia="zh-CN"/>
        </w:rPr>
        <w:t>11、人员</w:t>
      </w:r>
      <w:r>
        <w:rPr>
          <w:rFonts w:hint="eastAsia" w:ascii="宋体" w:hAnsi="宋体" w:eastAsia="宋体" w:cs="宋体"/>
          <w:color w:val="auto"/>
          <w:spacing w:val="-7"/>
          <w:sz w:val="24"/>
          <w:szCs w:val="24"/>
          <w:highlight w:val="none"/>
          <w:lang w:val="en-US" w:eastAsia="zh-CN"/>
        </w:rPr>
        <w:t>要求：中标人必须具有相关专业人员处理应急维修外，</w:t>
      </w:r>
      <w:r>
        <w:rPr>
          <w:rFonts w:hint="eastAsia" w:ascii="宋体" w:hAnsi="宋体" w:eastAsia="宋体" w:cs="宋体"/>
          <w:b/>
          <w:bCs/>
          <w:spacing w:val="-7"/>
          <w:sz w:val="24"/>
          <w:szCs w:val="24"/>
          <w:highlight w:val="none"/>
          <w:lang w:val="en-US" w:eastAsia="zh-CN"/>
        </w:rPr>
        <w:t>同时每天要有4人常驻学院保障维修工作（当天如无工作量，人员在校期间不计工）。</w:t>
      </w:r>
    </w:p>
    <w:p>
      <w:pPr>
        <w:spacing w:line="500" w:lineRule="exact"/>
        <w:ind w:firstLine="600"/>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12、工程承包方式：本工程实行总承包方式。包工、包料、包工期、包质量、包安全；包括工程施工图纸、工程量清单、施工方案或相关资料所涵括的全部工作内容。</w:t>
      </w:r>
    </w:p>
    <w:p>
      <w:pPr>
        <w:spacing w:line="500" w:lineRule="exact"/>
        <w:ind w:firstLine="600"/>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13、中标人每周向学院总务处上报维修使用的主材规格、型号、品牌等清单，如使用大型机械要标注价格，作为后期结算依据。</w:t>
      </w:r>
    </w:p>
    <w:p>
      <w:pPr>
        <w:spacing w:line="500" w:lineRule="exact"/>
        <w:ind w:firstLine="600"/>
        <w:rPr>
          <w:rFonts w:hint="eastAsia" w:ascii="宋体" w:hAnsi="宋体" w:eastAsia="宋体" w:cs="宋体"/>
          <w:b/>
          <w:bCs/>
          <w:spacing w:val="-7"/>
          <w:sz w:val="24"/>
          <w:szCs w:val="24"/>
          <w:highlight w:val="none"/>
          <w:lang w:val="en-US" w:eastAsia="zh-CN"/>
        </w:rPr>
      </w:pPr>
      <w:r>
        <w:rPr>
          <w:rFonts w:hint="eastAsia" w:ascii="宋体" w:hAnsi="宋体" w:eastAsia="宋体" w:cs="宋体"/>
          <w:b/>
          <w:bCs/>
          <w:spacing w:val="-7"/>
          <w:sz w:val="24"/>
          <w:szCs w:val="24"/>
          <w:highlight w:val="none"/>
          <w:lang w:val="en-US" w:eastAsia="zh-CN"/>
        </w:rPr>
        <w:t>1</w:t>
      </w:r>
      <w:r>
        <w:rPr>
          <w:rFonts w:hint="eastAsia" w:ascii="宋体" w:hAnsi="宋体" w:cs="宋体"/>
          <w:b/>
          <w:bCs/>
          <w:spacing w:val="-7"/>
          <w:sz w:val="24"/>
          <w:szCs w:val="24"/>
          <w:highlight w:val="none"/>
          <w:lang w:val="en-US" w:eastAsia="zh-CN"/>
        </w:rPr>
        <w:t>4</w:t>
      </w:r>
      <w:r>
        <w:rPr>
          <w:rFonts w:hint="eastAsia" w:ascii="宋体" w:hAnsi="宋体" w:eastAsia="宋体" w:cs="宋体"/>
          <w:b/>
          <w:bCs/>
          <w:spacing w:val="-7"/>
          <w:sz w:val="24"/>
          <w:szCs w:val="24"/>
          <w:highlight w:val="none"/>
          <w:lang w:val="en-US" w:eastAsia="zh-CN"/>
        </w:rPr>
        <w:t>、中标人在承包期内不得分包和转包任何学院的零星业务，否则，学院有权取消中标资格，终止合同。所产生的一切后果均由中标人承担。</w:t>
      </w:r>
    </w:p>
    <w:p>
      <w:pPr>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三、报价要求</w:t>
      </w:r>
    </w:p>
    <w:p>
      <w:pPr>
        <w:spacing w:line="500" w:lineRule="exact"/>
        <w:ind w:firstLine="6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bookmarkStart w:id="22" w:name="OLE_LINK1"/>
      <w:r>
        <w:rPr>
          <w:rFonts w:hint="eastAsia" w:ascii="宋体" w:hAnsi="宋体" w:eastAsia="宋体" w:cs="宋体"/>
          <w:b/>
          <w:bCs/>
          <w:sz w:val="24"/>
          <w:szCs w:val="24"/>
          <w:highlight w:val="none"/>
        </w:rPr>
        <w:t>本项目以费率报价，最高限价为</w:t>
      </w:r>
      <w:r>
        <w:rPr>
          <w:rFonts w:hint="eastAsia" w:ascii="宋体" w:hAnsi="宋体" w:eastAsia="宋体" w:cs="宋体"/>
          <w:b/>
          <w:bCs/>
          <w:color w:val="auto"/>
          <w:spacing w:val="-12"/>
          <w:sz w:val="24"/>
          <w:szCs w:val="24"/>
          <w:highlight w:val="none"/>
          <w:lang w:val="en-US" w:eastAsia="zh-CN"/>
        </w:rPr>
        <w:t>中标人编制的工程结算经学院委托的第三方审计机构审核后确定的工程竣工结算审核价款</w:t>
      </w:r>
      <w:r>
        <w:rPr>
          <w:rFonts w:hint="eastAsia" w:ascii="宋体" w:hAnsi="宋体" w:eastAsia="宋体" w:cs="宋体"/>
          <w:b/>
          <w:bCs/>
          <w:color w:val="auto"/>
          <w:spacing w:val="-12"/>
          <w:sz w:val="24"/>
          <w:szCs w:val="24"/>
          <w:highlight w:val="none"/>
        </w:rPr>
        <w:t>的 100%</w:t>
      </w:r>
      <w:r>
        <w:rPr>
          <w:rFonts w:hint="eastAsia" w:ascii="宋体" w:hAnsi="宋体" w:eastAsia="宋体" w:cs="宋体"/>
          <w:b/>
          <w:bCs/>
          <w:color w:val="auto"/>
          <w:spacing w:val="-5"/>
          <w:sz w:val="24"/>
          <w:szCs w:val="24"/>
          <w:highlight w:val="none"/>
        </w:rPr>
        <w:t>，投</w:t>
      </w:r>
      <w:r>
        <w:rPr>
          <w:rFonts w:hint="eastAsia" w:ascii="宋体" w:hAnsi="宋体" w:eastAsia="宋体" w:cs="宋体"/>
          <w:b/>
          <w:bCs/>
          <w:spacing w:val="-5"/>
          <w:sz w:val="24"/>
          <w:szCs w:val="24"/>
          <w:highlight w:val="none"/>
        </w:rPr>
        <w:t>标人应按照费率进行报价，无需分项报价，</w:t>
      </w:r>
      <w:r>
        <w:rPr>
          <w:rFonts w:hint="eastAsia" w:ascii="宋体" w:hAnsi="宋体" w:eastAsia="宋体" w:cs="宋体"/>
          <w:b/>
          <w:bCs/>
          <w:sz w:val="24"/>
          <w:szCs w:val="24"/>
          <w:highlight w:val="none"/>
        </w:rPr>
        <w:t>投标报价大于或等于最高限价的将否决其投标</w:t>
      </w:r>
      <w:bookmarkEnd w:id="22"/>
      <w:r>
        <w:rPr>
          <w:rFonts w:hint="eastAsia" w:ascii="宋体" w:hAnsi="宋体" w:eastAsia="宋体" w:cs="宋体"/>
          <w:b/>
          <w:bCs/>
          <w:sz w:val="24"/>
          <w:szCs w:val="24"/>
          <w:highlight w:val="none"/>
        </w:rPr>
        <w:t>。</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2、投标人根据本招标文件、国家有关标准规范结合本工程特点和投标人的现场考察，自行考虑发生的工作量及成本并承担</w:t>
      </w:r>
      <w:r>
        <w:rPr>
          <w:rFonts w:hint="eastAsia" w:ascii="宋体" w:hAnsi="宋体" w:eastAsia="宋体" w:cs="宋体"/>
          <w:spacing w:val="-9"/>
          <w:sz w:val="24"/>
          <w:szCs w:val="24"/>
          <w:highlight w:val="none"/>
        </w:rPr>
        <w:t>相应的风险。报价由投标人根据自身实力和条件报价，但不得超</w:t>
      </w:r>
      <w:r>
        <w:rPr>
          <w:rFonts w:hint="eastAsia" w:ascii="宋体" w:hAnsi="宋体" w:eastAsia="宋体" w:cs="宋体"/>
          <w:spacing w:val="-13"/>
          <w:sz w:val="24"/>
          <w:szCs w:val="24"/>
          <w:highlight w:val="none"/>
        </w:rPr>
        <w:t>过国家规定标准。投标报价应是招标文件所确定的招标范围内全</w:t>
      </w:r>
      <w:r>
        <w:rPr>
          <w:rFonts w:hint="eastAsia" w:ascii="宋体" w:hAnsi="宋体" w:eastAsia="宋体" w:cs="宋体"/>
          <w:spacing w:val="-14"/>
          <w:sz w:val="24"/>
          <w:szCs w:val="24"/>
          <w:highlight w:val="none"/>
        </w:rPr>
        <w:t>部工程内容的价格表现，其应包括管理、现场办公、生活设施、</w:t>
      </w:r>
      <w:r>
        <w:rPr>
          <w:rFonts w:hint="eastAsia" w:ascii="宋体" w:hAnsi="宋体" w:eastAsia="宋体" w:cs="宋体"/>
          <w:spacing w:val="-6"/>
          <w:sz w:val="24"/>
          <w:szCs w:val="24"/>
          <w:highlight w:val="none"/>
        </w:rPr>
        <w:t>交通和通讯设备、材料、服务、专利费用</w:t>
      </w:r>
      <w:r>
        <w:rPr>
          <w:rFonts w:hint="eastAsia" w:ascii="宋体" w:hAnsi="宋体" w:eastAsia="宋体" w:cs="宋体"/>
          <w:sz w:val="24"/>
          <w:szCs w:val="24"/>
          <w:highlight w:val="none"/>
        </w:rPr>
        <w:t>（如有</w:t>
      </w:r>
      <w:r>
        <w:rPr>
          <w:rFonts w:hint="eastAsia" w:ascii="宋体" w:hAnsi="宋体" w:eastAsia="宋体" w:cs="宋体"/>
          <w:spacing w:val="-16"/>
          <w:sz w:val="24"/>
          <w:szCs w:val="24"/>
          <w:highlight w:val="none"/>
        </w:rPr>
        <w:t>）</w:t>
      </w:r>
      <w:r>
        <w:rPr>
          <w:rFonts w:hint="eastAsia" w:ascii="宋体" w:hAnsi="宋体" w:eastAsia="宋体" w:cs="宋体"/>
          <w:spacing w:val="-4"/>
          <w:sz w:val="24"/>
          <w:szCs w:val="24"/>
          <w:highlight w:val="none"/>
        </w:rPr>
        <w:t>、后续服务费</w:t>
      </w:r>
      <w:r>
        <w:rPr>
          <w:rFonts w:hint="eastAsia" w:ascii="宋体" w:hAnsi="宋体" w:eastAsia="宋体" w:cs="宋体"/>
          <w:spacing w:val="-10"/>
          <w:sz w:val="24"/>
          <w:szCs w:val="24"/>
          <w:highlight w:val="none"/>
        </w:rPr>
        <w:t>用、利润、税金及政策性文件规定和合同包含的所有风险、责任等各项应有费用。</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3、投标人投标报价为完成招标人委派的施工任务的一切费用，包括后期养护费用。</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4、投标文件如被接受，其报价除合同条款另有规定外不得调整，如今后有政策性的调价文件也不再执行。</w:t>
      </w:r>
    </w:p>
    <w:p>
      <w:pPr>
        <w:spacing w:line="500" w:lineRule="exact"/>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5、风险提醒：学院不承诺服务期内中标方所承担工程的次数及金额。</w:t>
      </w:r>
    </w:p>
    <w:p>
      <w:pPr>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四、其他要求</w:t>
      </w:r>
    </w:p>
    <w:p>
      <w:pPr>
        <w:spacing w:line="500" w:lineRule="exact"/>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pacing w:val="-17"/>
          <w:sz w:val="24"/>
          <w:szCs w:val="24"/>
          <w:highlight w:val="none"/>
        </w:rPr>
        <w:t>、</w:t>
      </w:r>
      <w:r>
        <w:rPr>
          <w:rFonts w:hint="eastAsia" w:ascii="宋体" w:hAnsi="宋体" w:eastAsia="宋体" w:cs="宋体"/>
          <w:b/>
          <w:bCs/>
          <w:color w:val="auto"/>
          <w:spacing w:val="-17"/>
          <w:sz w:val="24"/>
          <w:szCs w:val="24"/>
          <w:highlight w:val="none"/>
        </w:rPr>
        <w:t>投标时的费率作为后期签订施工合同价款的计算依据</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15"/>
          <w:sz w:val="24"/>
          <w:szCs w:val="24"/>
          <w:highlight w:val="none"/>
        </w:rPr>
        <w:t>如</w:t>
      </w:r>
      <w:r>
        <w:rPr>
          <w:rFonts w:hint="eastAsia" w:ascii="宋体" w:hAnsi="宋体" w:eastAsia="宋体" w:cs="宋体"/>
          <w:b/>
          <w:bCs/>
          <w:color w:val="auto"/>
          <w:spacing w:val="-11"/>
          <w:sz w:val="24"/>
          <w:szCs w:val="24"/>
          <w:highlight w:val="none"/>
        </w:rPr>
        <w:t xml:space="preserve">投标费率为 </w:t>
      </w:r>
      <w:r>
        <w:rPr>
          <w:rFonts w:hint="eastAsia" w:ascii="宋体" w:hAnsi="宋体" w:eastAsia="宋体" w:cs="宋体"/>
          <w:b/>
          <w:bCs/>
          <w:color w:val="auto"/>
          <w:spacing w:val="-5"/>
          <w:sz w:val="24"/>
          <w:szCs w:val="24"/>
          <w:highlight w:val="none"/>
        </w:rPr>
        <w:t>95</w:t>
      </w:r>
      <w:r>
        <w:rPr>
          <w:rFonts w:hint="eastAsia" w:ascii="宋体" w:hAnsi="宋体" w:eastAsia="宋体" w:cs="宋体"/>
          <w:b/>
          <w:bCs/>
          <w:color w:val="auto"/>
          <w:spacing w:val="-4"/>
          <w:sz w:val="24"/>
          <w:szCs w:val="24"/>
          <w:highlight w:val="none"/>
        </w:rPr>
        <w:t>%，则后期</w:t>
      </w:r>
      <w:r>
        <w:rPr>
          <w:rFonts w:hint="eastAsia" w:ascii="宋体" w:hAnsi="宋体" w:cs="宋体"/>
          <w:b/>
          <w:bCs/>
          <w:color w:val="auto"/>
          <w:spacing w:val="-4"/>
          <w:sz w:val="24"/>
          <w:szCs w:val="24"/>
          <w:highlight w:val="none"/>
          <w:lang w:val="en-US" w:eastAsia="zh-CN"/>
        </w:rPr>
        <w:t>零星维修服务</w:t>
      </w:r>
      <w:r>
        <w:rPr>
          <w:rFonts w:hint="eastAsia" w:ascii="宋体" w:hAnsi="宋体" w:eastAsia="宋体" w:cs="宋体"/>
          <w:b/>
          <w:bCs/>
          <w:color w:val="auto"/>
          <w:spacing w:val="-4"/>
          <w:sz w:val="24"/>
          <w:szCs w:val="24"/>
          <w:highlight w:val="none"/>
        </w:rPr>
        <w:t>施工合同价款为</w:t>
      </w:r>
      <w:r>
        <w:rPr>
          <w:rFonts w:hint="eastAsia" w:ascii="宋体" w:hAnsi="宋体" w:eastAsia="宋体" w:cs="宋体"/>
          <w:b/>
          <w:bCs/>
          <w:color w:val="auto"/>
          <w:spacing w:val="-12"/>
          <w:sz w:val="24"/>
          <w:szCs w:val="24"/>
          <w:highlight w:val="none"/>
          <w:lang w:val="en-US" w:eastAsia="zh-CN"/>
        </w:rPr>
        <w:t>中标人编制的该项目工程结算经学院委托的第三方审计机构审核后确定的工程竣工结算审核价款</w:t>
      </w:r>
      <w:r>
        <w:rPr>
          <w:rFonts w:hint="eastAsia" w:ascii="宋体" w:hAnsi="宋体" w:eastAsia="宋体" w:cs="宋体"/>
          <w:b/>
          <w:bCs/>
          <w:color w:val="auto"/>
          <w:spacing w:val="-12"/>
          <w:sz w:val="24"/>
          <w:szCs w:val="24"/>
          <w:highlight w:val="none"/>
        </w:rPr>
        <w:t>的</w:t>
      </w:r>
      <w:r>
        <w:rPr>
          <w:rFonts w:hint="eastAsia" w:ascii="宋体" w:hAnsi="宋体" w:eastAsia="宋体" w:cs="宋体"/>
          <w:b/>
          <w:bCs/>
          <w:color w:val="auto"/>
          <w:spacing w:val="-16"/>
          <w:sz w:val="24"/>
          <w:szCs w:val="24"/>
          <w:highlight w:val="none"/>
        </w:rPr>
        <w:t xml:space="preserve">的 </w:t>
      </w:r>
      <w:r>
        <w:rPr>
          <w:rFonts w:hint="eastAsia" w:ascii="宋体" w:hAnsi="宋体" w:eastAsia="宋体" w:cs="宋体"/>
          <w:b/>
          <w:bCs/>
          <w:color w:val="auto"/>
          <w:sz w:val="24"/>
          <w:szCs w:val="24"/>
          <w:highlight w:val="none"/>
        </w:rPr>
        <w:t>95%）。</w:t>
      </w:r>
    </w:p>
    <w:p>
      <w:pPr>
        <w:pStyle w:val="33"/>
        <w:ind w:firstLine="482" w:firstLineChars="200"/>
        <w:jc w:val="left"/>
        <w:rPr>
          <w:rFonts w:hint="eastAsia"/>
          <w:b/>
          <w:bCs/>
          <w:color w:val="000000" w:themeColor="text1"/>
          <w:spacing w:val="0"/>
          <w:sz w:val="24"/>
          <w:szCs w:val="24"/>
          <w14:textFill>
            <w14:solidFill>
              <w14:schemeClr w14:val="tx1"/>
            </w14:solidFill>
          </w14:textFill>
        </w:rPr>
        <w:sectPr>
          <w:pgSz w:w="11906" w:h="16838"/>
          <w:pgMar w:top="1440" w:right="1689" w:bottom="1440" w:left="1689" w:header="851" w:footer="992" w:gutter="0"/>
          <w:pgNumType w:fmt="decimal"/>
          <w:cols w:space="0" w:num="1"/>
          <w:rtlGutter w:val="0"/>
          <w:docGrid w:type="lines" w:linePitch="315" w:charSpace="0"/>
        </w:sectPr>
      </w:pPr>
      <w:r>
        <w:rPr>
          <w:rFonts w:hint="eastAsia" w:ascii="宋体" w:hAnsi="宋体" w:eastAsia="宋体" w:cs="宋体"/>
          <w:b/>
          <w:bCs/>
          <w:spacing w:val="0"/>
          <w:sz w:val="24"/>
          <w:szCs w:val="24"/>
          <w:highlight w:val="none"/>
        </w:rPr>
        <w:t>2、验收合格</w:t>
      </w:r>
      <w:r>
        <w:rPr>
          <w:rFonts w:hint="eastAsia" w:ascii="宋体" w:hAnsi="宋体" w:eastAsia="宋体" w:cs="宋体"/>
          <w:b/>
          <w:bCs/>
          <w:color w:val="auto"/>
          <w:spacing w:val="0"/>
          <w:sz w:val="24"/>
          <w:szCs w:val="24"/>
          <w:highlight w:val="none"/>
        </w:rPr>
        <w:t>后，以</w:t>
      </w:r>
      <w:r>
        <w:rPr>
          <w:rFonts w:hint="eastAsia" w:ascii="宋体" w:hAnsi="宋体" w:eastAsia="宋体" w:cs="宋体"/>
          <w:b/>
          <w:bCs/>
          <w:color w:val="auto"/>
          <w:spacing w:val="0"/>
          <w:sz w:val="24"/>
          <w:szCs w:val="24"/>
          <w:highlight w:val="none"/>
          <w:lang w:val="en-US" w:eastAsia="zh-CN"/>
        </w:rPr>
        <w:t>中标人编制的该项目工程结算经学院委托的第三方审计机构审核后确定的工程竣工结算审核价款为</w:t>
      </w:r>
      <w:bookmarkStart w:id="23" w:name="OLE_LINK3"/>
      <w:r>
        <w:rPr>
          <w:rFonts w:hint="eastAsia" w:ascii="宋体" w:hAnsi="宋体" w:cs="宋体"/>
          <w:b/>
          <w:bCs/>
          <w:i w:val="0"/>
          <w:iCs w:val="0"/>
          <w:color w:val="auto"/>
          <w:szCs w:val="21"/>
          <w:lang w:val="en-US" w:eastAsia="zh-CN"/>
        </w:rPr>
        <w:t>依据，按照中标单位投标费率进行支付。</w:t>
      </w:r>
      <w:bookmarkEnd w:id="23"/>
      <w:r>
        <w:rPr>
          <w:rFonts w:hint="eastAsia" w:ascii="宋体" w:hAnsi="宋体" w:eastAsia="宋体" w:cs="宋体"/>
          <w:b/>
          <w:bCs/>
          <w:color w:val="auto"/>
          <w:spacing w:val="0"/>
          <w:sz w:val="24"/>
          <w:szCs w:val="24"/>
          <w:highlight w:val="none"/>
        </w:rPr>
        <w:t>（如投标费率为 95%，最终支付价款为</w:t>
      </w:r>
      <w:r>
        <w:rPr>
          <w:rFonts w:hint="eastAsia" w:ascii="宋体" w:hAnsi="宋体" w:eastAsia="宋体" w:cs="宋体"/>
          <w:b/>
          <w:bCs/>
          <w:color w:val="auto"/>
          <w:spacing w:val="0"/>
          <w:sz w:val="24"/>
          <w:szCs w:val="24"/>
          <w:highlight w:val="none"/>
          <w:lang w:val="en-US" w:eastAsia="zh-CN"/>
        </w:rPr>
        <w:t>中标人编制的该项目工程结算经学院委托的第三方审计机构审核后确定的工程竣工结算审核价款的</w:t>
      </w:r>
      <w:r>
        <w:rPr>
          <w:rFonts w:hint="eastAsia" w:ascii="宋体" w:hAnsi="宋体" w:eastAsia="宋体" w:cs="宋体"/>
          <w:b/>
          <w:bCs/>
          <w:color w:val="auto"/>
          <w:spacing w:val="0"/>
          <w:sz w:val="24"/>
          <w:szCs w:val="24"/>
          <w:highlight w:val="none"/>
        </w:rPr>
        <w:t xml:space="preserve"> 95%）。</w:t>
      </w:r>
    </w:p>
    <w:p>
      <w:pPr>
        <w:pStyle w:val="3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二、商务要求</w:t>
      </w:r>
      <w:bookmarkEnd w:id="20"/>
      <w:bookmarkEnd w:id="21"/>
    </w:p>
    <w:tbl>
      <w:tblPr>
        <w:tblStyle w:val="2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服务标准</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lang w:val="en-US" w:eastAsia="zh-CN"/>
              </w:rPr>
            </w:pPr>
            <w:r>
              <w:rPr>
                <w:rFonts w:hint="eastAsia" w:ascii="宋体" w:hAnsi="宋体" w:cs="宋体"/>
                <w:color w:val="auto"/>
                <w:lang w:val="en-US" w:eastAsia="zh-CN"/>
              </w:rPr>
              <w:t>满足采购文件及采购人要求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w:t>
            </w:r>
          </w:p>
        </w:tc>
        <w:tc>
          <w:tcPr>
            <w:tcW w:w="1623" w:type="dxa"/>
            <w:tcBorders>
              <w:top w:val="single" w:color="auto" w:sz="4" w:space="0"/>
              <w:left w:val="nil"/>
              <w:right w:val="single" w:color="auto" w:sz="4" w:space="0"/>
            </w:tcBorders>
            <w:vAlign w:val="center"/>
          </w:tcPr>
          <w:p>
            <w:pPr>
              <w:spacing w:line="360" w:lineRule="auto"/>
              <w:jc w:val="center"/>
              <w:rPr>
                <w:rFonts w:hint="eastAsia" w:ascii="宋体" w:hAnsi="宋体" w:eastAsia="宋体"/>
                <w:b/>
                <w:bCs/>
                <w:color w:val="auto"/>
                <w:sz w:val="24"/>
                <w:szCs w:val="24"/>
                <w:lang w:eastAsia="zh-CN"/>
              </w:rPr>
            </w:pPr>
            <w:r>
              <w:rPr>
                <w:rFonts w:hint="eastAsia" w:ascii="宋体" w:hAnsi="宋体"/>
                <w:b/>
                <w:bCs/>
                <w:color w:val="auto"/>
                <w:sz w:val="24"/>
                <w:szCs w:val="24"/>
              </w:rPr>
              <w:t>服务</w:t>
            </w:r>
            <w:r>
              <w:rPr>
                <w:rFonts w:hint="eastAsia" w:ascii="宋体" w:hAnsi="宋体"/>
                <w:b/>
                <w:bCs/>
                <w:color w:val="auto"/>
                <w:sz w:val="24"/>
                <w:szCs w:val="24"/>
                <w:lang w:eastAsia="zh-CN"/>
              </w:rPr>
              <w:t>期限</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hd w:val="clear" w:color="auto" w:fill="FFFFFF"/>
                <w:lang w:eastAsia="zh-CN"/>
              </w:rPr>
            </w:pPr>
            <w:r>
              <w:rPr>
                <w:rFonts w:hint="eastAsia" w:ascii="宋体" w:hAnsi="宋体" w:cs="宋体"/>
                <w:b/>
                <w:bCs/>
                <w:color w:val="auto"/>
                <w:lang w:val="en-US" w:eastAsia="zh-CN"/>
              </w:rPr>
              <w:t>365日历日（采用1+1+1模式</w:t>
            </w:r>
            <w:r>
              <w:rPr>
                <w:rFonts w:hint="eastAsia" w:ascii="宋体" w:hAnsi="宋体" w:cs="宋体"/>
                <w:color w:val="auto"/>
                <w:lang w:val="en-US" w:eastAsia="zh-CN"/>
              </w:rPr>
              <w:t>，服务期三年，合同一年一签。每年服务期末，采购人对中标服务单位进行考核，考核合格可续签合同，如考核不合格，采购人有权取消中标单位服务资格）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服务地点</w:t>
            </w:r>
          </w:p>
        </w:tc>
        <w:tc>
          <w:tcPr>
            <w:tcW w:w="641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w:t>
            </w:r>
            <w:r>
              <w:rPr>
                <w:rFonts w:hint="eastAsia" w:ascii="宋体" w:hAnsi="宋体" w:cs="宋体"/>
                <w:color w:val="000000" w:themeColor="text1"/>
                <w:shd w:val="clear" w:color="auto" w:fill="FFFFFF"/>
                <w:lang w:eastAsia="zh-CN"/>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4</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5</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w:t>
            </w:r>
            <w:r>
              <w:rPr>
                <w:rFonts w:hint="eastAsia" w:ascii="宋体" w:hAnsi="宋体" w:cs="宋体"/>
                <w:i w:val="0"/>
                <w:iCs w:val="0"/>
                <w:szCs w:val="21"/>
                <w:lang w:val="en-US" w:eastAsia="zh-CN"/>
              </w:rPr>
              <w:t>每完成一季度工作，经验收合格后，中标人应按要求提供派工单作为结算依据，按时报送结算和决算资料，以中标人编制的该项目工程结算经学院委托的第三方审计机构审核后确定的工程竣工结算审核价款</w:t>
            </w:r>
            <w:r>
              <w:rPr>
                <w:rFonts w:hint="eastAsia" w:ascii="宋体" w:hAnsi="宋体" w:cs="宋体"/>
                <w:b w:val="0"/>
                <w:bCs w:val="0"/>
                <w:i w:val="0"/>
                <w:iCs w:val="0"/>
                <w:color w:val="auto"/>
                <w:szCs w:val="21"/>
                <w:lang w:val="en-US" w:eastAsia="zh-CN"/>
              </w:rPr>
              <w:t>为</w:t>
            </w:r>
            <w:bookmarkStart w:id="24" w:name="OLE_LINK4"/>
            <w:r>
              <w:rPr>
                <w:rFonts w:hint="eastAsia" w:ascii="宋体" w:hAnsi="宋体" w:cs="宋体"/>
                <w:b w:val="0"/>
                <w:bCs w:val="0"/>
                <w:i w:val="0"/>
                <w:iCs w:val="0"/>
                <w:color w:val="auto"/>
                <w:szCs w:val="21"/>
                <w:lang w:val="en-US" w:eastAsia="zh-CN"/>
              </w:rPr>
              <w:t>依据，按照中标单位投标费率进行支付。</w:t>
            </w:r>
            <w:bookmarkEnd w:id="24"/>
            <w:r>
              <w:rPr>
                <w:rFonts w:hint="eastAsia" w:ascii="宋体" w:hAnsi="宋体" w:cs="宋体"/>
                <w:i w:val="0"/>
                <w:iCs w:val="0"/>
                <w:szCs w:val="21"/>
                <w:lang w:val="en-US" w:eastAsia="zh-CN"/>
              </w:rPr>
              <w:t>（如投标费率为 95%，最终支付价款为中标人编制的该项目工程结算经学院委托的第三方审计机构审核后确定的工程竣工结算审核价款的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6</w:t>
            </w:r>
          </w:p>
        </w:tc>
        <w:tc>
          <w:tcPr>
            <w:tcW w:w="1623"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Arial"/>
                <w:b/>
                <w:bCs/>
                <w:color w:val="000000" w:themeColor="text1"/>
                <w:sz w:val="24"/>
                <w:szCs w:val="24"/>
                <w:lang w:eastAsia="zh-CN"/>
                <w14:textFill>
                  <w14:solidFill>
                    <w14:schemeClr w14:val="tx1"/>
                  </w14:solidFill>
                </w14:textFill>
              </w:rPr>
              <w:t>履约保证金</w:t>
            </w:r>
          </w:p>
        </w:tc>
        <w:tc>
          <w:tcPr>
            <w:tcW w:w="641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default" w:ascii="宋体" w:hAnsi="宋体" w:cs="宋体"/>
                <w:b w:val="0"/>
                <w:bCs w:val="0"/>
                <w:i w:val="0"/>
                <w:iCs w:val="0"/>
                <w:color w:val="auto"/>
                <w:szCs w:val="21"/>
                <w:lang w:val="en-US" w:eastAsia="zh-CN"/>
              </w:rPr>
            </w:pPr>
            <w:bookmarkStart w:id="25" w:name="OLE_LINK5"/>
            <w:r>
              <w:rPr>
                <w:rFonts w:hint="eastAsia" w:ascii="宋体" w:hAnsi="宋体" w:cs="宋体"/>
                <w:b w:val="0"/>
                <w:bCs w:val="0"/>
                <w:i w:val="0"/>
                <w:iCs w:val="0"/>
                <w:color w:val="auto"/>
                <w:szCs w:val="21"/>
                <w:lang w:val="en-US" w:eastAsia="zh-CN"/>
              </w:rPr>
              <w:t>30000元：</w:t>
            </w:r>
            <w:r>
              <w:rPr>
                <w:rFonts w:hint="default" w:ascii="宋体" w:hAnsi="宋体" w:cs="宋体"/>
                <w:b w:val="0"/>
                <w:bCs w:val="0"/>
                <w:i w:val="0"/>
                <w:iCs w:val="0"/>
                <w:color w:val="auto"/>
                <w:szCs w:val="21"/>
                <w:lang w:val="en-US" w:eastAsia="zh-CN"/>
              </w:rPr>
              <w:t>签订合同前向采购人履约保证金。</w:t>
            </w:r>
          </w:p>
          <w:bookmarkEnd w:id="25"/>
          <w:p>
            <w:pPr>
              <w:spacing w:line="360" w:lineRule="auto"/>
              <w:rPr>
                <w:rFonts w:hint="eastAsia" w:ascii="宋体" w:hAnsi="宋体"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ascii="宋体" w:hAnsi="宋体" w:eastAsia="宋体" w:cs="宋体"/>
                <w:color w:val="000000" w:themeColor="text1"/>
                <w:shd w:val="clear" w:color="auto" w:fill="FFFFFF"/>
                <w:lang w:val="en-US" w:eastAsia="zh-CN"/>
                <w14:textFill>
                  <w14:solidFill>
                    <w14:schemeClr w14:val="tx1"/>
                  </w14:solidFill>
                </w14:textFill>
              </w:rPr>
              <w:t>履约保证金形式：转账、电汇、保函。</w:t>
            </w:r>
          </w:p>
        </w:tc>
      </w:tr>
    </w:tbl>
    <w:p>
      <w:pPr>
        <w:pStyle w:val="31"/>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6" w:name="_Toc511899300"/>
      <w:bookmarkEnd w:id="26"/>
      <w:bookmarkStart w:id="27" w:name="_Toc55"/>
      <w:r>
        <w:rPr>
          <w:rFonts w:hint="eastAsia" w:ascii="黑体"/>
          <w:color w:val="000000" w:themeColor="text1"/>
          <w14:textFill>
            <w14:solidFill>
              <w14:schemeClr w14:val="tx1"/>
            </w14:solidFill>
          </w14:textFill>
        </w:rPr>
        <w:t>第四章</w:t>
      </w:r>
      <w:bookmarkEnd w:id="27"/>
      <w:r>
        <w:rPr>
          <w:rFonts w:hint="eastAsia" w:ascii="黑体"/>
          <w:color w:val="000000" w:themeColor="text1"/>
          <w:lang w:eastAsia="zh-CN"/>
          <w14:textFill>
            <w14:solidFill>
              <w14:schemeClr w14:val="tx1"/>
            </w14:solidFill>
          </w14:textFill>
        </w:rPr>
        <w:t>、</w:t>
      </w:r>
      <w:r>
        <w:rPr>
          <w:rFonts w:hint="eastAsia" w:ascii="宋体" w:hAnsi="宋体" w:cs="宋体"/>
          <w:b/>
          <w:bCs/>
          <w:sz w:val="32"/>
          <w:szCs w:val="32"/>
        </w:rPr>
        <w:t>资格性和符合性审查</w:t>
      </w:r>
    </w:p>
    <w:p>
      <w:pPr>
        <w:pStyle w:val="7"/>
        <w:numPr>
          <w:ilvl w:val="0"/>
          <w:numId w:val="4"/>
        </w:numPr>
        <w:spacing w:before="0" w:after="0" w:line="415" w:lineRule="auto"/>
        <w:ind w:firstLine="2891" w:firstLineChars="900"/>
        <w:rPr>
          <w:rFonts w:hint="eastAsia"/>
          <w:color w:val="000000" w:themeColor="text1"/>
          <w14:textFill>
            <w14:solidFill>
              <w14:schemeClr w14:val="tx1"/>
            </w14:solidFill>
          </w14:textFill>
        </w:rPr>
      </w:pPr>
      <w:bookmarkStart w:id="28" w:name="_Toc3006"/>
      <w:bookmarkStart w:id="29" w:name="_Toc18817"/>
      <w:r>
        <w:rPr>
          <w:rFonts w:hint="eastAsia"/>
          <w:color w:val="000000" w:themeColor="text1"/>
          <w14:textFill>
            <w14:solidFill>
              <w14:schemeClr w14:val="tx1"/>
            </w14:solidFill>
          </w14:textFill>
        </w:rPr>
        <w:t>资格性审查表</w:t>
      </w:r>
      <w:bookmarkEnd w:id="28"/>
      <w:bookmarkEnd w:id="29"/>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序号</w:t>
            </w:r>
          </w:p>
        </w:tc>
        <w:tc>
          <w:tcPr>
            <w:tcW w:w="2127" w:type="dxa"/>
            <w:tcBorders>
              <w:bottom w:val="single" w:color="auto" w:sz="4" w:space="0"/>
            </w:tcBorders>
            <w:noWrap w:val="0"/>
            <w:vAlign w:val="center"/>
          </w:tcPr>
          <w:p>
            <w:pPr>
              <w:pStyle w:val="48"/>
              <w:pBdr>
                <w:bottom w:val="none" w:color="auto" w:sz="0" w:space="0"/>
              </w:pBdr>
              <w:snapToGrid w:val="0"/>
              <w:spacing w:line="360" w:lineRule="auto"/>
              <w:ind w:right="-10"/>
              <w:textAlignment w:val="auto"/>
              <w:rPr>
                <w:rFonts w:hint="eastAsia" w:ascii="宋体" w:hAnsi="宋体" w:cs="宋体"/>
                <w:kern w:val="2"/>
                <w:szCs w:val="24"/>
              </w:rPr>
            </w:pPr>
            <w:r>
              <w:rPr>
                <w:rFonts w:hint="eastAsia" w:ascii="宋体" w:hAnsi="宋体" w:cs="宋体"/>
                <w:kern w:val="2"/>
                <w:szCs w:val="24"/>
              </w:rPr>
              <w:t>指标名称</w:t>
            </w:r>
          </w:p>
        </w:tc>
        <w:tc>
          <w:tcPr>
            <w:tcW w:w="3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指标要求</w:t>
            </w:r>
          </w:p>
        </w:tc>
        <w:tc>
          <w:tcPr>
            <w:tcW w:w="2459" w:type="dxa"/>
            <w:tcBorders>
              <w:bottom w:val="single" w:color="auto" w:sz="4" w:space="0"/>
            </w:tcBorders>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1</w:t>
            </w:r>
          </w:p>
        </w:tc>
        <w:tc>
          <w:tcPr>
            <w:tcW w:w="2127" w:type="dxa"/>
            <w:noWrap w:val="0"/>
            <w:vAlign w:val="center"/>
          </w:tcPr>
          <w:p>
            <w:pPr>
              <w:spacing w:after="50" w:line="360" w:lineRule="auto"/>
              <w:ind w:right="-10"/>
              <w:jc w:val="center"/>
              <w:rPr>
                <w:rFonts w:hint="eastAsia" w:ascii="宋体" w:hAnsi="宋体" w:cs="宋体"/>
                <w:sz w:val="24"/>
                <w:szCs w:val="28"/>
              </w:rPr>
            </w:pPr>
            <w:r>
              <w:rPr>
                <w:rFonts w:hint="eastAsia" w:ascii="宋体" w:hAnsi="宋体" w:cs="宋体"/>
                <w:sz w:val="24"/>
                <w:szCs w:val="28"/>
              </w:rPr>
              <w:t>营业执照</w:t>
            </w:r>
          </w:p>
        </w:tc>
        <w:tc>
          <w:tcPr>
            <w:tcW w:w="3459" w:type="dxa"/>
            <w:noWrap w:val="0"/>
            <w:vAlign w:val="center"/>
          </w:tcPr>
          <w:p>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合法有效，符合</w:t>
            </w:r>
            <w:r>
              <w:rPr>
                <w:rFonts w:hint="eastAsia" w:ascii="宋体" w:hAnsi="宋体" w:cs="宋体"/>
                <w:sz w:val="24"/>
                <w:szCs w:val="28"/>
                <w:lang w:eastAsia="zh-CN"/>
              </w:rPr>
              <w:t>磋商</w:t>
            </w:r>
            <w:r>
              <w:rPr>
                <w:rFonts w:hint="eastAsia" w:ascii="宋体" w:hAnsi="宋体" w:cs="宋体"/>
                <w:sz w:val="24"/>
                <w:szCs w:val="28"/>
              </w:rPr>
              <w:t>文件第一章要求</w:t>
            </w:r>
          </w:p>
        </w:tc>
        <w:tc>
          <w:tcPr>
            <w:tcW w:w="2459" w:type="dxa"/>
            <w:vMerge w:val="restart"/>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提供有效的营业执照和税务登记证的（接受合一的证书），</w:t>
            </w:r>
            <w:r>
              <w:rPr>
                <w:rFonts w:hint="eastAsia" w:ascii="宋体" w:hAnsi="宋体" w:cs="宋体"/>
                <w:b/>
                <w:bCs/>
                <w:szCs w:val="21"/>
              </w:rPr>
              <w:t>应完整的体现出营业执照和税务登记证的全部内容。联合体</w:t>
            </w:r>
            <w:r>
              <w:rPr>
                <w:rFonts w:hint="eastAsia" w:ascii="宋体" w:hAnsi="宋体" w:cs="宋体"/>
                <w:b/>
                <w:bCs/>
                <w:szCs w:val="21"/>
                <w:lang w:eastAsia="zh-CN"/>
              </w:rPr>
              <w:t>磋商</w:t>
            </w:r>
            <w:r>
              <w:rPr>
                <w:rFonts w:hint="eastAsia" w:ascii="宋体" w:hAnsi="宋体" w:cs="宋体"/>
                <w:b/>
                <w:bCs/>
                <w:szCs w:val="21"/>
              </w:rPr>
              <w:t>采购的，联合体各方均须提供。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2</w:t>
            </w:r>
          </w:p>
        </w:tc>
        <w:tc>
          <w:tcPr>
            <w:tcW w:w="2127" w:type="dxa"/>
            <w:noWrap w:val="0"/>
            <w:vAlign w:val="center"/>
          </w:tcPr>
          <w:p>
            <w:pPr>
              <w:spacing w:after="50" w:line="360" w:lineRule="auto"/>
              <w:ind w:right="-10"/>
              <w:jc w:val="center"/>
              <w:rPr>
                <w:rFonts w:hint="eastAsia" w:ascii="宋体" w:hAnsi="宋体" w:cs="宋体"/>
                <w:sz w:val="24"/>
                <w:szCs w:val="28"/>
              </w:rPr>
            </w:pPr>
            <w:r>
              <w:rPr>
                <w:rFonts w:hint="eastAsia" w:ascii="宋体" w:hAnsi="宋体" w:cs="宋体"/>
                <w:sz w:val="24"/>
                <w:szCs w:val="28"/>
              </w:rPr>
              <w:t>税务登记证</w:t>
            </w:r>
          </w:p>
        </w:tc>
        <w:tc>
          <w:tcPr>
            <w:tcW w:w="3459" w:type="dxa"/>
            <w:noWrap w:val="0"/>
            <w:vAlign w:val="center"/>
          </w:tcPr>
          <w:p>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w:t>
            </w:r>
          </w:p>
        </w:tc>
        <w:tc>
          <w:tcPr>
            <w:tcW w:w="2459" w:type="dxa"/>
            <w:vMerge w:val="continue"/>
            <w:noWrap w:val="0"/>
            <w:vAlign w:val="center"/>
          </w:tcPr>
          <w:p>
            <w:pPr>
              <w:adjustRightInd w:val="0"/>
              <w:snapToGrid w:val="0"/>
              <w:spacing w:line="360" w:lineRule="auto"/>
              <w:ind w:right="-1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3</w:t>
            </w:r>
          </w:p>
        </w:tc>
        <w:tc>
          <w:tcPr>
            <w:tcW w:w="2127" w:type="dxa"/>
            <w:noWrap w:val="0"/>
            <w:vAlign w:val="center"/>
          </w:tcPr>
          <w:p>
            <w:pPr>
              <w:spacing w:line="360" w:lineRule="auto"/>
              <w:ind w:right="-10" w:rightChars="0"/>
              <w:jc w:val="center"/>
              <w:rPr>
                <w:rFonts w:hint="eastAsia" w:ascii="宋体" w:hAnsi="宋体" w:eastAsia="宋体" w:cs="宋体"/>
                <w:szCs w:val="21"/>
                <w:lang w:val="en-US" w:eastAsia="zh-CN"/>
              </w:rPr>
            </w:pPr>
            <w:r>
              <w:rPr>
                <w:rFonts w:hint="eastAsia" w:ascii="宋体" w:hAnsi="宋体"/>
                <w:szCs w:val="21"/>
              </w:rPr>
              <w:t>财务状况</w:t>
            </w:r>
          </w:p>
        </w:tc>
        <w:tc>
          <w:tcPr>
            <w:tcW w:w="3459" w:type="dxa"/>
            <w:noWrap w:val="0"/>
            <w:vAlign w:val="center"/>
          </w:tcPr>
          <w:p>
            <w:pPr>
              <w:spacing w:line="360" w:lineRule="auto"/>
              <w:ind w:right="-10" w:rightChars="0"/>
              <w:jc w:val="center"/>
              <w:rPr>
                <w:rFonts w:hint="eastAsia" w:ascii="宋体" w:hAnsi="宋体" w:eastAsia="宋体" w:cs="宋体"/>
                <w:sz w:val="24"/>
                <w:szCs w:val="28"/>
                <w:lang w:eastAsia="zh-CN"/>
              </w:rPr>
            </w:pPr>
            <w:r>
              <w:rPr>
                <w:rFonts w:hint="eastAsia" w:ascii="宋体" w:hAnsi="宋体"/>
              </w:rPr>
              <w:t>财务状况声明函</w:t>
            </w:r>
          </w:p>
        </w:tc>
        <w:tc>
          <w:tcPr>
            <w:tcW w:w="2459" w:type="dxa"/>
            <w:noWrap w:val="0"/>
            <w:vAlign w:val="center"/>
          </w:tcPr>
          <w:p>
            <w:pPr>
              <w:adjustRightInd w:val="0"/>
              <w:snapToGrid w:val="0"/>
              <w:spacing w:line="360" w:lineRule="auto"/>
              <w:ind w:right="-10" w:rightChars="0"/>
              <w:jc w:val="center"/>
              <w:rPr>
                <w:rFonts w:hint="eastAsia" w:ascii="宋体" w:hAnsi="宋体" w:cs="宋体"/>
                <w:sz w:val="24"/>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4</w:t>
            </w:r>
          </w:p>
        </w:tc>
        <w:tc>
          <w:tcPr>
            <w:tcW w:w="2127" w:type="dxa"/>
            <w:noWrap w:val="0"/>
            <w:vAlign w:val="center"/>
          </w:tcPr>
          <w:p>
            <w:pPr>
              <w:ind w:right="-11" w:rightChars="0"/>
              <w:jc w:val="center"/>
              <w:rPr>
                <w:rFonts w:hint="eastAsia" w:ascii="宋体" w:hAnsi="宋体" w:cs="宋体"/>
                <w:szCs w:val="21"/>
              </w:rPr>
            </w:pPr>
            <w:r>
              <w:rPr>
                <w:rFonts w:hint="eastAsia" w:ascii="宋体" w:hAnsi="宋体"/>
                <w:szCs w:val="21"/>
              </w:rPr>
              <w:t>依法缴纳税收</w:t>
            </w:r>
          </w:p>
        </w:tc>
        <w:tc>
          <w:tcPr>
            <w:tcW w:w="3459" w:type="dxa"/>
            <w:noWrap w:val="0"/>
            <w:vAlign w:val="center"/>
          </w:tcPr>
          <w:p>
            <w:pPr>
              <w:spacing w:line="360" w:lineRule="auto"/>
              <w:ind w:right="-10" w:rightChars="0"/>
              <w:jc w:val="center"/>
              <w:rPr>
                <w:rFonts w:hint="eastAsia" w:ascii="宋体" w:hAnsi="宋体" w:cs="宋体"/>
                <w:sz w:val="24"/>
                <w:szCs w:val="28"/>
              </w:rPr>
            </w:pPr>
            <w:r>
              <w:rPr>
                <w:rFonts w:hint="eastAsia" w:ascii="宋体" w:hAnsi="宋体"/>
              </w:rPr>
              <w:t>依法缴纳税收的声明函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sz w:val="24"/>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5</w:t>
            </w:r>
          </w:p>
        </w:tc>
        <w:tc>
          <w:tcPr>
            <w:tcW w:w="2127" w:type="dxa"/>
            <w:noWrap w:val="0"/>
            <w:vAlign w:val="center"/>
          </w:tcPr>
          <w:p>
            <w:pPr>
              <w:spacing w:line="360" w:lineRule="exact"/>
              <w:ind w:right="-11" w:rightChars="0"/>
              <w:jc w:val="center"/>
              <w:rPr>
                <w:rFonts w:hint="eastAsia" w:ascii="宋体" w:hAnsi="宋体" w:cs="宋体"/>
                <w:szCs w:val="21"/>
              </w:rPr>
            </w:pPr>
            <w:r>
              <w:rPr>
                <w:rFonts w:hint="eastAsia" w:ascii="宋体" w:hAnsi="宋体"/>
                <w:szCs w:val="21"/>
              </w:rPr>
              <w:t>依法缴纳社会保障资金</w:t>
            </w:r>
          </w:p>
        </w:tc>
        <w:tc>
          <w:tcPr>
            <w:tcW w:w="3459" w:type="dxa"/>
            <w:noWrap w:val="0"/>
            <w:vAlign w:val="center"/>
          </w:tcPr>
          <w:p>
            <w:pPr>
              <w:spacing w:line="360" w:lineRule="auto"/>
              <w:ind w:right="-10" w:rightChars="0"/>
              <w:jc w:val="center"/>
              <w:rPr>
                <w:rFonts w:hint="eastAsia" w:ascii="宋体" w:hAnsi="宋体" w:cs="宋体"/>
                <w:bCs/>
                <w:szCs w:val="21"/>
              </w:rPr>
            </w:pPr>
            <w:r>
              <w:rPr>
                <w:rFonts w:hint="eastAsia" w:ascii="宋体" w:hAnsi="宋体"/>
              </w:rPr>
              <w:t>依法缴纳社会保障资金的声明函</w:t>
            </w:r>
          </w:p>
        </w:tc>
        <w:tc>
          <w:tcPr>
            <w:tcW w:w="2459" w:type="dxa"/>
            <w:noWrap w:val="0"/>
            <w:vAlign w:val="center"/>
          </w:tcPr>
          <w:p>
            <w:pPr>
              <w:adjustRightInd w:val="0"/>
              <w:snapToGrid w:val="0"/>
              <w:spacing w:line="360" w:lineRule="auto"/>
              <w:ind w:right="-10" w:rightChars="0"/>
              <w:jc w:val="center"/>
              <w:rPr>
                <w:rFonts w:hint="eastAsia" w:ascii="宋体" w:hAnsi="宋体" w:cs="宋体"/>
                <w:sz w:val="24"/>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6</w:t>
            </w:r>
          </w:p>
        </w:tc>
        <w:tc>
          <w:tcPr>
            <w:tcW w:w="2127" w:type="dxa"/>
            <w:noWrap w:val="0"/>
            <w:vAlign w:val="center"/>
          </w:tcPr>
          <w:p>
            <w:pPr>
              <w:spacing w:line="360" w:lineRule="exact"/>
              <w:ind w:right="-11" w:rightChars="0"/>
              <w:jc w:val="center"/>
              <w:rPr>
                <w:rFonts w:hint="eastAsia" w:ascii="宋体" w:hAnsi="宋体" w:cs="宋体"/>
                <w:szCs w:val="21"/>
              </w:rPr>
            </w:pPr>
            <w:r>
              <w:rPr>
                <w:rFonts w:hint="eastAsia" w:ascii="宋体" w:hAnsi="宋体"/>
                <w:szCs w:val="21"/>
              </w:rPr>
              <w:t>具备履行合同所必须的设备和专业技术能力</w:t>
            </w:r>
          </w:p>
        </w:tc>
        <w:tc>
          <w:tcPr>
            <w:tcW w:w="3459" w:type="dxa"/>
            <w:noWrap w:val="0"/>
            <w:vAlign w:val="center"/>
          </w:tcPr>
          <w:p>
            <w:pPr>
              <w:spacing w:line="360" w:lineRule="auto"/>
              <w:ind w:right="-10" w:rightChars="0"/>
              <w:jc w:val="center"/>
              <w:rPr>
                <w:rFonts w:hint="eastAsia" w:ascii="宋体" w:hAnsi="宋体" w:cs="宋体"/>
                <w:sz w:val="24"/>
                <w:szCs w:val="28"/>
              </w:rPr>
            </w:pPr>
            <w:r>
              <w:rPr>
                <w:rFonts w:hint="eastAsia" w:ascii="宋体" w:hAnsi="宋体"/>
              </w:rPr>
              <w:t>具备履行合同所必须的设备和专业技术能力声明函</w:t>
            </w:r>
          </w:p>
        </w:tc>
        <w:tc>
          <w:tcPr>
            <w:tcW w:w="2459" w:type="dxa"/>
            <w:noWrap w:val="0"/>
            <w:vAlign w:val="center"/>
          </w:tcPr>
          <w:p>
            <w:pPr>
              <w:adjustRightInd w:val="0"/>
              <w:snapToGrid w:val="0"/>
              <w:spacing w:line="360" w:lineRule="auto"/>
              <w:ind w:right="-10" w:rightChars="0"/>
              <w:jc w:val="center"/>
              <w:rPr>
                <w:rFonts w:hint="eastAsia" w:ascii="宋体" w:hAnsi="宋体" w:cs="宋体"/>
                <w:sz w:val="24"/>
              </w:rPr>
            </w:pPr>
            <w:r>
              <w:rPr>
                <w:rFonts w:hint="eastAsia" w:ascii="宋体" w:hAnsi="宋体"/>
              </w:rPr>
              <w:t>供应商自行出具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7</w:t>
            </w:r>
          </w:p>
        </w:tc>
        <w:tc>
          <w:tcPr>
            <w:tcW w:w="2127"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lang w:eastAsia="zh-CN"/>
              </w:rPr>
              <w:t>磋商</w:t>
            </w:r>
            <w:r>
              <w:rPr>
                <w:rFonts w:hint="eastAsia" w:ascii="宋体" w:hAnsi="宋体" w:cs="宋体"/>
                <w:szCs w:val="21"/>
              </w:rPr>
              <w:t>保证金</w:t>
            </w:r>
          </w:p>
        </w:tc>
        <w:tc>
          <w:tcPr>
            <w:tcW w:w="3459" w:type="dxa"/>
            <w:noWrap w:val="0"/>
            <w:vAlign w:val="center"/>
          </w:tcPr>
          <w:p>
            <w:pPr>
              <w:spacing w:after="50" w:line="360" w:lineRule="auto"/>
              <w:ind w:right="-10"/>
              <w:jc w:val="center"/>
              <w:rPr>
                <w:rFonts w:hint="eastAsia" w:ascii="宋体" w:hAnsi="宋体" w:eastAsia="宋体" w:cs="宋体"/>
                <w:szCs w:val="21"/>
                <w:lang w:eastAsia="zh-CN"/>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w:t>
            </w:r>
            <w:r>
              <w:rPr>
                <w:rFonts w:hint="eastAsia" w:ascii="宋体" w:hAnsi="宋体" w:cs="宋体"/>
                <w:szCs w:val="21"/>
                <w:lang w:eastAsia="zh-CN"/>
              </w:rPr>
              <w:t>前附表需求</w:t>
            </w:r>
          </w:p>
        </w:tc>
        <w:tc>
          <w:tcPr>
            <w:tcW w:w="2459" w:type="dxa"/>
            <w:noWrap w:val="0"/>
            <w:vAlign w:val="center"/>
          </w:tcPr>
          <w:p>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lang w:eastAsia="zh-CN"/>
              </w:rPr>
              <w:t>磋商保证金承诺函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 xml:space="preserve">8 </w:t>
            </w:r>
          </w:p>
        </w:tc>
        <w:tc>
          <w:tcPr>
            <w:tcW w:w="2127" w:type="dxa"/>
            <w:noWrap w:val="0"/>
            <w:vAlign w:val="center"/>
          </w:tcPr>
          <w:p>
            <w:pPr>
              <w:spacing w:after="50" w:line="360" w:lineRule="auto"/>
              <w:ind w:right="-10"/>
              <w:jc w:val="center"/>
              <w:rPr>
                <w:rFonts w:hint="default" w:ascii="宋体" w:hAnsi="宋体" w:cs="宋体"/>
                <w:szCs w:val="21"/>
                <w:lang w:val="en-US"/>
              </w:rPr>
            </w:pPr>
            <w:r>
              <w:rPr>
                <w:rFonts w:hint="eastAsia" w:ascii="宋体" w:hAnsi="宋体" w:cs="宋体"/>
                <w:szCs w:val="21"/>
                <w:lang w:val="en-US" w:eastAsia="zh-CN"/>
              </w:rPr>
              <w:t>投标情况</w:t>
            </w:r>
          </w:p>
        </w:tc>
        <w:tc>
          <w:tcPr>
            <w:tcW w:w="3459" w:type="dxa"/>
            <w:noWrap w:val="0"/>
            <w:vAlign w:val="center"/>
          </w:tcPr>
          <w:p>
            <w:pPr>
              <w:spacing w:after="50" w:line="360" w:lineRule="auto"/>
              <w:ind w:right="-10"/>
              <w:jc w:val="center"/>
              <w:rPr>
                <w:rFonts w:hint="eastAsia" w:ascii="宋体" w:hAnsi="宋体" w:cs="宋体"/>
                <w:szCs w:val="21"/>
              </w:rPr>
            </w:pPr>
            <w:r>
              <w:rPr>
                <w:rFonts w:hint="eastAsia"/>
                <w:b/>
                <w:bCs/>
                <w:color w:val="FF0000"/>
              </w:rPr>
              <w:t>供应商须在学校进行报名，否则其递交的投标响应文件将被视为无效</w:t>
            </w:r>
          </w:p>
        </w:tc>
        <w:tc>
          <w:tcPr>
            <w:tcW w:w="2459" w:type="dxa"/>
            <w:noWrap w:val="0"/>
            <w:vAlign w:val="center"/>
          </w:tcPr>
          <w:p>
            <w:pPr>
              <w:adjustRightInd w:val="0"/>
              <w:snapToGrid w:val="0"/>
              <w:spacing w:line="360" w:lineRule="auto"/>
              <w:ind w:right="-1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9</w:t>
            </w:r>
          </w:p>
        </w:tc>
        <w:tc>
          <w:tcPr>
            <w:tcW w:w="2127"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rPr>
              <w:t>法定代表人授权委托书和身份证明书</w:t>
            </w:r>
          </w:p>
        </w:tc>
        <w:tc>
          <w:tcPr>
            <w:tcW w:w="3459"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文件要求</w:t>
            </w:r>
          </w:p>
        </w:tc>
        <w:tc>
          <w:tcPr>
            <w:tcW w:w="2459" w:type="dxa"/>
            <w:noWrap w:val="0"/>
            <w:vAlign w:val="center"/>
          </w:tcPr>
          <w:p>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法人代表参加</w:t>
            </w:r>
            <w:r>
              <w:rPr>
                <w:rFonts w:hint="eastAsia" w:ascii="宋体" w:hAnsi="宋体" w:cs="宋体"/>
                <w:szCs w:val="21"/>
                <w:lang w:eastAsia="zh-CN"/>
              </w:rPr>
              <w:t>磋商</w:t>
            </w:r>
            <w:r>
              <w:rPr>
                <w:rFonts w:hint="eastAsia" w:ascii="宋体" w:hAnsi="宋体" w:cs="宋体"/>
                <w:szCs w:val="21"/>
              </w:rPr>
              <w:t>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2127" w:type="dxa"/>
            <w:noWrap w:val="0"/>
            <w:vAlign w:val="center"/>
          </w:tcPr>
          <w:p>
            <w:pPr>
              <w:spacing w:after="50" w:line="360" w:lineRule="auto"/>
              <w:ind w:right="-10"/>
              <w:jc w:val="center"/>
              <w:rPr>
                <w:rFonts w:hint="eastAsia" w:ascii="宋体" w:hAnsi="宋体" w:cs="宋体"/>
                <w:b/>
                <w:szCs w:val="21"/>
              </w:rPr>
            </w:pPr>
            <w:r>
              <w:rPr>
                <w:rFonts w:hint="eastAsia" w:ascii="宋体" w:hAnsi="宋体" w:cs="宋体"/>
                <w:szCs w:val="21"/>
              </w:rPr>
              <w:t>联合体</w:t>
            </w:r>
            <w:r>
              <w:rPr>
                <w:rFonts w:hint="eastAsia" w:ascii="宋体" w:hAnsi="宋体" w:cs="宋体"/>
                <w:szCs w:val="21"/>
                <w:lang w:eastAsia="zh-CN"/>
              </w:rPr>
              <w:t>磋商</w:t>
            </w:r>
            <w:r>
              <w:rPr>
                <w:rFonts w:hint="eastAsia" w:ascii="宋体" w:hAnsi="宋体" w:cs="宋体"/>
                <w:szCs w:val="21"/>
              </w:rPr>
              <w:t>采购</w:t>
            </w:r>
          </w:p>
        </w:tc>
        <w:tc>
          <w:tcPr>
            <w:tcW w:w="3459" w:type="dxa"/>
            <w:noWrap w:val="0"/>
            <w:vAlign w:val="center"/>
          </w:tcPr>
          <w:p>
            <w:pPr>
              <w:spacing w:after="50" w:line="360" w:lineRule="auto"/>
              <w:ind w:right="-10"/>
              <w:jc w:val="center"/>
              <w:rPr>
                <w:rFonts w:hint="eastAsia" w:ascii="宋体" w:hAnsi="宋体" w:cs="宋体"/>
                <w:szCs w:val="21"/>
              </w:rPr>
            </w:pPr>
            <w:r>
              <w:rPr>
                <w:rFonts w:hint="eastAsia" w:ascii="宋体" w:hAnsi="宋体" w:cs="宋体"/>
                <w:szCs w:val="21"/>
              </w:rPr>
              <w:t>符合第一章供应商资格要求</w:t>
            </w:r>
          </w:p>
        </w:tc>
        <w:tc>
          <w:tcPr>
            <w:tcW w:w="2459" w:type="dxa"/>
            <w:noWrap w:val="0"/>
            <w:vAlign w:val="center"/>
          </w:tcPr>
          <w:p>
            <w:pPr>
              <w:adjustRightInd w:val="0"/>
              <w:snapToGrid w:val="0"/>
              <w:spacing w:line="360" w:lineRule="auto"/>
              <w:ind w:right="-10"/>
              <w:jc w:val="center"/>
              <w:rPr>
                <w:rFonts w:hint="eastAsia" w:ascii="宋体" w:hAnsi="宋体" w:cs="宋体"/>
                <w:sz w:val="24"/>
              </w:rPr>
            </w:pPr>
            <w:r>
              <w:rPr>
                <w:rFonts w:hint="eastAsia" w:ascii="宋体" w:hAnsi="宋体" w:cs="宋体"/>
                <w:sz w:val="24"/>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2127" w:type="dxa"/>
            <w:noWrap w:val="0"/>
            <w:vAlign w:val="center"/>
          </w:tcPr>
          <w:p>
            <w:pPr>
              <w:spacing w:line="360" w:lineRule="auto"/>
              <w:ind w:right="-10"/>
              <w:jc w:val="center"/>
              <w:rPr>
                <w:rFonts w:hint="eastAsia" w:ascii="宋体" w:hAnsi="宋体" w:cs="宋体"/>
                <w:b/>
                <w:szCs w:val="21"/>
              </w:rPr>
            </w:pPr>
            <w:r>
              <w:rPr>
                <w:rFonts w:hint="eastAsia" w:ascii="宋体" w:hAnsi="宋体" w:cs="宋体"/>
                <w:b/>
                <w:bCs/>
                <w:szCs w:val="21"/>
              </w:rPr>
              <w:t>信誉要求</w:t>
            </w:r>
          </w:p>
        </w:tc>
        <w:tc>
          <w:tcPr>
            <w:tcW w:w="3459" w:type="dxa"/>
            <w:noWrap w:val="0"/>
            <w:vAlign w:val="center"/>
          </w:tcPr>
          <w:p>
            <w:pPr>
              <w:spacing w:line="400" w:lineRule="exact"/>
              <w:ind w:right="-11"/>
              <w:jc w:val="center"/>
              <w:rPr>
                <w:rFonts w:hint="eastAsia" w:ascii="宋体" w:hAnsi="宋体" w:cs="宋体"/>
                <w:szCs w:val="21"/>
              </w:rPr>
            </w:pPr>
            <w:r>
              <w:rPr>
                <w:rFonts w:hint="eastAsia" w:ascii="宋体" w:hAnsi="宋体" w:cs="宋体"/>
                <w:b/>
                <w:bCs/>
                <w:szCs w:val="21"/>
                <w:lang w:eastAsia="zh-CN"/>
              </w:rPr>
              <w:t>符合</w:t>
            </w: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pPr>
              <w:adjustRightInd w:val="0"/>
              <w:snapToGrid w:val="0"/>
              <w:spacing w:line="360" w:lineRule="auto"/>
              <w:ind w:right="-10"/>
              <w:jc w:val="left"/>
              <w:rPr>
                <w:rFonts w:hint="eastAsia" w:ascii="宋体" w:hAnsi="宋体" w:eastAsia="宋体" w:cs="宋体"/>
                <w:sz w:val="24"/>
                <w:lang w:eastAsia="zh-CN"/>
              </w:rPr>
            </w:pPr>
            <w:r>
              <w:rPr>
                <w:rFonts w:hint="eastAsia" w:ascii="宋体" w:hAnsi="宋体" w:cs="宋体"/>
                <w:b/>
                <w:bCs/>
                <w:szCs w:val="21"/>
              </w:rPr>
              <w:t>按</w:t>
            </w:r>
            <w:r>
              <w:rPr>
                <w:rFonts w:hint="eastAsia" w:ascii="宋体" w:hAnsi="宋体" w:cs="宋体"/>
                <w:b/>
                <w:bCs/>
                <w:szCs w:val="21"/>
                <w:lang w:eastAsia="zh-CN"/>
              </w:rPr>
              <w:t>磋商</w:t>
            </w:r>
            <w:r>
              <w:rPr>
                <w:rFonts w:hint="eastAsia" w:ascii="宋体" w:hAnsi="宋体" w:cs="宋体"/>
                <w:b/>
                <w:bCs/>
                <w:szCs w:val="21"/>
              </w:rPr>
              <w:t>公告第二.3条要求提供相关资料（网站查询结果</w:t>
            </w:r>
            <w:r>
              <w:rPr>
                <w:rFonts w:hint="eastAsia" w:ascii="宋体" w:hAnsi="宋体" w:cs="宋体"/>
                <w:b/>
                <w:bCs/>
                <w:szCs w:val="21"/>
                <w:lang w:eastAsia="zh-CN"/>
              </w:rPr>
              <w:t>截图</w:t>
            </w:r>
            <w:r>
              <w:rPr>
                <w:rFonts w:hint="eastAsia" w:ascii="宋体" w:hAnsi="宋体" w:cs="宋体"/>
                <w:b/>
                <w:bCs/>
                <w:szCs w:val="21"/>
              </w:rPr>
              <w:t>）</w:t>
            </w:r>
            <w:r>
              <w:rPr>
                <w:rFonts w:hint="eastAsia" w:ascii="宋体" w:hAnsi="宋体" w:cs="宋体"/>
                <w:b/>
                <w:bCs/>
                <w:szCs w:val="21"/>
                <w:lang w:eastAsia="zh-CN"/>
              </w:rPr>
              <w:t>附于投标文件内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2127" w:type="dxa"/>
            <w:noWrap w:val="0"/>
            <w:vAlign w:val="center"/>
          </w:tcPr>
          <w:p>
            <w:pPr>
              <w:spacing w:line="360" w:lineRule="auto"/>
              <w:ind w:right="-10"/>
              <w:jc w:val="center"/>
              <w:rPr>
                <w:rFonts w:hint="eastAsia" w:ascii="宋体" w:hAnsi="宋体" w:cs="宋体"/>
                <w:b/>
                <w:szCs w:val="21"/>
              </w:rPr>
            </w:pPr>
            <w:r>
              <w:rPr>
                <w:rFonts w:hint="eastAsia" w:ascii="宋体" w:hAnsi="宋体" w:cs="宋体"/>
                <w:b/>
                <w:bCs/>
                <w:color w:val="111111"/>
                <w:sz w:val="24"/>
                <w:szCs w:val="24"/>
              </w:rPr>
              <w:t>无行贿犯罪记录承诺函</w:t>
            </w:r>
          </w:p>
        </w:tc>
        <w:tc>
          <w:tcPr>
            <w:tcW w:w="3459" w:type="dxa"/>
            <w:noWrap w:val="0"/>
            <w:vAlign w:val="center"/>
          </w:tcPr>
          <w:p>
            <w:pPr>
              <w:spacing w:line="400" w:lineRule="exact"/>
              <w:ind w:right="-11"/>
              <w:jc w:val="center"/>
              <w:rPr>
                <w:rFonts w:hint="eastAsia" w:ascii="宋体" w:hAnsi="宋体" w:cs="宋体"/>
                <w:b/>
                <w:bCs/>
                <w:szCs w:val="21"/>
              </w:rPr>
            </w:pPr>
            <w:r>
              <w:rPr>
                <w:rFonts w:hint="eastAsia" w:ascii="宋体" w:hAnsi="宋体" w:cs="宋体"/>
                <w:b/>
                <w:bCs/>
                <w:szCs w:val="21"/>
                <w:lang w:eastAsia="zh-CN"/>
              </w:rPr>
              <w:t>符合</w:t>
            </w: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pPr>
              <w:adjustRightInd w:val="0"/>
              <w:snapToGrid w:val="0"/>
              <w:spacing w:line="360" w:lineRule="auto"/>
              <w:ind w:right="-10"/>
              <w:jc w:val="left"/>
              <w:rPr>
                <w:rFonts w:hint="eastAsia" w:ascii="宋体" w:hAnsi="宋体" w:cs="宋体"/>
                <w:b/>
                <w:bCs/>
                <w:sz w:val="24"/>
              </w:rPr>
            </w:pPr>
            <w:r>
              <w:rPr>
                <w:rFonts w:hint="eastAsia" w:ascii="宋体" w:hAnsi="宋体" w:cs="宋体"/>
                <w:b/>
                <w:bCs/>
                <w:sz w:val="24"/>
              </w:rPr>
              <w:t>提供承诺函，添加至投标文件内，格式自拟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2127" w:type="dxa"/>
            <w:noWrap w:val="0"/>
            <w:vAlign w:val="center"/>
          </w:tcPr>
          <w:p>
            <w:pPr>
              <w:spacing w:line="360" w:lineRule="auto"/>
              <w:ind w:right="-10"/>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供应商资格</w:t>
            </w:r>
          </w:p>
        </w:tc>
        <w:tc>
          <w:tcPr>
            <w:tcW w:w="3459" w:type="dxa"/>
            <w:noWrap w:val="0"/>
            <w:vAlign w:val="center"/>
          </w:tcPr>
          <w:p>
            <w:pPr>
              <w:spacing w:line="400" w:lineRule="exact"/>
              <w:ind w:right="-11"/>
              <w:jc w:val="center"/>
              <w:rPr>
                <w:rFonts w:hint="eastAsia" w:ascii="宋体" w:hAnsi="宋体" w:cs="宋体"/>
                <w:b/>
                <w:bCs/>
                <w:color w:val="auto"/>
                <w:szCs w:val="21"/>
              </w:rPr>
            </w:pPr>
            <w:r>
              <w:rPr>
                <w:rFonts w:hint="eastAsia" w:ascii="宋体" w:hAnsi="宋体" w:cs="宋体"/>
                <w:b/>
                <w:bCs/>
                <w:color w:val="auto"/>
                <w:szCs w:val="21"/>
                <w:lang w:eastAsia="zh-CN"/>
              </w:rPr>
              <w:t>符合</w:t>
            </w:r>
            <w:r>
              <w:rPr>
                <w:rFonts w:hint="eastAsia" w:ascii="宋体" w:hAnsi="宋体" w:cs="宋体"/>
                <w:b/>
                <w:bCs/>
                <w:color w:val="auto"/>
                <w:szCs w:val="21"/>
              </w:rPr>
              <w:t>竞争性</w:t>
            </w:r>
            <w:r>
              <w:rPr>
                <w:rFonts w:hint="eastAsia" w:ascii="宋体" w:hAnsi="宋体" w:cs="宋体"/>
                <w:b/>
                <w:bCs/>
                <w:color w:val="auto"/>
                <w:szCs w:val="21"/>
                <w:lang w:eastAsia="zh-CN"/>
              </w:rPr>
              <w:t>磋商</w:t>
            </w:r>
            <w:r>
              <w:rPr>
                <w:rFonts w:hint="eastAsia" w:ascii="宋体" w:hAnsi="宋体" w:cs="宋体"/>
                <w:b/>
                <w:bCs/>
                <w:color w:val="auto"/>
                <w:szCs w:val="21"/>
              </w:rPr>
              <w:t>公告第二.</w:t>
            </w:r>
            <w:r>
              <w:rPr>
                <w:rFonts w:hint="eastAsia" w:ascii="宋体" w:hAnsi="宋体" w:cs="宋体"/>
                <w:b/>
                <w:bCs/>
                <w:color w:val="auto"/>
                <w:szCs w:val="21"/>
                <w:lang w:val="en-US" w:eastAsia="zh-CN"/>
              </w:rPr>
              <w:t>5</w:t>
            </w:r>
            <w:r>
              <w:rPr>
                <w:rFonts w:hint="eastAsia" w:ascii="宋体" w:hAnsi="宋体" w:cs="宋体"/>
                <w:b/>
                <w:bCs/>
                <w:color w:val="auto"/>
                <w:szCs w:val="21"/>
              </w:rPr>
              <w:t>条要求</w:t>
            </w:r>
          </w:p>
        </w:tc>
        <w:tc>
          <w:tcPr>
            <w:tcW w:w="2459" w:type="dxa"/>
            <w:noWrap w:val="0"/>
            <w:vAlign w:val="center"/>
          </w:tcPr>
          <w:p>
            <w:pPr>
              <w:adjustRightInd w:val="0"/>
              <w:snapToGrid w:val="0"/>
              <w:spacing w:line="360" w:lineRule="auto"/>
              <w:ind w:right="-10"/>
              <w:jc w:val="left"/>
              <w:rPr>
                <w:rFonts w:hint="eastAsia" w:ascii="宋体" w:hAnsi="宋体" w:eastAsia="宋体" w:cs="宋体"/>
                <w:b/>
                <w:bCs/>
                <w:color w:val="FF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cs="宋体"/>
                <w:sz w:val="24"/>
                <w:lang w:val="en-US" w:eastAsia="zh-CN"/>
              </w:rPr>
            </w:pPr>
            <w:r>
              <w:rPr>
                <w:rFonts w:hint="eastAsia" w:ascii="宋体" w:hAnsi="宋体" w:cs="宋体"/>
                <w:sz w:val="24"/>
                <w:lang w:val="en-US" w:eastAsia="zh-CN"/>
              </w:rPr>
              <w:t>14</w:t>
            </w:r>
          </w:p>
        </w:tc>
        <w:tc>
          <w:tcPr>
            <w:tcW w:w="2127" w:type="dxa"/>
            <w:noWrap w:val="0"/>
            <w:vAlign w:val="center"/>
          </w:tcPr>
          <w:p>
            <w:pPr>
              <w:spacing w:line="360" w:lineRule="auto"/>
              <w:ind w:right="-10"/>
              <w:jc w:val="center"/>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项目负责人资格</w:t>
            </w:r>
          </w:p>
        </w:tc>
        <w:tc>
          <w:tcPr>
            <w:tcW w:w="3459" w:type="dxa"/>
            <w:noWrap w:val="0"/>
            <w:vAlign w:val="center"/>
          </w:tcPr>
          <w:p>
            <w:pPr>
              <w:spacing w:line="400" w:lineRule="exact"/>
              <w:ind w:right="-11"/>
              <w:jc w:val="center"/>
              <w:rPr>
                <w:rFonts w:hint="eastAsia" w:ascii="宋体" w:hAnsi="宋体" w:cs="宋体"/>
                <w:b/>
                <w:bCs/>
                <w:color w:val="auto"/>
                <w:szCs w:val="21"/>
              </w:rPr>
            </w:pPr>
            <w:r>
              <w:rPr>
                <w:rFonts w:hint="eastAsia" w:ascii="宋体" w:hAnsi="宋体" w:cs="宋体"/>
                <w:b/>
                <w:bCs/>
                <w:color w:val="auto"/>
                <w:szCs w:val="21"/>
                <w:lang w:eastAsia="zh-CN"/>
              </w:rPr>
              <w:t>复合</w:t>
            </w:r>
            <w:r>
              <w:rPr>
                <w:rFonts w:hint="eastAsia" w:ascii="宋体" w:hAnsi="宋体" w:cs="宋体"/>
                <w:b/>
                <w:bCs/>
                <w:color w:val="auto"/>
                <w:szCs w:val="21"/>
              </w:rPr>
              <w:t>竞争性</w:t>
            </w:r>
            <w:r>
              <w:rPr>
                <w:rFonts w:hint="eastAsia" w:ascii="宋体" w:hAnsi="宋体" w:cs="宋体"/>
                <w:b/>
                <w:bCs/>
                <w:color w:val="auto"/>
                <w:szCs w:val="21"/>
                <w:lang w:eastAsia="zh-CN"/>
              </w:rPr>
              <w:t>磋商</w:t>
            </w:r>
            <w:r>
              <w:rPr>
                <w:rFonts w:hint="eastAsia" w:ascii="宋体" w:hAnsi="宋体" w:cs="宋体"/>
                <w:b/>
                <w:bCs/>
                <w:color w:val="auto"/>
                <w:szCs w:val="21"/>
              </w:rPr>
              <w:t>公告第二.</w:t>
            </w:r>
            <w:r>
              <w:rPr>
                <w:rFonts w:hint="eastAsia" w:ascii="宋体" w:hAnsi="宋体" w:cs="宋体"/>
                <w:b/>
                <w:bCs/>
                <w:color w:val="auto"/>
                <w:szCs w:val="21"/>
                <w:lang w:val="en-US" w:eastAsia="zh-CN"/>
              </w:rPr>
              <w:t>6</w:t>
            </w:r>
            <w:r>
              <w:rPr>
                <w:rFonts w:hint="eastAsia" w:ascii="宋体" w:hAnsi="宋体" w:cs="宋体"/>
                <w:b/>
                <w:bCs/>
                <w:color w:val="auto"/>
                <w:szCs w:val="21"/>
              </w:rPr>
              <w:t>条要求</w:t>
            </w:r>
          </w:p>
        </w:tc>
        <w:tc>
          <w:tcPr>
            <w:tcW w:w="2459" w:type="dxa"/>
            <w:noWrap w:val="0"/>
            <w:vAlign w:val="center"/>
          </w:tcPr>
          <w:p>
            <w:pPr>
              <w:adjustRightInd w:val="0"/>
              <w:snapToGrid w:val="0"/>
              <w:spacing w:line="360" w:lineRule="auto"/>
              <w:ind w:right="-10"/>
              <w:jc w:val="left"/>
              <w:rPr>
                <w:rFonts w:hint="eastAsia" w:ascii="宋体" w:hAnsi="宋体" w:eastAsia="宋体" w:cs="宋体"/>
                <w:b/>
                <w:bCs/>
                <w:color w:val="FF0000"/>
                <w:sz w:val="24"/>
                <w:lang w:eastAsia="zh-CN"/>
              </w:rPr>
            </w:pPr>
          </w:p>
        </w:tc>
      </w:tr>
    </w:tbl>
    <w:p>
      <w:pPr>
        <w:numPr>
          <w:ilvl w:val="0"/>
          <w:numId w:val="0"/>
        </w:numPr>
      </w:pPr>
    </w:p>
    <w:p>
      <w:pPr>
        <w:pStyle w:val="32"/>
        <w:ind w:firstLine="420"/>
        <w:rPr>
          <w:rFonts w:ascii="宋体" w:hAnsi="宋体"/>
          <w:color w:val="000000" w:themeColor="text1"/>
          <w14:textFill>
            <w14:solidFill>
              <w14:schemeClr w14:val="tx1"/>
            </w14:solidFill>
          </w14:textFill>
        </w:rPr>
      </w:pPr>
    </w:p>
    <w:p>
      <w:pPr>
        <w:pStyle w:val="7"/>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30" w:name="_Toc1833"/>
    </w:p>
    <w:p>
      <w:pPr>
        <w:pStyle w:val="7"/>
        <w:spacing w:before="0" w:after="0" w:line="415" w:lineRule="auto"/>
        <w:ind w:firstLine="2570" w:firstLineChars="800"/>
        <w:rPr>
          <w:color w:val="000000" w:themeColor="text1"/>
          <w14:textFill>
            <w14:solidFill>
              <w14:schemeClr w14:val="tx1"/>
            </w14:solidFill>
          </w14:textFill>
        </w:rPr>
      </w:pPr>
      <w:bookmarkStart w:id="31" w:name="_Toc14744"/>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、符合性审查表</w:t>
      </w:r>
      <w:bookmarkEnd w:id="30"/>
      <w:bookmarkEnd w:id="31"/>
    </w:p>
    <w:p>
      <w:pPr>
        <w:rPr>
          <w:color w:val="000000" w:themeColor="text1"/>
          <w14:textFill>
            <w14:solidFill>
              <w14:schemeClr w14:val="tx1"/>
            </w14:solidFill>
          </w14:textFill>
        </w:rPr>
      </w:pP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采购</w:t>
            </w:r>
            <w:r>
              <w:rPr>
                <w:rFonts w:hint="eastAsia"/>
                <w:color w:val="000000" w:themeColor="text1"/>
                <w14:textFill>
                  <w14:solidFill>
                    <w14:schemeClr w14:val="tx1"/>
                  </w14:solidFill>
                </w14:textFill>
              </w:rPr>
              <w:t>文件第三章</w:t>
            </w:r>
            <w:r>
              <w:rPr>
                <w:rFonts w:hint="eastAsia"/>
                <w:color w:val="000000" w:themeColor="text1"/>
                <w:lang w:eastAsia="zh-CN"/>
                <w14:textFill>
                  <w14:solidFill>
                    <w14:schemeClr w14:val="tx1"/>
                  </w14:solidFill>
                </w14:textFill>
              </w:rPr>
              <w:t>第一项</w:t>
            </w:r>
            <w:r>
              <w:rPr>
                <w:rFonts w:hint="eastAsia"/>
                <w:color w:val="000000" w:themeColor="text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w:t>
            </w:r>
            <w:r>
              <w:rPr>
                <w:rFonts w:hint="eastAsia"/>
                <w:color w:val="000000" w:themeColor="text1"/>
                <w:lang w:eastAsia="zh-CN"/>
                <w14:textFill>
                  <w14:solidFill>
                    <w14:schemeClr w14:val="tx1"/>
                  </w14:solidFill>
                </w14:textFill>
              </w:rPr>
              <w:t>第二项</w:t>
            </w:r>
            <w:r>
              <w:rPr>
                <w:rFonts w:hint="eastAsia"/>
                <w:color w:val="000000" w:themeColor="text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pPr>
              <w:pStyle w:val="4"/>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pPr>
              <w:pStyle w:val="4"/>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139" w:type="dxa"/>
            <w:shd w:val="clear" w:color="auto" w:fill="auto"/>
            <w:vAlign w:val="center"/>
          </w:tcPr>
          <w:p>
            <w:pPr>
              <w:spacing w:line="460" w:lineRule="exact"/>
              <w:ind w:right="-11" w:rightChars="0"/>
              <w:jc w:val="center"/>
              <w:rPr>
                <w:rFonts w:hint="eastAsia" w:ascii="宋体" w:hAnsi="宋体" w:eastAsia="宋体" w:cs="Times New Roman"/>
                <w:kern w:val="2"/>
                <w:sz w:val="21"/>
                <w:szCs w:val="21"/>
                <w:lang w:val="en-US" w:eastAsia="zh-CN" w:bidi="ar-SA"/>
              </w:rPr>
            </w:pPr>
            <w:r>
              <w:rPr>
                <w:rFonts w:hint="eastAsia"/>
              </w:rPr>
              <w:t>磋商响应函</w:t>
            </w:r>
          </w:p>
        </w:tc>
        <w:tc>
          <w:tcPr>
            <w:tcW w:w="3419" w:type="dxa"/>
            <w:shd w:val="clear" w:color="auto" w:fill="auto"/>
            <w:vAlign w:val="center"/>
          </w:tcPr>
          <w:p>
            <w:pPr>
              <w:spacing w:line="460" w:lineRule="exact"/>
              <w:ind w:right="-11" w:rightChars="0" w:firstLine="840" w:firstLineChars="400"/>
              <w:rPr>
                <w:rFonts w:hint="eastAsia" w:ascii="宋体" w:hAnsi="宋体" w:eastAsia="宋体" w:cs="Times New Roman"/>
                <w:kern w:val="2"/>
                <w:sz w:val="21"/>
                <w:szCs w:val="21"/>
                <w:lang w:val="en-US" w:eastAsia="zh-CN" w:bidi="ar-SA"/>
              </w:rPr>
            </w:pPr>
            <w:r>
              <w:rPr>
                <w:rFonts w:hint="eastAsia" w:ascii="宋体" w:hAnsi="宋体"/>
              </w:rPr>
              <w:t>符合磋商文件要求</w:t>
            </w:r>
          </w:p>
        </w:tc>
        <w:tc>
          <w:tcPr>
            <w:tcW w:w="2529" w:type="dxa"/>
            <w:vAlign w:val="center"/>
          </w:tcPr>
          <w:p>
            <w:pPr>
              <w:pStyle w:val="4"/>
              <w:jc w:val="center"/>
              <w:rPr>
                <w:color w:val="000000" w:themeColor="text1"/>
                <w14:textFill>
                  <w14:solidFill>
                    <w14:schemeClr w14:val="tx1"/>
                  </w14:solidFill>
                </w14:textFill>
              </w:rPr>
            </w:pPr>
          </w:p>
        </w:tc>
      </w:tr>
    </w:tbl>
    <w:p>
      <w:pPr>
        <w:pStyle w:val="3"/>
        <w:spacing w:line="360" w:lineRule="auto"/>
        <w:ind w:right="-10"/>
        <w:rPr>
          <w:rFonts w:ascii="宋体" w:hAnsi="宋体"/>
          <w:bCs/>
          <w:color w:val="000000" w:themeColor="text1"/>
          <w:szCs w:val="21"/>
          <w14:textFill>
            <w14:solidFill>
              <w14:schemeClr w14:val="tx1"/>
            </w14:solidFill>
          </w14:textFill>
        </w:rPr>
      </w:pPr>
    </w:p>
    <w:p>
      <w:pPr>
        <w:pStyle w:val="3"/>
        <w:spacing w:line="360" w:lineRule="auto"/>
        <w:ind w:right="-10"/>
        <w:rPr>
          <w:rFonts w:ascii="宋体" w:hAnsi="宋体"/>
          <w:bCs/>
          <w:color w:val="000000" w:themeColor="text1"/>
          <w:szCs w:val="21"/>
          <w14:textFill>
            <w14:solidFill>
              <w14:schemeClr w14:val="tx1"/>
            </w14:solidFill>
          </w14:textFill>
        </w:rPr>
      </w:pPr>
    </w:p>
    <w:p>
      <w:pPr>
        <w:pStyle w:val="32"/>
        <w:ind w:left="0" w:leftChars="0" w:firstLine="0" w:firstLineChars="0"/>
        <w:rPr>
          <w:rFonts w:ascii="黑体"/>
          <w:color w:val="000000" w:themeColor="text1"/>
          <w14:textFill>
            <w14:solidFill>
              <w14:schemeClr w14:val="tx1"/>
            </w14:solidFill>
          </w14:textFill>
        </w:rPr>
      </w:pPr>
      <w:bookmarkStart w:id="32" w:name="_Toc511899301"/>
      <w:bookmarkEnd w:id="32"/>
      <w:r>
        <w:rPr>
          <w:rFonts w:hint="eastAsia"/>
          <w:color w:val="000000" w:themeColor="text1"/>
          <w14:textFill>
            <w14:solidFill>
              <w14:schemeClr w14:val="tx1"/>
            </w14:solidFill>
          </w14:textFill>
        </w:rPr>
        <w:br w:type="page"/>
      </w:r>
      <w:bookmarkStart w:id="33" w:name="_Toc511899303"/>
      <w:bookmarkEnd w:id="33"/>
    </w:p>
    <w:p>
      <w:pPr>
        <w:pStyle w:val="32"/>
        <w:numPr>
          <w:ilvl w:val="0"/>
          <w:numId w:val="5"/>
        </w:numPr>
        <w:ind w:firstLine="0" w:firstLineChars="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评分办法</w:t>
      </w:r>
    </w:p>
    <w:tbl>
      <w:tblPr>
        <w:tblStyle w:val="24"/>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413"/>
        <w:gridCol w:w="5745"/>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c>
          <w:tcPr>
            <w:tcW w:w="1413"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5745" w:type="dxa"/>
            <w:noWrap w:val="0"/>
            <w:vAlign w:val="top"/>
          </w:tcPr>
          <w:p>
            <w:pPr>
              <w:keepNext w:val="0"/>
              <w:keepLines w:val="0"/>
              <w:pageBreakBefore w:val="0"/>
              <w:kinsoku/>
              <w:wordWrap/>
              <w:overflowPunct/>
              <w:topLinePunct w:val="0"/>
              <w:autoSpaceDE/>
              <w:autoSpaceDN/>
              <w:bidi w:val="0"/>
              <w:adjustRightInd/>
              <w:snapToGrid/>
              <w:spacing w:line="400" w:lineRule="exact"/>
              <w:ind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评审内容及标准</w:t>
            </w:r>
          </w:p>
        </w:tc>
        <w:tc>
          <w:tcPr>
            <w:tcW w:w="741" w:type="dxa"/>
            <w:noWrap w:val="0"/>
            <w:vAlign w:val="top"/>
          </w:tcPr>
          <w:p>
            <w:pPr>
              <w:keepNext w:val="0"/>
              <w:keepLines w:val="0"/>
              <w:pageBreakBefore w:val="0"/>
              <w:tabs>
                <w:tab w:val="left" w:pos="657"/>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tc>
        <w:tc>
          <w:tcPr>
            <w:tcW w:w="141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分） </w:t>
            </w:r>
          </w:p>
        </w:tc>
        <w:tc>
          <w:tcPr>
            <w:tcW w:w="5745"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一、主要施工方法（</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pPr>
              <w:pStyle w:val="49"/>
              <w:keepNext w:val="0"/>
              <w:keepLines w:val="0"/>
              <w:pageBreakBefore w:val="0"/>
              <w:kinsoku/>
              <w:wordWrap/>
              <w:overflowPunct/>
              <w:topLinePunct w:val="0"/>
              <w:autoSpaceDE/>
              <w:autoSpaceDN/>
              <w:bidi w:val="0"/>
              <w:adjustRightInd/>
              <w:snapToGrid/>
              <w:spacing w:before="75" w:line="400" w:lineRule="exact"/>
              <w:ind w:right="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各主要分部施工方法充分考虑项目实际，有详尽的施工技术方案，工艺先进、方法科学合理、可行，能指导具体施工并确保安全。得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各主要分部施工方法符合项目实际，有较全面的施工技术方案，工艺、方法合理、可行，能指导具体施工并确保安全得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3.各主要分部施工方法能符合项目实际，有施工技术方案，能基本指导具体施工并确保安全得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4.不提供不得分。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提供的服务需求编写，可自行扩展。</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二、拟投入的资源（物资、施工机械设备、劳动力）配备计划（</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1.投入的施工机械、设备等资源配备有详细计划且计划周密，数量、选型配置、进场数量、时间安排合理，充分满足施工需要得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2.投入的施工机械、设备等资源配备有详细计划且计划较周密，数量、选型配置、进场数量、时间安排较合理，满足施工需要得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3.投入的施工机械、设备等资源配备有计划数量、选型配置、进场数量、时间安排基本合理， 满足施工需要得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4.不提供不得分。</w:t>
            </w:r>
          </w:p>
          <w:p>
            <w:pPr>
              <w:pStyle w:val="4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三、确保工程质量的技术组织措施（</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pPr>
              <w:pStyle w:val="49"/>
              <w:keepNext w:val="0"/>
              <w:keepLines w:val="0"/>
              <w:pageBreakBefore w:val="0"/>
              <w:tabs>
                <w:tab w:val="left" w:pos="293"/>
              </w:tabs>
              <w:kinsoku/>
              <w:wordWrap/>
              <w:overflowPunct/>
              <w:topLinePunct w:val="0"/>
              <w:autoSpaceDE/>
              <w:autoSpaceDN/>
              <w:bidi w:val="0"/>
              <w:adjustRightInd/>
              <w:snapToGrid/>
              <w:spacing w:line="400" w:lineRule="exact"/>
              <w:ind w:right="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1.施工项目有健全的质量技术管理班子和制度，且人员配备合理。主要工序质量技术保证措施详尽，自控体系完整，能充分保证技术质量得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pStyle w:val="49"/>
              <w:keepNext w:val="0"/>
              <w:keepLines w:val="0"/>
              <w:pageBreakBefore w:val="0"/>
              <w:tabs>
                <w:tab w:val="left" w:pos="278"/>
              </w:tabs>
              <w:kinsoku/>
              <w:wordWrap/>
              <w:overflowPunct/>
              <w:topLinePunct w:val="0"/>
              <w:autoSpaceDE/>
              <w:autoSpaceDN/>
              <w:bidi w:val="0"/>
              <w:adjustRightInd/>
              <w:snapToGrid/>
              <w:spacing w:line="400" w:lineRule="exact"/>
              <w:ind w:right="7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2.施工项目有较健全的质量技术管理班子和制度，且人员配备较合理。主要工序质量技术保证措施合理，自控体系完整，能保证技术质量得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p>
          <w:p>
            <w:pPr>
              <w:pStyle w:val="49"/>
              <w:keepNext w:val="0"/>
              <w:keepLines w:val="0"/>
              <w:pageBreakBefore w:val="0"/>
              <w:tabs>
                <w:tab w:val="left" w:pos="278"/>
              </w:tabs>
              <w:kinsoku/>
              <w:wordWrap/>
              <w:overflowPunct/>
              <w:topLinePunct w:val="0"/>
              <w:autoSpaceDE/>
              <w:autoSpaceDN/>
              <w:bidi w:val="0"/>
              <w:adjustRightInd/>
              <w:snapToGrid/>
              <w:spacing w:line="400" w:lineRule="exact"/>
              <w:ind w:right="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3.施工项目有质量技术管理班子和制度，且人员配备基本合理。提供了主要工序质量技术保证措施、自控体系，能基本保证技术质量得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49"/>
              <w:keepNext w:val="0"/>
              <w:keepLines w:val="0"/>
              <w:pageBreakBefore w:val="0"/>
              <w:tabs>
                <w:tab w:val="left" w:pos="278"/>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4.不提供不得分。</w:t>
            </w:r>
          </w:p>
          <w:p>
            <w:pPr>
              <w:pStyle w:val="49"/>
              <w:keepNext w:val="0"/>
              <w:keepLines w:val="0"/>
              <w:pageBreakBefore w:val="0"/>
              <w:tabs>
                <w:tab w:val="left" w:pos="278"/>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四、确保安全文明生产的技术组织措施（</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1.施工项目有专门的安全管理人员和详尽的安全文明施工管理制度，且人员配备合理，制度健全，各道工序安全技术措施针对性强，符合实际且满足有关安全技术标准要求得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2.施工项目有专门的安全管理人员和全面的安全文明施工管理制度，且人员配备较合理，制度健全，各道工序安全技术措施针对性较强，能符合实际且满足有关安全技术标准要求得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3.施工项目有安全管理人员和安全文明施工管理制度，且人员配备基本合理，制度基本健全，各道工序安全技术措施有一定针对性，基本能符合实际且满足有关安全技术标准要求得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4.不提供不得分。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五、成本控制的体系及措施（</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1.成本控制体系完整，控制措施质量高，能够指导施工得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2.成本控制体系较完整，控制措施质量较好， 能够指导施工得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3.成本控制体系不完整，控制措施质量一般，勉强能够指导施工得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4.不提供不得分。</w:t>
            </w:r>
          </w:p>
        </w:tc>
        <w:tc>
          <w:tcPr>
            <w:tcW w:w="741" w:type="dxa"/>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0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41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履约能力（</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分）   </w:t>
            </w:r>
          </w:p>
        </w:tc>
        <w:tc>
          <w:tcPr>
            <w:tcW w:w="5745" w:type="dxa"/>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一、项目组成人员（10分）：</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1、项目技术负责人具备</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职称的得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分，具备高级</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职称的得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分。本项满分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分。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2、供应商拟投入本项目的施工员、安全员、质检员（或质量员）均能持证上岗的得 6 分，否则不得分。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注：投标文件中须提供相关证书扫描件。</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二、企业业绩（</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 1 月 1 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 xml:space="preserve">每承揽过一个房屋建筑工程施工类的业绩得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分，本项满分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 1 月 1 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 xml:space="preserve">每承揽过一个装饰装修工程施工类的业绩得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分，本项满分 </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 1 月 1 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每承揽过</w:t>
            </w:r>
            <w:r>
              <w:rPr>
                <w:rFonts w:hint="eastAsia" w:ascii="宋体" w:hAnsi="宋体" w:eastAsia="宋体" w:cs="宋体"/>
                <w:color w:val="auto"/>
                <w:sz w:val="24"/>
                <w:szCs w:val="24"/>
                <w:highlight w:val="none"/>
                <w:lang w:val="en-US" w:eastAsia="zh-CN"/>
              </w:rPr>
              <w:t>一个类似本项目的学校零星维修服务服务</w:t>
            </w:r>
            <w:r>
              <w:rPr>
                <w:rFonts w:hint="eastAsia" w:ascii="宋体" w:hAnsi="宋体" w:eastAsia="宋体" w:cs="宋体"/>
                <w:color w:val="auto"/>
                <w:sz w:val="24"/>
                <w:szCs w:val="24"/>
                <w:highlight w:val="none"/>
              </w:rPr>
              <w:t xml:space="preserve">类的业绩得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注：需提供中标通知书、施工合同</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，业绩证明时间以合同签署时间为准。</w:t>
            </w:r>
          </w:p>
        </w:tc>
        <w:tc>
          <w:tcPr>
            <w:tcW w:w="741" w:type="dxa"/>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03" w:type="dxa"/>
            <w:vMerge w:val="continue"/>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p>
        </w:tc>
        <w:tc>
          <w:tcPr>
            <w:tcW w:w="1413"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分）     </w:t>
            </w:r>
          </w:p>
        </w:tc>
        <w:tc>
          <w:tcPr>
            <w:tcW w:w="5745" w:type="dxa"/>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供应商须承诺质保期间</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小时内响应并解决问题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需提供售后服务方案承诺，有详细的售后服务计划和完善的解决方案，能及时、快速地解决缺陷等，优秀的得 10 分，良好的得 </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分，一般的得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分；不提供不得分。</w:t>
            </w:r>
          </w:p>
        </w:tc>
        <w:tc>
          <w:tcPr>
            <w:tcW w:w="741" w:type="dxa"/>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503" w:type="dxa"/>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商务分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p>
        </w:tc>
        <w:tc>
          <w:tcPr>
            <w:tcW w:w="1413" w:type="dxa"/>
            <w:tcBorders>
              <w:top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5745" w:type="dxa"/>
            <w:tcBorders>
              <w:top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价格标经评审满足本文件要求且在预算范围内的投标人的总报价中，最低价格为评标基准价格，得满分；其他投标人的价格分统一按照下列公式计算：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投标报价得分＝（评标基准价/投标报价）× 价格分分值（取小数点后两位）。</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本项目以费率报价，最高限价为中标人编制的工程结算经学院委托的第三方审计机构审核后确定的工程竣工结算审核价款的100%，投标人应按照费率进行报价，无需分项报价，投标报价大于或等于最高限价的将否决其投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2、报价说明</w:t>
            </w:r>
            <w:r>
              <w:rPr>
                <w:rFonts w:hint="eastAsia" w:ascii="宋体" w:hAnsi="宋体" w:cs="宋体"/>
                <w:color w:val="auto"/>
                <w:sz w:val="24"/>
                <w:szCs w:val="24"/>
                <w:highlight w:val="none"/>
                <w:lang w:val="en-US" w:eastAsia="zh-CN"/>
              </w:rPr>
              <w:t>：投标人报价明显低于其它投标人报价，评标委员会要求其提供书面说明时，投标人不能证明其报价合理性的，投标无效。</w:t>
            </w:r>
          </w:p>
        </w:tc>
        <w:tc>
          <w:tcPr>
            <w:tcW w:w="741" w:type="dxa"/>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r>
    </w:tbl>
    <w:p>
      <w:pPr>
        <w:pStyle w:val="32"/>
        <w:numPr>
          <w:ilvl w:val="0"/>
          <w:numId w:val="0"/>
        </w:numPr>
        <w:jc w:val="both"/>
        <w:rPr>
          <w:rFonts w:hint="eastAsia"/>
          <w:b/>
          <w:bCs/>
          <w:color w:val="000000" w:themeColor="text1"/>
          <w:sz w:val="32"/>
          <w:szCs w:val="32"/>
          <w14:textFill>
            <w14:solidFill>
              <w14:schemeClr w14:val="tx1"/>
            </w14:solidFill>
          </w14:textFill>
        </w:rPr>
      </w:pPr>
    </w:p>
    <w:p>
      <w:pPr>
        <w:rPr>
          <w:color w:val="000000" w:themeColor="text1"/>
          <w14:textFill>
            <w14:solidFill>
              <w14:schemeClr w14:val="tx1"/>
            </w14:solidFill>
          </w14:textFill>
        </w:rPr>
      </w:pPr>
      <w:bookmarkStart w:id="34" w:name="_Toc511899304"/>
      <w:bookmarkEnd w:id="34"/>
      <w:bookmarkStart w:id="35" w:name="_Toc28130"/>
    </w:p>
    <w:p>
      <w:pPr>
        <w:pStyle w:val="3"/>
        <w:spacing w:line="360" w:lineRule="auto"/>
        <w:ind w:right="-10"/>
        <w:rPr>
          <w:rFonts w:hint="eastAsia" w:ascii="宋体" w:hAnsi="宋体"/>
          <w:b/>
          <w:bCs/>
          <w:color w:val="000000" w:themeColor="text1"/>
          <w:sz w:val="24"/>
          <w14:textFill>
            <w14:solidFill>
              <w14:schemeClr w14:val="tx1"/>
            </w14:solidFill>
          </w14:textFill>
        </w:rPr>
      </w:pPr>
    </w:p>
    <w:p>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36" w:name="_Toc17460"/>
    </w:p>
    <w:p>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35"/>
      <w:bookmarkEnd w:id="36"/>
    </w:p>
    <w:p>
      <w:pPr>
        <w:pStyle w:val="33"/>
        <w:rPr>
          <w:color w:val="000000" w:themeColor="text1"/>
          <w14:textFill>
            <w14:solidFill>
              <w14:schemeClr w14:val="tx1"/>
            </w14:solidFill>
          </w14:textFill>
        </w:rPr>
      </w:pPr>
      <w:bookmarkStart w:id="37" w:name="_Toc511899305"/>
      <w:bookmarkEnd w:id="37"/>
      <w:bookmarkStart w:id="38" w:name="_Toc31883"/>
      <w:bookmarkStart w:id="39" w:name="_Toc25200"/>
      <w:r>
        <w:rPr>
          <w:rFonts w:hint="eastAsia"/>
          <w:color w:val="000000" w:themeColor="text1"/>
          <w14:textFill>
            <w14:solidFill>
              <w14:schemeClr w14:val="tx1"/>
            </w14:solidFill>
          </w14:textFill>
        </w:rPr>
        <w:t>一、总则</w:t>
      </w:r>
      <w:bookmarkEnd w:id="38"/>
      <w:bookmarkEnd w:id="39"/>
    </w:p>
    <w:p>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pPr>
        <w:spacing w:line="500" w:lineRule="exact"/>
        <w:rPr>
          <w:rFonts w:ascii="宋体" w:hAnsi="宋体" w:cs="Arial"/>
          <w:color w:val="000000" w:themeColor="text1"/>
          <w14:textFill>
            <w14:solidFill>
              <w14:schemeClr w14:val="tx1"/>
            </w14:solidFill>
          </w14:textFill>
        </w:rPr>
      </w:pPr>
      <w:bookmarkStart w:id="40" w:name="_Toc8996"/>
      <w:bookmarkEnd w:id="40"/>
      <w:bookmarkStart w:id="41" w:name="_Toc12596"/>
      <w:bookmarkEnd w:id="41"/>
      <w:bookmarkStart w:id="42" w:name="_Toc9010"/>
      <w:bookmarkEnd w:id="42"/>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pPr>
        <w:numPr>
          <w:ilvl w:val="0"/>
          <w:numId w:val="7"/>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pPr>
        <w:pStyle w:val="33"/>
        <w:rPr>
          <w:color w:val="000000" w:themeColor="text1"/>
          <w14:textFill>
            <w14:solidFill>
              <w14:schemeClr w14:val="tx1"/>
            </w14:solidFill>
          </w14:textFill>
        </w:rPr>
      </w:pPr>
      <w:bookmarkStart w:id="43" w:name="_Toc511899306"/>
      <w:bookmarkEnd w:id="43"/>
      <w:bookmarkStart w:id="44" w:name="_Toc27346"/>
      <w:bookmarkStart w:id="45" w:name="_Toc17878"/>
      <w:r>
        <w:rPr>
          <w:rFonts w:hint="eastAsia"/>
          <w:color w:val="000000" w:themeColor="text1"/>
          <w14:textFill>
            <w14:solidFill>
              <w14:schemeClr w14:val="tx1"/>
            </w14:solidFill>
          </w14:textFill>
        </w:rPr>
        <w:t>二、竞争性磋商文件</w:t>
      </w:r>
      <w:bookmarkEnd w:id="44"/>
      <w:bookmarkEnd w:id="45"/>
    </w:p>
    <w:p>
      <w:pPr>
        <w:numPr>
          <w:ilvl w:val="1"/>
          <w:numId w:val="8"/>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pPr>
        <w:pStyle w:val="35"/>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pPr>
        <w:spacing w:line="500" w:lineRule="exact"/>
        <w:ind w:left="1365" w:hanging="735"/>
        <w:rPr>
          <w:rFonts w:ascii="宋体" w:hAnsi="宋体" w:cs="Arial"/>
          <w:color w:val="000000" w:themeColor="text1"/>
          <w14:textFill>
            <w14:solidFill>
              <w14:schemeClr w14:val="tx1"/>
            </w14:solidFill>
          </w14:textFill>
        </w:rPr>
      </w:pPr>
    </w:p>
    <w:p>
      <w:pPr>
        <w:pStyle w:val="33"/>
        <w:rPr>
          <w:color w:val="000000" w:themeColor="text1"/>
          <w14:textFill>
            <w14:solidFill>
              <w14:schemeClr w14:val="tx1"/>
            </w14:solidFill>
          </w14:textFill>
        </w:rPr>
      </w:pPr>
      <w:bookmarkStart w:id="46" w:name="_Toc511899307"/>
      <w:bookmarkEnd w:id="46"/>
      <w:bookmarkStart w:id="47" w:name="_Toc20676"/>
      <w:bookmarkStart w:id="48" w:name="_Toc31012"/>
      <w:r>
        <w:rPr>
          <w:rFonts w:hint="eastAsia"/>
          <w:color w:val="000000" w:themeColor="text1"/>
          <w14:textFill>
            <w14:solidFill>
              <w14:schemeClr w14:val="tx1"/>
            </w14:solidFill>
          </w14:textFill>
        </w:rPr>
        <w:t>三、磋商响应文件的编制</w:t>
      </w:r>
      <w:bookmarkEnd w:id="47"/>
      <w:bookmarkEnd w:id="48"/>
    </w:p>
    <w:p>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pPr>
        <w:spacing w:line="500" w:lineRule="exact"/>
        <w:rPr>
          <w:rFonts w:ascii="宋体" w:hAnsi="宋体" w:cs="Arial"/>
          <w:color w:val="000000" w:themeColor="text1"/>
          <w14:textFill>
            <w14:solidFill>
              <w14:schemeClr w14:val="tx1"/>
            </w14:solidFill>
          </w14:textFill>
        </w:rPr>
      </w:pPr>
    </w:p>
    <w:p>
      <w:pPr>
        <w:pStyle w:val="33"/>
        <w:rPr>
          <w:color w:val="000000" w:themeColor="text1"/>
          <w14:textFill>
            <w14:solidFill>
              <w14:schemeClr w14:val="tx1"/>
            </w14:solidFill>
          </w14:textFill>
        </w:rPr>
      </w:pPr>
      <w:bookmarkStart w:id="49" w:name="_Toc511899308"/>
      <w:bookmarkEnd w:id="49"/>
      <w:bookmarkStart w:id="50" w:name="_Toc26763"/>
      <w:bookmarkStart w:id="51" w:name="_Toc9389"/>
      <w:r>
        <w:rPr>
          <w:rFonts w:hint="eastAsia"/>
          <w:color w:val="000000" w:themeColor="text1"/>
          <w14:textFill>
            <w14:solidFill>
              <w14:schemeClr w14:val="tx1"/>
            </w14:solidFill>
          </w14:textFill>
        </w:rPr>
        <w:t>四、磋商响应文件的提交</w:t>
      </w:r>
      <w:bookmarkEnd w:id="50"/>
      <w:bookmarkEnd w:id="51"/>
    </w:p>
    <w:p>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pPr>
        <w:spacing w:line="500" w:lineRule="exact"/>
        <w:rPr>
          <w:rFonts w:ascii="宋体" w:hAnsi="宋体" w:cs="Arial"/>
          <w:color w:val="000000" w:themeColor="text1"/>
          <w14:textFill>
            <w14:solidFill>
              <w14:schemeClr w14:val="tx1"/>
            </w14:solidFill>
          </w14:textFill>
        </w:rPr>
      </w:pPr>
    </w:p>
    <w:p>
      <w:pPr>
        <w:pStyle w:val="33"/>
        <w:rPr>
          <w:color w:val="000000" w:themeColor="text1"/>
          <w14:textFill>
            <w14:solidFill>
              <w14:schemeClr w14:val="tx1"/>
            </w14:solidFill>
          </w14:textFill>
        </w:rPr>
      </w:pPr>
      <w:bookmarkStart w:id="52" w:name="_Toc511899309"/>
      <w:bookmarkEnd w:id="52"/>
      <w:bookmarkStart w:id="53" w:name="_Toc30695"/>
      <w:bookmarkStart w:id="54" w:name="_Toc28816"/>
      <w:r>
        <w:rPr>
          <w:rFonts w:hint="eastAsia"/>
          <w:color w:val="000000" w:themeColor="text1"/>
          <w14:textFill>
            <w14:solidFill>
              <w14:schemeClr w14:val="tx1"/>
            </w14:solidFill>
          </w14:textFill>
        </w:rPr>
        <w:t>五、磋商与评审</w:t>
      </w:r>
      <w:bookmarkEnd w:id="53"/>
      <w:bookmarkEnd w:id="54"/>
    </w:p>
    <w:p>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pPr>
        <w:numPr>
          <w:ilvl w:val="0"/>
          <w:numId w:val="9"/>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pPr>
        <w:spacing w:line="500" w:lineRule="exact"/>
        <w:rPr>
          <w:rFonts w:ascii="宋体" w:hAnsi="宋体" w:cs="Arial"/>
          <w:color w:val="000000" w:themeColor="text1"/>
          <w14:textFill>
            <w14:solidFill>
              <w14:schemeClr w14:val="tx1"/>
            </w14:solidFill>
          </w14:textFill>
        </w:rPr>
      </w:pPr>
    </w:p>
    <w:p>
      <w:pPr>
        <w:pStyle w:val="33"/>
        <w:rPr>
          <w:color w:val="000000" w:themeColor="text1"/>
          <w14:textFill>
            <w14:solidFill>
              <w14:schemeClr w14:val="tx1"/>
            </w14:solidFill>
          </w14:textFill>
        </w:rPr>
      </w:pPr>
      <w:bookmarkStart w:id="55" w:name="_Toc511899310"/>
      <w:bookmarkEnd w:id="55"/>
      <w:bookmarkStart w:id="56" w:name="_Toc18987"/>
      <w:bookmarkStart w:id="57" w:name="_Toc9704"/>
      <w:r>
        <w:rPr>
          <w:rFonts w:hint="eastAsia"/>
          <w:color w:val="000000" w:themeColor="text1"/>
          <w14:textFill>
            <w14:solidFill>
              <w14:schemeClr w14:val="tx1"/>
            </w14:solidFill>
          </w14:textFill>
        </w:rPr>
        <w:t>六、定标和授予合同</w:t>
      </w:r>
      <w:bookmarkEnd w:id="56"/>
      <w:bookmarkEnd w:id="57"/>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w:t>
      </w:r>
      <w:r>
        <w:rPr>
          <w:rFonts w:hint="eastAsia" w:ascii="宋体" w:hAnsi="宋体"/>
          <w:color w:val="000000" w:themeColor="text1"/>
          <w:shd w:val="clear" w:color="auto" w:fill="FFFFFF"/>
          <w:lang w:val="en-US" w:eastAsia="zh-CN"/>
          <w14:textFill>
            <w14:solidFill>
              <w14:schemeClr w14:val="tx1"/>
            </w14:solidFill>
          </w14:textFill>
        </w:rPr>
        <w:t>7个工作日</w:t>
      </w:r>
      <w:r>
        <w:rPr>
          <w:rFonts w:hint="eastAsia" w:ascii="宋体" w:hAnsi="宋体"/>
          <w:color w:val="000000" w:themeColor="text1"/>
          <w:shd w:val="clear" w:color="auto" w:fill="FFFFFF"/>
          <w14:textFill>
            <w14:solidFill>
              <w14:schemeClr w14:val="tx1"/>
            </w14:solidFill>
          </w14:textFill>
        </w:rPr>
        <w:t>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pPr>
        <w:numPr>
          <w:ilvl w:val="0"/>
          <w:numId w:val="10"/>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spacing w:line="500" w:lineRule="exact"/>
        <w:ind w:left="840" w:hanging="840"/>
        <w:rPr>
          <w:rFonts w:ascii="宋体" w:hAnsi="宋体" w:cs="Arial"/>
          <w:color w:val="000000" w:themeColor="text1"/>
          <w14:textFill>
            <w14:solidFill>
              <w14:schemeClr w14:val="tx1"/>
            </w14:solidFill>
          </w14:textFill>
        </w:rPr>
      </w:pPr>
    </w:p>
    <w:p>
      <w:pPr>
        <w:pStyle w:val="33"/>
        <w:rPr>
          <w:color w:val="000000" w:themeColor="text1"/>
          <w14:textFill>
            <w14:solidFill>
              <w14:schemeClr w14:val="tx1"/>
            </w14:solidFill>
          </w14:textFill>
        </w:rPr>
      </w:pPr>
      <w:bookmarkStart w:id="58" w:name="_Toc511899311"/>
      <w:bookmarkEnd w:id="58"/>
      <w:bookmarkStart w:id="59" w:name="_Toc11095"/>
      <w:bookmarkStart w:id="60" w:name="_Toc18233"/>
      <w:r>
        <w:rPr>
          <w:rFonts w:hint="eastAsia"/>
          <w:color w:val="000000" w:themeColor="text1"/>
          <w14:textFill>
            <w14:solidFill>
              <w14:schemeClr w14:val="tx1"/>
            </w14:solidFill>
          </w14:textFill>
        </w:rPr>
        <w:t>七、质疑与投诉</w:t>
      </w:r>
      <w:bookmarkEnd w:id="59"/>
      <w:bookmarkEnd w:id="60"/>
    </w:p>
    <w:p>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pPr>
        <w:rPr>
          <w:rFonts w:ascii="Arial" w:hAnsi="Arial" w:cs="Arial"/>
          <w:b/>
          <w:bCs/>
          <w:color w:val="000000" w:themeColor="text1"/>
          <w:sz w:val="32"/>
          <w:szCs w:val="32"/>
          <w14:textFill>
            <w14:solidFill>
              <w14:schemeClr w14:val="tx1"/>
            </w14:solidFill>
          </w14:textFill>
        </w:rPr>
      </w:pPr>
      <w:bookmarkStart w:id="61" w:name="_Toc25214"/>
      <w:bookmarkStart w:id="62" w:name="_Toc16784"/>
      <w:r>
        <w:rPr>
          <w:rFonts w:hint="eastAsia" w:ascii="Arial" w:hAnsi="Arial" w:cs="Arial"/>
          <w:b/>
          <w:bCs/>
          <w:color w:val="000000" w:themeColor="text1"/>
          <w:sz w:val="32"/>
          <w:szCs w:val="32"/>
          <w14:textFill>
            <w14:solidFill>
              <w14:schemeClr w14:val="tx1"/>
            </w14:solidFill>
          </w14:textFill>
        </w:rPr>
        <w:br w:type="page"/>
      </w:r>
    </w:p>
    <w:p>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61"/>
      <w:bookmarkEnd w:id="62"/>
      <w:bookmarkStart w:id="63" w:name="_Toc1671"/>
      <w:r>
        <w:rPr>
          <w:rFonts w:hint="eastAsia"/>
          <w:b/>
          <w:bCs/>
          <w:color w:val="000000" w:themeColor="text1"/>
          <w:sz w:val="32"/>
          <w:szCs w:val="32"/>
          <w14:textFill>
            <w14:solidFill>
              <w14:schemeClr w14:val="tx1"/>
            </w14:solidFill>
          </w14:textFill>
        </w:rPr>
        <w:t>合同条款及格式</w:t>
      </w:r>
    </w:p>
    <w:p>
      <w:pPr>
        <w:pStyle w:val="6"/>
        <w:jc w:val="center"/>
        <w:rPr>
          <w:rFonts w:hint="eastAsia" w:eastAsia="黑体"/>
          <w:sz w:val="32"/>
          <w:szCs w:val="32"/>
        </w:rPr>
      </w:pPr>
      <w:bookmarkStart w:id="64" w:name="_Toc22440"/>
      <w:r>
        <w:rPr>
          <w:rFonts w:hint="eastAsia"/>
          <w:sz w:val="32"/>
          <w:szCs w:val="32"/>
        </w:rPr>
        <w:t>采购</w:t>
      </w:r>
      <w:r>
        <w:rPr>
          <w:sz w:val="32"/>
          <w:szCs w:val="32"/>
        </w:rPr>
        <w:t>合同</w:t>
      </w:r>
      <w:r>
        <w:rPr>
          <w:rFonts w:hint="eastAsia"/>
          <w:sz w:val="32"/>
          <w:szCs w:val="32"/>
        </w:rPr>
        <w:t>（服务类供参考）</w:t>
      </w:r>
      <w:bookmarkEnd w:id="64"/>
    </w:p>
    <w:p>
      <w:pPr>
        <w:pStyle w:val="7"/>
        <w:rPr>
          <w:rFonts w:hint="eastAsia" w:ascii="宋体" w:hAnsi="宋体" w:cs="Arial"/>
          <w:sz w:val="28"/>
          <w:szCs w:val="28"/>
        </w:rPr>
      </w:pPr>
      <w:bookmarkStart w:id="65" w:name="_Toc31190"/>
      <w:bookmarkStart w:id="66" w:name="_Toc20716"/>
      <w:r>
        <w:rPr>
          <w:rFonts w:hint="eastAsia" w:ascii="黑体"/>
          <w:sz w:val="28"/>
          <w:szCs w:val="28"/>
        </w:rPr>
        <w:t>一、合同条款前附表</w:t>
      </w:r>
      <w:bookmarkEnd w:id="65"/>
      <w:bookmarkEnd w:id="66"/>
      <w:r>
        <w:rPr>
          <w:rFonts w:hint="eastAsia" w:ascii="宋体" w:hAnsi="宋体" w:cs="Arial"/>
          <w:sz w:val="28"/>
          <w:szCs w:val="28"/>
        </w:rPr>
        <w:t xml:space="preserve"> </w:t>
      </w: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rPr>
            </w:pPr>
            <w:r>
              <w:rPr>
                <w:rFonts w:hint="eastAsia" w:ascii="宋体" w:hAnsi="宋体" w:cs="Arial"/>
                <w:b/>
                <w:bCs/>
              </w:rPr>
              <w:t>序号</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ind w:left="360"/>
              <w:jc w:val="center"/>
              <w:rPr>
                <w:rFonts w:ascii="宋体" w:hAnsi="宋体" w:cs="Arial"/>
              </w:rPr>
            </w:pPr>
            <w:r>
              <w:rPr>
                <w:rFonts w:hint="eastAsia" w:ascii="宋体" w:hAnsi="宋体" w:cs="Arial"/>
                <w:b/>
                <w:bC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ascii="宋体" w:hAnsi="宋体" w:cs="Arial"/>
              </w:rPr>
            </w:pPr>
            <w:r>
              <w:rPr>
                <w:rFonts w:hint="eastAsia" w:ascii="宋体" w:hAnsi="宋体" w:cs="Arial"/>
              </w:rPr>
              <w:t>1</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cs="Arial"/>
              </w:rPr>
            </w:pPr>
            <w:r>
              <w:rPr>
                <w:rFonts w:hint="eastAsia" w:ascii="宋体" w:hAnsi="宋体" w:cs="Arial"/>
              </w:rPr>
              <w:t xml:space="preserve">付款人：皖北卫生职业学院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宋体" w:hAnsi="宋体" w:eastAsia="宋体" w:cs="Arial"/>
                <w:lang w:eastAsia="zh-CN"/>
              </w:rPr>
            </w:pPr>
            <w:r>
              <w:rPr>
                <w:rFonts w:hint="eastAsia" w:ascii="宋体" w:hAnsi="宋体" w:cs="Arial"/>
                <w:lang w:val="en-US" w:eastAsia="zh-CN"/>
              </w:rPr>
              <w:t>2</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default" w:ascii="宋体" w:hAnsi="宋体" w:eastAsia="宋体" w:cs="Arial"/>
                <w:lang w:val="en-US" w:eastAsia="zh-CN"/>
              </w:rPr>
            </w:pPr>
            <w:r>
              <w:rPr>
                <w:rFonts w:hint="eastAsia" w:ascii="宋体" w:hAnsi="宋体" w:cs="Arial"/>
              </w:rPr>
              <w:t>付款条件：</w:t>
            </w:r>
            <w:r>
              <w:rPr>
                <w:rFonts w:hint="eastAsia" w:ascii="宋体" w:hAnsi="宋体" w:cs="宋体"/>
                <w:b/>
                <w:bCs/>
                <w:i w:val="0"/>
                <w:iCs w:val="0"/>
                <w:color w:val="auto"/>
                <w:szCs w:val="21"/>
                <w:lang w:val="en-US" w:eastAsia="zh-CN"/>
              </w:rPr>
              <w:t>每完成一季度工作，经验收合格后，中标人应按要求提供派工单作为结算依据，按时报送结算和决算资料，以中标人编制的该项目工程结算经学院委托的第三方审计机构审核后确定的工程竣工结算审核价款为依据，按照中标单位投标费率进行支付。（如投标费率为 95%，最终支付价款为中标人编制的该项目工程结算经学院委托的第三方审计机构审核后确定的工程竣工结算审核价款的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left="-12"/>
              <w:jc w:val="center"/>
              <w:rPr>
                <w:rFonts w:hint="eastAsia" w:ascii="宋体" w:hAnsi="宋体" w:eastAsia="宋体" w:cs="Arial"/>
                <w:lang w:eastAsia="zh-CN"/>
              </w:rPr>
            </w:pPr>
            <w:bookmarkStart w:id="67" w:name="_Toc14952"/>
            <w:bookmarkStart w:id="68" w:name="_Toc727"/>
            <w:r>
              <w:rPr>
                <w:rFonts w:hint="eastAsia" w:ascii="宋体" w:hAnsi="宋体" w:cs="Arial"/>
                <w:lang w:val="en-US" w:eastAsia="zh-CN"/>
              </w:rPr>
              <w:t>3</w:t>
            </w:r>
          </w:p>
        </w:tc>
        <w:tc>
          <w:tcPr>
            <w:tcW w:w="7916" w:type="dxa"/>
            <w:tcBorders>
              <w:top w:val="single" w:color="auto" w:sz="4" w:space="0"/>
              <w:left w:val="nil"/>
              <w:bottom w:val="single" w:color="auto" w:sz="4" w:space="0"/>
              <w:right w:val="single" w:color="auto" w:sz="4" w:space="0"/>
            </w:tcBorders>
            <w:noWrap w:val="0"/>
            <w:vAlign w:val="center"/>
          </w:tcPr>
          <w:p>
            <w:pPr>
              <w:spacing w:line="560" w:lineRule="exact"/>
              <w:rPr>
                <w:rFonts w:hint="eastAsia" w:ascii="宋体" w:hAnsi="宋体" w:cs="Arial"/>
              </w:rPr>
            </w:pPr>
            <w:r>
              <w:rPr>
                <w:rFonts w:hint="eastAsia" w:ascii="宋体" w:hAnsi="宋体" w:cs="Arial"/>
              </w:rPr>
              <w:t>履约保证金：</w:t>
            </w:r>
            <w:r>
              <w:rPr>
                <w:rFonts w:hint="eastAsia" w:ascii="宋体" w:hAnsi="宋体" w:cs="Arial"/>
                <w:b/>
                <w:bCs/>
                <w:color w:val="auto"/>
              </w:rPr>
              <w:t>中标供应商在签订合同时应提交履约保证金</w:t>
            </w:r>
            <w:r>
              <w:rPr>
                <w:rFonts w:hint="eastAsia" w:ascii="宋体" w:hAnsi="宋体" w:cs="Arial"/>
                <w:b/>
                <w:bCs/>
                <w:color w:val="auto"/>
                <w:lang w:val="en-US" w:eastAsia="zh-CN"/>
              </w:rPr>
              <w:t>3</w:t>
            </w:r>
            <w:r>
              <w:rPr>
                <w:rFonts w:hint="eastAsia" w:ascii="宋体" w:hAnsi="宋体" w:cs="宋体"/>
                <w:b/>
                <w:bCs/>
                <w:i w:val="0"/>
                <w:iCs w:val="0"/>
                <w:color w:val="auto"/>
                <w:szCs w:val="21"/>
                <w:lang w:val="en-US" w:eastAsia="zh-CN"/>
              </w:rPr>
              <w:t>0000元，</w:t>
            </w:r>
            <w:r>
              <w:rPr>
                <w:rFonts w:hint="eastAsia" w:ascii="宋体" w:hAnsi="宋体" w:cs="Arial"/>
                <w:b/>
                <w:bCs/>
                <w:color w:val="auto"/>
              </w:rPr>
              <w:t>支持转账、电汇、保函</w:t>
            </w:r>
            <w:r>
              <w:rPr>
                <w:rFonts w:hint="eastAsia" w:ascii="宋体" w:hAnsi="宋体" w:cs="Arial"/>
                <w:b/>
                <w:bCs/>
                <w:color w:val="auto"/>
                <w:lang w:val="en-US" w:eastAsia="zh-CN"/>
              </w:rPr>
              <w:t>等</w:t>
            </w:r>
            <w:r>
              <w:rPr>
                <w:rFonts w:hint="eastAsia" w:ascii="宋体" w:hAnsi="宋体" w:cs="Arial"/>
                <w:b/>
                <w:bCs/>
                <w:color w:val="auto"/>
              </w:rPr>
              <w:t>。</w:t>
            </w:r>
          </w:p>
        </w:tc>
      </w:tr>
    </w:tbl>
    <w:p>
      <w:pPr>
        <w:pStyle w:val="7"/>
        <w:rPr>
          <w:rFonts w:hint="eastAsia"/>
        </w:rPr>
      </w:pPr>
      <w:r>
        <w:rPr>
          <w:rFonts w:hint="eastAsia"/>
        </w:rPr>
        <w:t>二、合同条款</w:t>
      </w:r>
      <w:bookmarkEnd w:id="67"/>
      <w:bookmarkEnd w:id="68"/>
    </w:p>
    <w:p>
      <w:pPr>
        <w:pStyle w:val="15"/>
        <w:snapToGrid w:val="0"/>
        <w:spacing w:after="156" w:line="360" w:lineRule="auto"/>
        <w:ind w:left="0" w:firstLine="0"/>
        <w:rPr>
          <w:rFonts w:hint="eastAsia" w:ascii="宋体" w:hAnsi="宋体" w:eastAsia="宋体" w:cs="宋体"/>
          <w:b/>
          <w:bCs/>
          <w:sz w:val="21"/>
          <w:szCs w:val="21"/>
        </w:rPr>
      </w:pPr>
      <w:r>
        <w:rPr>
          <w:rFonts w:hint="eastAsia" w:ascii="宋体" w:hAnsi="宋体" w:eastAsia="宋体" w:cs="宋体"/>
          <w:b/>
          <w:bCs/>
          <w:sz w:val="21"/>
          <w:szCs w:val="21"/>
        </w:rPr>
        <w:t>1. 术语的定义</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1.1本合同下列术语应解释为：</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（1）“合同”是指委托和受托双方签署的、合同格式中载明的委托和受托双方所达成的协议，包括所有的附件、附录和构成合同的所有文件。</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（2）“合同价”是指根据合同规定，中标供应商在正确地完全履行合同义务后采购人应支付给中标供应商的货币数量。</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（3）“服务”是指政府采购合同服务清单（同磋商响应文件中开标一览表及其附表，下同）中所规定的服务内容。</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（3）“工程”是指政府采购合同工程量清单（同磋商响应文件中开标一览表及其附表，下同）和施工图纸中所规定的工程内容。</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（4）“合同条款”是指本章所述全部内容。</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（5）“合同特殊条款”是指采购文件正文部分第一章“合同特殊条款”。</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（6）“采购人”是指采购文件正文部分第一章“磋商人须知前附表”中所述购买服务的单位。</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（7）“中标供应商”是指通过采购确定的提供采购文件正文部分第八章“服务需求”/“工程量清单”中所述服务/工程的成交供应商。</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（8）“现场”是指合同规定的履行相关服务的地点。</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（9）“验收”是指委托、受托双方依据强制性的国家技术质量规范和合同规定，确认合同项下的服务符合合同规定的活动。</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（10）“天”指日历天数（如无特别说明）。</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（11）“检验”是指采购人按照合同约定的标准对中标供应商所提供的服务进行的检测与查验。</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（12）“检验合格证书”是指检验完成后由采购人和中标供应商共同签署的检验合格确认书。</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（13）“政府采购项目验收单”是指采购人根据检验合格证书签署的报同级政府采购监管部门的最终验收确认书。</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（14）“第三方”是指合同双方以外的任何中国境内、外的自然人、法人或其他经济组织。</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（15）“法律、法规”是指由中国各级政府及有关部门制定的法律、行政法规、地方性法规、规章及其他规范性文件。</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（16）“采购文件”是指由采购代理机构发布的采购文本。</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（17）“磋商响应文件”是指中标供应商按照采购代理机构发布的采购文件的要求编制、提交并最终被磋商小组接受的磋商响应文本。</w:t>
      </w:r>
    </w:p>
    <w:p>
      <w:pPr>
        <w:pStyle w:val="15"/>
        <w:snapToGrid w:val="0"/>
        <w:spacing w:after="156" w:line="360" w:lineRule="auto"/>
        <w:ind w:left="0" w:firstLine="0"/>
        <w:rPr>
          <w:rFonts w:hint="eastAsia" w:ascii="宋体" w:hAnsi="宋体" w:eastAsia="宋体"/>
          <w:b/>
          <w:bCs/>
          <w:kern w:val="0"/>
          <w:sz w:val="21"/>
          <w:szCs w:val="21"/>
        </w:rPr>
      </w:pPr>
      <w:r>
        <w:rPr>
          <w:rFonts w:hint="eastAsia" w:ascii="宋体" w:hAnsi="宋体" w:eastAsia="宋体"/>
          <w:b/>
          <w:bCs/>
          <w:sz w:val="21"/>
          <w:szCs w:val="21"/>
        </w:rPr>
        <w:t>2.</w:t>
      </w:r>
      <w:r>
        <w:rPr>
          <w:rFonts w:hint="eastAsia" w:ascii="宋体" w:hAnsi="宋体" w:eastAsia="宋体"/>
          <w:b/>
          <w:bCs/>
          <w:kern w:val="0"/>
          <w:sz w:val="21"/>
          <w:szCs w:val="21"/>
        </w:rPr>
        <w:t>技术规范与服务内容</w:t>
      </w:r>
    </w:p>
    <w:p>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2.1 投标服务的技术规范应与采购文件规定的技术规范（如果有的话）相一致。若无相应说明，则以国家有关部门最新颁布的相应标准及规范为准。</w:t>
      </w:r>
    </w:p>
    <w:p>
      <w:pPr>
        <w:snapToGrid w:val="0"/>
        <w:spacing w:after="156" w:line="360" w:lineRule="auto"/>
        <w:ind w:firstLine="420" w:firstLineChars="200"/>
        <w:jc w:val="left"/>
        <w:rPr>
          <w:rFonts w:hint="eastAsia" w:ascii="宋体" w:hAnsi="宋体"/>
        </w:rPr>
      </w:pPr>
      <w:r>
        <w:rPr>
          <w:rFonts w:hint="eastAsia" w:ascii="宋体" w:hAnsi="宋体"/>
          <w:kern w:val="0"/>
        </w:rPr>
        <w:t>2.2 投标服务的服务内容应与采购文件规定的服务内容及磋商响应文件中的服务指标响应表一致。</w:t>
      </w:r>
    </w:p>
    <w:p>
      <w:pPr>
        <w:snapToGrid w:val="0"/>
        <w:spacing w:after="156" w:line="360" w:lineRule="auto"/>
        <w:rPr>
          <w:rFonts w:hint="eastAsia" w:ascii="宋体" w:hAnsi="宋体"/>
          <w:b/>
          <w:bCs/>
        </w:rPr>
      </w:pPr>
      <w:r>
        <w:rPr>
          <w:rFonts w:hint="eastAsia" w:ascii="宋体" w:hAnsi="宋体"/>
          <w:b/>
          <w:bCs/>
        </w:rPr>
        <w:t>3. 知识产权</w:t>
      </w:r>
    </w:p>
    <w:p>
      <w:pPr>
        <w:snapToGrid w:val="0"/>
        <w:spacing w:after="156" w:line="360" w:lineRule="auto"/>
        <w:ind w:firstLine="420" w:firstLineChars="200"/>
        <w:rPr>
          <w:rFonts w:hint="eastAsia" w:ascii="宋体" w:hAnsi="宋体"/>
        </w:rPr>
      </w:pPr>
      <w:r>
        <w:rPr>
          <w:rFonts w:hint="eastAsia" w:ascii="宋体" w:hAnsi="宋体"/>
        </w:rPr>
        <w:t>中标供应商</w:t>
      </w:r>
      <w:r>
        <w:rPr>
          <w:rFonts w:hint="eastAsia" w:ascii="宋体" w:hAnsi="宋体"/>
          <w:kern w:val="0"/>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pPr>
        <w:snapToGrid w:val="0"/>
        <w:spacing w:after="156" w:line="360" w:lineRule="auto"/>
        <w:rPr>
          <w:rFonts w:hint="eastAsia" w:ascii="宋体" w:hAnsi="宋体"/>
          <w:b/>
          <w:bCs/>
        </w:rPr>
      </w:pPr>
      <w:r>
        <w:rPr>
          <w:rFonts w:hint="eastAsia" w:ascii="宋体" w:hAnsi="宋体"/>
          <w:b/>
          <w:bCs/>
        </w:rPr>
        <w:t>4. 完成方式</w:t>
      </w:r>
    </w:p>
    <w:p>
      <w:pPr>
        <w:snapToGrid w:val="0"/>
        <w:spacing w:after="156" w:line="360" w:lineRule="auto"/>
        <w:ind w:firstLine="411" w:firstLineChars="196"/>
        <w:rPr>
          <w:rFonts w:hint="eastAsia" w:ascii="宋体" w:hAnsi="宋体"/>
          <w:kern w:val="0"/>
        </w:rPr>
      </w:pPr>
      <w:r>
        <w:rPr>
          <w:rFonts w:hint="eastAsia" w:ascii="宋体" w:hAnsi="宋体"/>
        </w:rPr>
        <w:t>中标供应商应按照采购文件正文部分第一章“八、服务需求”及“九、商务和技术要求”规定的时间和地点完成服务</w:t>
      </w:r>
      <w:r>
        <w:rPr>
          <w:rFonts w:hint="eastAsia" w:ascii="宋体" w:hAnsi="宋体"/>
          <w:kern w:val="0"/>
        </w:rPr>
        <w:t>。</w:t>
      </w:r>
    </w:p>
    <w:p>
      <w:pPr>
        <w:adjustRightInd w:val="0"/>
        <w:snapToGrid w:val="0"/>
        <w:spacing w:after="156" w:line="360" w:lineRule="auto"/>
        <w:rPr>
          <w:rFonts w:hint="eastAsia" w:ascii="宋体" w:hAnsi="宋体"/>
          <w:b/>
          <w:bCs/>
        </w:rPr>
      </w:pPr>
      <w:r>
        <w:rPr>
          <w:rFonts w:hint="eastAsia" w:ascii="宋体" w:hAnsi="宋体"/>
          <w:b/>
          <w:bCs/>
        </w:rPr>
        <w:t>5. 付款</w:t>
      </w:r>
    </w:p>
    <w:p>
      <w:pPr>
        <w:snapToGrid w:val="0"/>
        <w:spacing w:after="156" w:line="360" w:lineRule="auto"/>
        <w:ind w:firstLine="480"/>
        <w:rPr>
          <w:rFonts w:hint="eastAsia" w:ascii="宋体" w:hAnsi="宋体"/>
        </w:rPr>
      </w:pPr>
      <w:r>
        <w:rPr>
          <w:rFonts w:hint="eastAsia" w:ascii="宋体" w:hAnsi="宋体"/>
        </w:rPr>
        <w:t>5.1合同以人民币付款。</w:t>
      </w:r>
    </w:p>
    <w:p>
      <w:pPr>
        <w:snapToGrid w:val="0"/>
        <w:spacing w:after="156" w:line="360" w:lineRule="auto"/>
        <w:ind w:firstLine="480"/>
        <w:rPr>
          <w:rFonts w:hint="eastAsia" w:ascii="宋体" w:hAnsi="宋体"/>
        </w:rPr>
      </w:pPr>
      <w:r>
        <w:rPr>
          <w:rFonts w:hint="eastAsia" w:ascii="宋体" w:hAnsi="宋体"/>
        </w:rPr>
        <w:t>5.2 在中标供应商按照合同的规定履行服务后，将按照采购文件正文部分</w:t>
      </w:r>
      <w:r>
        <w:rPr>
          <w:rFonts w:hint="eastAsia" w:ascii="宋体" w:hAnsi="宋体"/>
          <w:kern w:val="0"/>
        </w:rPr>
        <w:t>“合同条款前附表”规定</w:t>
      </w:r>
      <w:r>
        <w:rPr>
          <w:rFonts w:hint="eastAsia" w:ascii="宋体" w:hAnsi="宋体"/>
        </w:rPr>
        <w:t>的付款方式付款。</w:t>
      </w:r>
    </w:p>
    <w:p>
      <w:pPr>
        <w:pStyle w:val="2"/>
        <w:ind w:left="0" w:leftChars="0" w:firstLine="420" w:firstLineChars="200"/>
        <w:rPr>
          <w:rFonts w:hint="eastAsia"/>
        </w:rPr>
      </w:pPr>
      <w:r>
        <w:rPr>
          <w:rFonts w:hint="eastAsia" w:ascii="宋体" w:hAnsi="宋体" w:eastAsia="宋体" w:cs="Times New Roman"/>
          <w:kern w:val="2"/>
          <w:sz w:val="21"/>
          <w:szCs w:val="21"/>
          <w:lang w:val="en-US" w:eastAsia="zh-CN" w:bidi="ar-SA"/>
        </w:rPr>
        <w:t>5.3政府采购货物和服务项目不得收取质量保证金以及其他没有法律依据的保证金。（《安徽省财政厅关于进一步优化营商环境的通知》皖财购[2022]556号）</w:t>
      </w:r>
    </w:p>
    <w:p>
      <w:pPr>
        <w:adjustRightInd w:val="0"/>
        <w:snapToGrid w:val="0"/>
        <w:spacing w:after="156" w:line="360" w:lineRule="auto"/>
        <w:rPr>
          <w:rFonts w:hint="eastAsia" w:ascii="宋体" w:hAnsi="宋体"/>
          <w:b/>
          <w:bCs/>
        </w:rPr>
      </w:pPr>
      <w:r>
        <w:rPr>
          <w:rFonts w:hint="eastAsia" w:ascii="宋体" w:hAnsi="宋体"/>
          <w:b/>
          <w:bCs/>
        </w:rPr>
        <w:t>6. 履约保证金</w:t>
      </w:r>
    </w:p>
    <w:p>
      <w:pPr>
        <w:snapToGrid w:val="0"/>
        <w:spacing w:after="156" w:line="360" w:lineRule="auto"/>
        <w:ind w:firstLine="480"/>
        <w:rPr>
          <w:rFonts w:hint="eastAsia" w:ascii="宋体" w:hAnsi="宋体"/>
        </w:rPr>
      </w:pPr>
      <w:r>
        <w:rPr>
          <w:rFonts w:hint="eastAsia" w:ascii="宋体" w:hAnsi="宋体"/>
        </w:rPr>
        <w:t>6.1中标供应商应在签订合同的同时，提供相当于合同总价</w:t>
      </w:r>
      <w:r>
        <w:rPr>
          <w:rFonts w:hint="eastAsia" w:ascii="宋体" w:hAnsi="宋体"/>
          <w:u w:val="single"/>
        </w:rPr>
        <w:t xml:space="preserve"> </w:t>
      </w:r>
      <w:r>
        <w:rPr>
          <w:rFonts w:hint="eastAsia" w:ascii="宋体" w:hAnsi="宋体"/>
          <w:u w:val="single"/>
          <w:lang w:val="en-US" w:eastAsia="zh-CN"/>
        </w:rPr>
        <w:t>2</w:t>
      </w:r>
      <w:r>
        <w:rPr>
          <w:rFonts w:hint="eastAsia" w:ascii="宋体" w:hAnsi="宋体"/>
          <w:u w:val="single"/>
        </w:rPr>
        <w:t xml:space="preserve"> </w:t>
      </w:r>
      <w:r>
        <w:rPr>
          <w:rFonts w:hint="eastAsia" w:ascii="宋体" w:hAnsi="宋体"/>
        </w:rPr>
        <w:t>%的履约保证金或等额金融机构、担保机构出具的保函）。</w:t>
      </w:r>
    </w:p>
    <w:p>
      <w:pPr>
        <w:snapToGrid w:val="0"/>
        <w:spacing w:after="156" w:line="360" w:lineRule="auto"/>
        <w:ind w:firstLine="420" w:firstLineChars="200"/>
        <w:rPr>
          <w:rFonts w:hint="eastAsia" w:ascii="宋体" w:hAnsi="宋体"/>
        </w:rPr>
      </w:pPr>
      <w:r>
        <w:rPr>
          <w:rFonts w:hint="eastAsia" w:ascii="宋体" w:hAnsi="宋体"/>
        </w:rPr>
        <w:t xml:space="preserve"> 6.2如中标供应商未能履行其合同规定的义务，采购人有权从履约保证金中取得补偿。</w:t>
      </w:r>
    </w:p>
    <w:p>
      <w:pPr>
        <w:adjustRightInd w:val="0"/>
        <w:snapToGrid w:val="0"/>
        <w:spacing w:after="156" w:line="360" w:lineRule="auto"/>
        <w:rPr>
          <w:rFonts w:hint="eastAsia" w:ascii="宋体" w:hAnsi="宋体"/>
          <w:b/>
          <w:bCs/>
        </w:rPr>
      </w:pPr>
      <w:r>
        <w:rPr>
          <w:rFonts w:hint="eastAsia" w:ascii="宋体" w:hAnsi="宋体"/>
          <w:b/>
          <w:bCs/>
        </w:rPr>
        <w:t>7. 检验和验收</w:t>
      </w:r>
    </w:p>
    <w:p>
      <w:pPr>
        <w:snapToGrid w:val="0"/>
        <w:spacing w:after="156" w:line="360" w:lineRule="auto"/>
        <w:ind w:firstLine="480"/>
        <w:rPr>
          <w:rFonts w:hint="eastAsia" w:ascii="宋体" w:hAnsi="宋体"/>
        </w:rPr>
      </w:pPr>
      <w:r>
        <w:rPr>
          <w:rFonts w:hint="eastAsia" w:ascii="宋体" w:hAnsi="宋体"/>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snapToGrid w:val="0"/>
        <w:spacing w:after="156" w:line="360" w:lineRule="auto"/>
        <w:ind w:firstLine="480"/>
        <w:rPr>
          <w:rFonts w:hint="eastAsia" w:ascii="宋体" w:hAnsi="宋体"/>
        </w:rPr>
      </w:pPr>
      <w:r>
        <w:rPr>
          <w:rFonts w:hint="eastAsia" w:ascii="宋体" w:hAnsi="宋体"/>
        </w:rPr>
        <w:t>7.2采购人或其委托的采购代理机构应当根据项目特点制定验收方案，明确履约验收的时间、方式、程序等内容。</w:t>
      </w:r>
    </w:p>
    <w:p>
      <w:pPr>
        <w:snapToGrid w:val="0"/>
        <w:spacing w:after="156" w:line="360" w:lineRule="auto"/>
        <w:ind w:firstLine="480"/>
        <w:rPr>
          <w:rFonts w:hint="eastAsia" w:ascii="宋体" w:hAnsi="宋体"/>
        </w:rPr>
      </w:pPr>
      <w:r>
        <w:rPr>
          <w:rFonts w:hint="eastAsia" w:ascii="宋体" w:hAnsi="宋体"/>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napToGrid w:val="0"/>
        <w:spacing w:after="156" w:line="360" w:lineRule="auto"/>
        <w:ind w:firstLine="480"/>
        <w:rPr>
          <w:rFonts w:hint="eastAsia" w:ascii="宋体" w:hAnsi="宋体"/>
        </w:rPr>
      </w:pPr>
      <w:r>
        <w:rPr>
          <w:rFonts w:hint="eastAsia" w:ascii="宋体" w:hAnsi="宋体"/>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napToGrid w:val="0"/>
        <w:spacing w:after="156" w:line="360" w:lineRule="auto"/>
        <w:ind w:firstLine="480"/>
        <w:rPr>
          <w:rFonts w:hint="eastAsia" w:ascii="宋体" w:hAnsi="宋体"/>
        </w:rPr>
      </w:pPr>
      <w:r>
        <w:rPr>
          <w:rFonts w:hint="eastAsia" w:ascii="宋体" w:hAnsi="宋体"/>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adjustRightInd w:val="0"/>
        <w:snapToGrid w:val="0"/>
        <w:spacing w:after="156" w:line="360" w:lineRule="auto"/>
        <w:rPr>
          <w:rFonts w:hint="eastAsia" w:ascii="宋体" w:hAnsi="宋体"/>
          <w:b/>
          <w:bCs/>
        </w:rPr>
      </w:pPr>
      <w:r>
        <w:rPr>
          <w:rFonts w:hint="eastAsia" w:ascii="宋体" w:hAnsi="宋体"/>
          <w:b/>
          <w:bCs/>
        </w:rPr>
        <w:t>8. 索赔</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8.1 如果服务的质量、数量等与合同不符，或在规定的质量保证期内证实服务存在缺陷（包括潜在的缺陷等），采购人有权根据有资质的质检机构的检验结果向中标供应商提出索赔。</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8.2 在合同规定的验收期和质量保证期内，如果中标供应商对采购人提出的索赔负有责任，中标供应商应按照采购人同意的方式解决索赔事宜。</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pPr>
        <w:adjustRightInd w:val="0"/>
        <w:snapToGrid w:val="0"/>
        <w:spacing w:after="156" w:line="360" w:lineRule="auto"/>
        <w:rPr>
          <w:rFonts w:hint="eastAsia" w:ascii="宋体" w:hAnsi="宋体"/>
          <w:b/>
          <w:bCs/>
        </w:rPr>
      </w:pPr>
      <w:r>
        <w:rPr>
          <w:rFonts w:hint="eastAsia" w:ascii="宋体" w:hAnsi="宋体"/>
          <w:b/>
          <w:bCs/>
        </w:rPr>
        <w:t>9.履约延误和误期赔偿</w:t>
      </w:r>
    </w:p>
    <w:p>
      <w:pPr>
        <w:snapToGrid w:val="0"/>
        <w:spacing w:after="156" w:line="360" w:lineRule="auto"/>
        <w:ind w:firstLine="420" w:firstLineChars="200"/>
        <w:rPr>
          <w:rFonts w:hint="eastAsia" w:ascii="宋体" w:hAnsi="宋体"/>
        </w:rPr>
      </w:pPr>
      <w:r>
        <w:rPr>
          <w:rFonts w:hint="eastAsia" w:ascii="宋体" w:hAnsi="宋体"/>
        </w:rPr>
        <w:t>9.1 如中标供应商无正当理由而拖延提供服务，采购人有权提出误期赔偿或解除合同。</w:t>
      </w:r>
    </w:p>
    <w:p>
      <w:pPr>
        <w:snapToGrid w:val="0"/>
        <w:spacing w:after="156" w:line="360" w:lineRule="auto"/>
        <w:ind w:firstLine="420" w:firstLineChars="200"/>
        <w:rPr>
          <w:rFonts w:hint="eastAsia" w:ascii="宋体" w:hAnsi="宋体"/>
        </w:rPr>
      </w:pPr>
      <w:r>
        <w:rPr>
          <w:rFonts w:hint="eastAsia" w:ascii="宋体" w:hAnsi="宋体"/>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pPr>
        <w:snapToGrid w:val="0"/>
        <w:spacing w:after="156" w:line="360" w:lineRule="auto"/>
        <w:ind w:firstLine="420" w:firstLineChars="200"/>
        <w:rPr>
          <w:rFonts w:hint="eastAsia" w:ascii="宋体" w:hAnsi="宋体"/>
          <w:kern w:val="0"/>
        </w:rPr>
      </w:pPr>
      <w:r>
        <w:rPr>
          <w:rFonts w:hint="eastAsia" w:ascii="宋体" w:hAnsi="宋体"/>
        </w:rPr>
        <w:t xml:space="preserve">9.3 </w:t>
      </w:r>
      <w:r>
        <w:rPr>
          <w:rFonts w:hint="eastAsia" w:ascii="宋体" w:hAnsi="宋体"/>
          <w:kern w:val="0"/>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pPr>
        <w:snapToGrid w:val="0"/>
        <w:spacing w:after="156" w:line="360" w:lineRule="auto"/>
        <w:rPr>
          <w:rFonts w:hint="eastAsia" w:ascii="宋体" w:hAnsi="宋体"/>
          <w:b/>
          <w:bCs/>
        </w:rPr>
      </w:pPr>
      <w:r>
        <w:rPr>
          <w:rFonts w:hint="eastAsia" w:ascii="宋体" w:hAnsi="宋体"/>
          <w:b/>
          <w:bCs/>
        </w:rPr>
        <w:t>10. 不可抗力</w:t>
      </w:r>
    </w:p>
    <w:p>
      <w:pPr>
        <w:snapToGrid w:val="0"/>
        <w:spacing w:after="156" w:line="360" w:lineRule="auto"/>
        <w:ind w:firstLine="420" w:firstLineChars="200"/>
        <w:rPr>
          <w:rFonts w:hint="eastAsia" w:ascii="宋体" w:hAnsi="宋体"/>
          <w:kern w:val="0"/>
        </w:rPr>
      </w:pPr>
      <w:r>
        <w:rPr>
          <w:rFonts w:hint="eastAsia" w:ascii="宋体" w:hAnsi="宋体"/>
          <w:kern w:val="0"/>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rPr>
        <w:t>商定的事件。</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pPr>
        <w:adjustRightInd w:val="0"/>
        <w:snapToGrid w:val="0"/>
        <w:spacing w:after="156" w:line="360" w:lineRule="auto"/>
        <w:ind w:firstLine="420" w:firstLineChars="200"/>
        <w:rPr>
          <w:rFonts w:hint="eastAsia" w:ascii="宋体" w:hAnsi="宋体"/>
          <w:b/>
          <w:bCs/>
          <w:kern w:val="0"/>
        </w:rPr>
      </w:pPr>
      <w:r>
        <w:rPr>
          <w:rFonts w:hint="eastAsia" w:ascii="宋体" w:hAnsi="宋体"/>
          <w:kern w:val="0"/>
        </w:rPr>
        <w:t>10.4 不可抗力致使合同的某些内容有变更必要的，双方应通过协商达成进一步履行合同的协议，因不可抗力致使合同不能履行的，合同终止。</w:t>
      </w:r>
    </w:p>
    <w:p>
      <w:pPr>
        <w:snapToGrid w:val="0"/>
        <w:spacing w:after="50" w:line="360" w:lineRule="auto"/>
        <w:rPr>
          <w:rFonts w:hint="eastAsia" w:ascii="宋体" w:hAnsi="宋体"/>
          <w:b/>
          <w:bCs/>
        </w:rPr>
      </w:pPr>
      <w:r>
        <w:rPr>
          <w:rFonts w:hint="eastAsia" w:ascii="宋体" w:hAnsi="宋体"/>
          <w:b/>
          <w:bCs/>
        </w:rPr>
        <w:t>11. 税费</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11.1中国政府根据现行税法对采购人征收的、与本合同有关的一切税费，均由采购人负担。</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11.2中国政府根据现行税法对中标供应商征收的、与本合同有关的一切税费，均由中标供应商负担。</w:t>
      </w:r>
    </w:p>
    <w:p>
      <w:pPr>
        <w:snapToGrid w:val="0"/>
        <w:spacing w:after="50" w:line="360" w:lineRule="auto"/>
        <w:rPr>
          <w:rFonts w:hint="eastAsia" w:ascii="宋体" w:hAnsi="宋体"/>
          <w:b/>
          <w:bCs/>
        </w:rPr>
      </w:pPr>
      <w:r>
        <w:rPr>
          <w:rFonts w:hint="eastAsia" w:ascii="宋体" w:hAnsi="宋体"/>
          <w:b/>
          <w:bCs/>
        </w:rPr>
        <w:t>12. 仲裁</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rPr>
        <w:t>则应向</w:t>
      </w:r>
      <w:r>
        <w:rPr>
          <w:rFonts w:hint="eastAsia" w:ascii="宋体" w:hAnsi="宋体"/>
          <w:u w:val="single"/>
        </w:rPr>
        <w:t xml:space="preserve">    </w:t>
      </w:r>
      <w:r>
        <w:rPr>
          <w:rFonts w:hint="eastAsia" w:ascii="宋体" w:hAnsi="宋体"/>
          <w:u w:val="single"/>
          <w:lang w:val="en-US" w:eastAsia="zh-CN"/>
        </w:rPr>
        <w:t>宿州</w:t>
      </w:r>
      <w:r>
        <w:rPr>
          <w:rFonts w:hint="eastAsia" w:ascii="宋体" w:hAnsi="宋体"/>
          <w:u w:val="single"/>
        </w:rPr>
        <w:t xml:space="preserve">  </w:t>
      </w:r>
      <w:r>
        <w:rPr>
          <w:rFonts w:hint="eastAsia" w:ascii="宋体" w:hAnsi="宋体"/>
        </w:rPr>
        <w:t>仲裁委员会申请仲裁。</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12.2在仲裁期间，合同应继续履行。</w:t>
      </w:r>
    </w:p>
    <w:p>
      <w:pPr>
        <w:adjustRightInd w:val="0"/>
        <w:snapToGrid w:val="0"/>
        <w:spacing w:after="156" w:line="360" w:lineRule="auto"/>
        <w:rPr>
          <w:rFonts w:hint="eastAsia" w:ascii="宋体" w:hAnsi="宋体"/>
          <w:b/>
          <w:bCs/>
        </w:rPr>
      </w:pPr>
      <w:r>
        <w:rPr>
          <w:rFonts w:hint="eastAsia" w:ascii="宋体" w:hAnsi="宋体"/>
          <w:b/>
          <w:bCs/>
        </w:rPr>
        <w:t>13. 违约终止合同</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13.1在采购人对中标供应商违约而采取的任何补救措施不受影响的情况下，采购人可向中标供应商发出终止部分或全部合同的书面通知书。</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（1）如果中标供应商未能按合同规定的期限或采购人同意延长的限期内提供部分或全部服务；</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（2）中标供应商在收到采购人发出的违约通知后20天内，或经采购人书面认可延长的时间内未能纠正其过失；</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（3）如果中标供应商未能履行合同规定的其他义务。</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pPr>
        <w:adjustRightInd w:val="0"/>
        <w:snapToGrid w:val="0"/>
        <w:spacing w:after="156" w:line="360" w:lineRule="auto"/>
        <w:rPr>
          <w:rFonts w:hint="eastAsia" w:ascii="宋体" w:hAnsi="宋体"/>
          <w:b/>
          <w:bCs/>
        </w:rPr>
      </w:pPr>
      <w:r>
        <w:rPr>
          <w:rFonts w:hint="eastAsia" w:ascii="宋体" w:hAnsi="宋体"/>
          <w:b/>
          <w:bCs/>
        </w:rPr>
        <w:t>14. 破产终止合同</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pPr>
        <w:adjustRightInd w:val="0"/>
        <w:snapToGrid w:val="0"/>
        <w:spacing w:after="156" w:line="360" w:lineRule="auto"/>
        <w:rPr>
          <w:rFonts w:hint="eastAsia" w:ascii="宋体" w:hAnsi="宋体"/>
          <w:b/>
          <w:bCs/>
        </w:rPr>
      </w:pPr>
      <w:r>
        <w:rPr>
          <w:rFonts w:hint="eastAsia" w:ascii="宋体" w:hAnsi="宋体"/>
          <w:b/>
          <w:bCs/>
        </w:rPr>
        <w:t>15. 转让和分包</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15.1合同不能擅自转让或分包。</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pPr>
        <w:adjustRightInd w:val="0"/>
        <w:snapToGrid w:val="0"/>
        <w:spacing w:after="156" w:line="360" w:lineRule="auto"/>
        <w:rPr>
          <w:rFonts w:hint="eastAsia" w:ascii="宋体" w:hAnsi="宋体"/>
          <w:b/>
          <w:bCs/>
        </w:rPr>
      </w:pPr>
      <w:r>
        <w:rPr>
          <w:rFonts w:hint="eastAsia" w:ascii="宋体" w:hAnsi="宋体"/>
          <w:b/>
          <w:bCs/>
        </w:rPr>
        <w:t>16. 合同修改</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pPr>
        <w:adjustRightInd w:val="0"/>
        <w:snapToGrid w:val="0"/>
        <w:spacing w:after="156" w:line="360" w:lineRule="auto"/>
        <w:rPr>
          <w:rFonts w:hint="eastAsia" w:ascii="宋体" w:hAnsi="宋体"/>
          <w:b/>
          <w:bCs/>
        </w:rPr>
      </w:pPr>
      <w:r>
        <w:rPr>
          <w:rFonts w:hint="eastAsia" w:ascii="宋体" w:hAnsi="宋体"/>
          <w:b/>
          <w:bCs/>
        </w:rPr>
        <w:t>17. 通知</w:t>
      </w:r>
    </w:p>
    <w:p>
      <w:pPr>
        <w:adjustRightInd w:val="0"/>
        <w:snapToGrid w:val="0"/>
        <w:spacing w:after="156" w:line="360" w:lineRule="auto"/>
        <w:ind w:firstLine="420" w:firstLineChars="200"/>
        <w:rPr>
          <w:rFonts w:hint="eastAsia" w:ascii="宋体" w:hAnsi="宋体"/>
          <w:kern w:val="0"/>
        </w:rPr>
      </w:pPr>
      <w:r>
        <w:rPr>
          <w:rFonts w:hint="eastAsia" w:ascii="宋体" w:hAnsi="宋体"/>
          <w:kern w:val="0"/>
        </w:rPr>
        <w:t>政府采购合同一方给另一方的通知都应以书面形式发送至规定的对方地址。通知以送达日期或通知书规定的生效日期为生效日期，两者中以晚的一个日期为准。</w:t>
      </w:r>
    </w:p>
    <w:p>
      <w:pPr>
        <w:snapToGrid w:val="0"/>
        <w:spacing w:after="156" w:line="360" w:lineRule="auto"/>
        <w:rPr>
          <w:rFonts w:hint="eastAsia" w:ascii="宋体" w:hAnsi="宋体"/>
          <w:b/>
          <w:bCs/>
        </w:rPr>
      </w:pPr>
      <w:r>
        <w:rPr>
          <w:rFonts w:hint="eastAsia" w:ascii="宋体" w:hAnsi="宋体"/>
          <w:b/>
          <w:bCs/>
        </w:rPr>
        <w:t>18.合同生效</w:t>
      </w:r>
    </w:p>
    <w:p>
      <w:pPr>
        <w:snapToGrid w:val="0"/>
        <w:spacing w:line="360" w:lineRule="auto"/>
        <w:ind w:firstLine="420" w:firstLineChars="200"/>
        <w:rPr>
          <w:rFonts w:hint="eastAsia" w:ascii="宋体" w:hAnsi="宋体"/>
          <w:kern w:val="0"/>
        </w:rPr>
      </w:pPr>
      <w:r>
        <w:rPr>
          <w:rFonts w:hint="eastAsia" w:ascii="宋体" w:hAnsi="宋体"/>
          <w:kern w:val="0"/>
        </w:rPr>
        <w:t>18.1合同内容的确定应以采购文件和磋商响应文件为基础，不得违背其实质性内容。合同应在买卖双方和采购代理机构、交易中心签字、盖章，并在中标供应商交纳履约保证金后即开始生效。</w:t>
      </w:r>
    </w:p>
    <w:p>
      <w:pPr>
        <w:snapToGrid w:val="0"/>
        <w:spacing w:line="360" w:lineRule="auto"/>
        <w:ind w:firstLine="420" w:firstLineChars="200"/>
        <w:rPr>
          <w:rFonts w:hint="eastAsia" w:ascii="宋体" w:hAnsi="宋体"/>
          <w:kern w:val="0"/>
        </w:rPr>
      </w:pPr>
      <w:r>
        <w:rPr>
          <w:rFonts w:hint="eastAsia" w:ascii="宋体" w:hAnsi="宋体"/>
          <w:kern w:val="0"/>
        </w:rPr>
        <w:t>18.2本合同一式四份，以中文书就，采购人、中标供应商、采购代理机构各执一份，送政府采购管理机构留存一份。</w:t>
      </w:r>
    </w:p>
    <w:p>
      <w:pPr>
        <w:adjustRightInd w:val="0"/>
        <w:snapToGrid w:val="0"/>
        <w:spacing w:after="156" w:line="360" w:lineRule="auto"/>
        <w:rPr>
          <w:rFonts w:hint="eastAsia" w:ascii="宋体" w:hAnsi="宋体"/>
          <w:b/>
          <w:bCs/>
        </w:rPr>
      </w:pPr>
      <w:r>
        <w:rPr>
          <w:rFonts w:hint="eastAsia" w:ascii="宋体" w:hAnsi="宋体"/>
          <w:b/>
          <w:bCs/>
        </w:rPr>
        <w:t>19. 补充条款</w:t>
      </w:r>
    </w:p>
    <w:p>
      <w:pPr>
        <w:snapToGrid w:val="0"/>
        <w:spacing w:after="50" w:line="360" w:lineRule="auto"/>
        <w:ind w:firstLine="411" w:firstLineChars="196"/>
        <w:rPr>
          <w:rFonts w:hint="eastAsia" w:ascii="宋体" w:hAnsi="宋体"/>
          <w:kern w:val="0"/>
        </w:rPr>
      </w:pPr>
      <w:r>
        <w:rPr>
          <w:rFonts w:hint="eastAsia" w:ascii="宋体" w:hAnsi="宋体"/>
          <w:kern w:val="0"/>
        </w:rPr>
        <w:t>如需修改或补充合同内容，经协商，双方可签署书面修改或补充协议，该协议将作为合同的一个组成部分。</w:t>
      </w:r>
    </w:p>
    <w:p>
      <w:pPr>
        <w:pStyle w:val="7"/>
        <w:rPr>
          <w:rFonts w:hint="eastAsia"/>
        </w:rPr>
      </w:pPr>
      <w:bookmarkStart w:id="69" w:name="_Toc84"/>
      <w:bookmarkStart w:id="70" w:name="_Toc23556"/>
      <w:r>
        <w:rPr>
          <w:rFonts w:hint="eastAsia"/>
        </w:rPr>
        <w:t>三、合同格式</w:t>
      </w:r>
      <w:bookmarkEnd w:id="69"/>
      <w:bookmarkEnd w:id="70"/>
    </w:p>
    <w:p>
      <w:pPr>
        <w:spacing w:line="360" w:lineRule="auto"/>
        <w:rPr>
          <w:rFonts w:hint="eastAsia" w:ascii="宋体" w:hAnsi="宋体"/>
        </w:rPr>
      </w:pPr>
      <w:r>
        <w:rPr>
          <w:rFonts w:hint="eastAsia" w:ascii="宋体" w:hAnsi="宋体"/>
        </w:rPr>
        <w:t xml:space="preserve">采  购  人（甲方）： </w:t>
      </w:r>
      <w:r>
        <w:rPr>
          <w:rFonts w:hint="eastAsia" w:ascii="宋体" w:hAnsi="宋体"/>
          <w:u w:val="single"/>
        </w:rPr>
        <w:t xml:space="preserve">      </w:t>
      </w:r>
      <w:r>
        <w:rPr>
          <w:rFonts w:hint="eastAsia" w:ascii="宋体" w:hAnsi="宋体"/>
          <w:u w:val="single"/>
          <w:lang w:val="en-US" w:eastAsia="zh-CN"/>
        </w:rPr>
        <w:t>皖北卫生职业学院</w:t>
      </w:r>
      <w:r>
        <w:rPr>
          <w:rFonts w:hint="eastAsia" w:ascii="宋体" w:hAnsi="宋体"/>
          <w:u w:val="single"/>
        </w:rPr>
        <w:t xml:space="preserve">           </w:t>
      </w:r>
      <w:r>
        <w:rPr>
          <w:rFonts w:hint="eastAsia" w:ascii="宋体" w:hAnsi="宋体"/>
        </w:rPr>
        <w:t xml:space="preserve"> </w:t>
      </w:r>
    </w:p>
    <w:p>
      <w:pPr>
        <w:spacing w:line="360" w:lineRule="auto"/>
        <w:ind w:left="840" w:hanging="840" w:hangingChars="400"/>
        <w:rPr>
          <w:rFonts w:hint="eastAsia" w:ascii="宋体" w:hAnsi="宋体"/>
        </w:rPr>
      </w:pPr>
      <w:r>
        <w:rPr>
          <w:rFonts w:hint="eastAsia" w:ascii="宋体" w:hAnsi="宋体"/>
        </w:rPr>
        <w:t xml:space="preserve">中标供应商（乙方）： </w:t>
      </w:r>
      <w:r>
        <w:rPr>
          <w:rFonts w:hint="eastAsia" w:ascii="宋体" w:hAnsi="宋体"/>
          <w:u w:val="single"/>
        </w:rPr>
        <w:t xml:space="preserve">                                        </w:t>
      </w:r>
      <w:r>
        <w:rPr>
          <w:rFonts w:hint="eastAsia" w:ascii="宋体" w:hAnsi="宋体"/>
        </w:rPr>
        <w:t xml:space="preserve"> </w:t>
      </w:r>
    </w:p>
    <w:p>
      <w:pPr>
        <w:spacing w:line="360" w:lineRule="auto"/>
        <w:ind w:left="840" w:hanging="840" w:hangingChars="400"/>
        <w:rPr>
          <w:rFonts w:hint="eastAsia" w:ascii="宋体" w:hAnsi="宋体"/>
          <w:u w:val="single"/>
        </w:rPr>
      </w:pPr>
      <w:r>
        <w:rPr>
          <w:rFonts w:hint="eastAsia" w:ascii="宋体" w:hAnsi="宋体"/>
        </w:rPr>
        <w:t>采购代理机构：</w:t>
      </w:r>
      <w:r>
        <w:rPr>
          <w:rFonts w:hint="eastAsia" w:ascii="宋体" w:hAnsi="宋体"/>
          <w:u w:val="single"/>
        </w:rPr>
        <w:t xml:space="preserve">       </w:t>
      </w:r>
      <w:r>
        <w:rPr>
          <w:rFonts w:hint="eastAsia" w:ascii="宋体" w:hAnsi="宋体"/>
          <w:u w:val="single"/>
          <w:lang w:val="en-US" w:eastAsia="zh-CN"/>
        </w:rPr>
        <w:t>大洲设计咨询集团有限公司</w:t>
      </w:r>
      <w:r>
        <w:rPr>
          <w:rFonts w:hint="eastAsia" w:ascii="宋体" w:hAnsi="宋体"/>
          <w:u w:val="single"/>
        </w:rPr>
        <w:t xml:space="preserve">          </w:t>
      </w:r>
    </w:p>
    <w:p>
      <w:pPr>
        <w:spacing w:line="360" w:lineRule="auto"/>
        <w:ind w:firstLine="420" w:firstLineChars="200"/>
        <w:rPr>
          <w:rFonts w:hint="eastAsia" w:ascii="宋体" w:hAnsi="宋体"/>
        </w:rPr>
      </w:pPr>
      <w:r>
        <w:rPr>
          <w:rFonts w:hint="eastAsia" w:ascii="宋体" w:hAnsi="宋体"/>
        </w:rPr>
        <w:t>甲方通过</w:t>
      </w:r>
      <w:r>
        <w:rPr>
          <w:rFonts w:hint="eastAsia" w:ascii="宋体" w:hAnsi="宋体"/>
          <w:u w:val="single"/>
        </w:rPr>
        <w:t xml:space="preserve">   大洲设计咨询集团有限公司   </w:t>
      </w:r>
      <w:r>
        <w:rPr>
          <w:rFonts w:hint="eastAsia" w:ascii="宋体" w:hAnsi="宋体"/>
        </w:rPr>
        <w:t>组织的采购活动，决定将本项目采购合同授予乙方。为进一步明确双方的责任，确保合同的顺利履行，甲乙双方商定同意按如下条款和条件签订本合同：</w:t>
      </w:r>
    </w:p>
    <w:p>
      <w:pPr>
        <w:spacing w:line="360" w:lineRule="auto"/>
        <w:ind w:firstLine="422" w:firstLineChars="200"/>
        <w:rPr>
          <w:rFonts w:hint="eastAsia" w:ascii="宋体" w:hAnsi="宋体"/>
          <w:b/>
          <w:bCs/>
        </w:rPr>
      </w:pPr>
      <w:r>
        <w:rPr>
          <w:rFonts w:hint="eastAsia" w:ascii="宋体" w:hAnsi="宋体"/>
          <w:b/>
          <w:bCs/>
        </w:rPr>
        <w:t>1.合同文件</w:t>
      </w:r>
    </w:p>
    <w:p>
      <w:pPr>
        <w:spacing w:line="360" w:lineRule="auto"/>
        <w:ind w:left="643"/>
        <w:rPr>
          <w:rFonts w:hint="eastAsia" w:ascii="宋体" w:hAnsi="宋体"/>
        </w:rPr>
      </w:pPr>
      <w:r>
        <w:rPr>
          <w:rFonts w:hint="eastAsia" w:ascii="宋体" w:hAnsi="宋体"/>
        </w:rPr>
        <w:t>下列文件是构成本合同不可分割的部分：</w:t>
      </w:r>
    </w:p>
    <w:p>
      <w:pPr>
        <w:spacing w:line="360" w:lineRule="auto"/>
        <w:ind w:left="643"/>
        <w:rPr>
          <w:rFonts w:hint="eastAsia" w:ascii="宋体" w:hAnsi="宋体"/>
        </w:rPr>
      </w:pPr>
      <w:r>
        <w:rPr>
          <w:rFonts w:hint="eastAsia" w:ascii="宋体" w:hAnsi="宋体"/>
        </w:rPr>
        <w:t>（1）合同条款及前附表；</w:t>
      </w:r>
    </w:p>
    <w:p>
      <w:pPr>
        <w:spacing w:line="360" w:lineRule="auto"/>
        <w:ind w:firstLine="420" w:firstLineChars="200"/>
        <w:rPr>
          <w:rFonts w:hint="eastAsia" w:ascii="宋体" w:hAnsi="宋体"/>
        </w:rPr>
      </w:pPr>
      <w:r>
        <w:rPr>
          <w:rFonts w:hint="eastAsia" w:ascii="宋体" w:hAnsi="宋体"/>
        </w:rPr>
        <w:t>（2）中标供应商提交的磋商响应文件和投标报价表；</w:t>
      </w:r>
    </w:p>
    <w:p>
      <w:pPr>
        <w:spacing w:line="360" w:lineRule="auto"/>
        <w:ind w:firstLine="420" w:firstLineChars="200"/>
        <w:rPr>
          <w:rFonts w:hint="eastAsia" w:ascii="宋体" w:hAnsi="宋体"/>
        </w:rPr>
      </w:pPr>
      <w:r>
        <w:rPr>
          <w:rFonts w:hint="eastAsia" w:ascii="宋体" w:hAnsi="宋体"/>
        </w:rPr>
        <w:t>（3）中标通知书。</w:t>
      </w:r>
    </w:p>
    <w:p>
      <w:pPr>
        <w:spacing w:line="360" w:lineRule="auto"/>
        <w:ind w:firstLine="422" w:firstLineChars="200"/>
        <w:rPr>
          <w:rFonts w:hint="eastAsia" w:ascii="宋体" w:hAnsi="宋体"/>
          <w:b/>
          <w:bCs/>
        </w:rPr>
      </w:pPr>
      <w:r>
        <w:rPr>
          <w:rFonts w:hint="eastAsia" w:ascii="宋体" w:hAnsi="宋体"/>
          <w:b/>
          <w:bCs/>
        </w:rPr>
        <w:t>2.合同范围和条件</w:t>
      </w:r>
    </w:p>
    <w:p>
      <w:pPr>
        <w:spacing w:line="360" w:lineRule="auto"/>
        <w:ind w:firstLine="420" w:firstLineChars="200"/>
        <w:rPr>
          <w:rFonts w:hint="eastAsia" w:ascii="宋体" w:hAnsi="宋体"/>
        </w:rPr>
      </w:pPr>
      <w:r>
        <w:rPr>
          <w:rFonts w:hint="eastAsia" w:ascii="宋体" w:hAnsi="宋体"/>
        </w:rPr>
        <w:t>本合同的范围和条件应与上述合同文件的规定相一致。</w:t>
      </w:r>
    </w:p>
    <w:p>
      <w:pPr>
        <w:spacing w:line="360" w:lineRule="auto"/>
        <w:ind w:firstLine="422" w:firstLineChars="200"/>
        <w:rPr>
          <w:rFonts w:hint="eastAsia" w:ascii="宋体" w:hAnsi="宋体"/>
          <w:b/>
          <w:bCs/>
        </w:rPr>
      </w:pPr>
      <w:r>
        <w:rPr>
          <w:rFonts w:hint="eastAsia" w:ascii="宋体" w:hAnsi="宋体"/>
          <w:b/>
          <w:bCs/>
        </w:rPr>
        <w:t>3.合同金额</w:t>
      </w:r>
    </w:p>
    <w:p>
      <w:pPr>
        <w:spacing w:line="360" w:lineRule="auto"/>
        <w:ind w:firstLine="420" w:firstLineChars="200"/>
        <w:rPr>
          <w:rFonts w:hint="eastAsia" w:ascii="宋体" w:hAnsi="宋体"/>
        </w:rPr>
      </w:pPr>
      <w:r>
        <w:rPr>
          <w:rFonts w:hint="eastAsia" w:ascii="宋体" w:hAnsi="宋体"/>
        </w:rPr>
        <w:t>合同总金额为（人民币）</w:t>
      </w:r>
      <w:r>
        <w:rPr>
          <w:rFonts w:hint="eastAsia" w:ascii="宋体" w:hAnsi="宋体"/>
          <w:u w:val="single"/>
        </w:rPr>
        <w:t xml:space="preserve">                  万</w:t>
      </w:r>
      <w:r>
        <w:rPr>
          <w:rFonts w:hint="eastAsia" w:ascii="宋体" w:hAnsi="宋体"/>
        </w:rPr>
        <w:t>元</w:t>
      </w:r>
    </w:p>
    <w:p>
      <w:pPr>
        <w:spacing w:line="360" w:lineRule="auto"/>
        <w:ind w:firstLine="420" w:firstLineChars="200"/>
        <w:rPr>
          <w:rFonts w:hint="eastAsia" w:ascii="宋体" w:hAnsi="宋体"/>
        </w:rPr>
      </w:pPr>
      <w:r>
        <w:rPr>
          <w:rFonts w:hint="eastAsia" w:ascii="宋体" w:hAnsi="宋体"/>
        </w:rPr>
        <w:t>大写：</w:t>
      </w:r>
      <w:r>
        <w:rPr>
          <w:rFonts w:hint="eastAsia" w:ascii="宋体" w:hAnsi="宋体"/>
          <w:u w:val="single"/>
        </w:rPr>
        <w:t xml:space="preserve">                               </w:t>
      </w:r>
      <w:r>
        <w:rPr>
          <w:rFonts w:hint="eastAsia" w:ascii="宋体" w:hAnsi="宋体"/>
        </w:rPr>
        <w:t>。</w:t>
      </w:r>
    </w:p>
    <w:p>
      <w:pPr>
        <w:spacing w:line="360" w:lineRule="auto"/>
        <w:ind w:firstLine="422" w:firstLineChars="200"/>
        <w:rPr>
          <w:rFonts w:hint="eastAsia" w:ascii="宋体" w:hAnsi="宋体"/>
          <w:b/>
          <w:bCs/>
        </w:rPr>
      </w:pPr>
      <w:r>
        <w:rPr>
          <w:rFonts w:hint="eastAsia" w:ascii="宋体" w:hAnsi="宋体"/>
          <w:b/>
          <w:bCs/>
        </w:rPr>
        <w:t>4.付款条件</w:t>
      </w:r>
    </w:p>
    <w:p>
      <w:pPr>
        <w:spacing w:line="360" w:lineRule="auto"/>
        <w:ind w:firstLine="420" w:firstLineChars="200"/>
        <w:rPr>
          <w:rFonts w:hint="eastAsia" w:ascii="宋体" w:hAnsi="宋体"/>
        </w:rPr>
      </w:pPr>
      <w:r>
        <w:rPr>
          <w:rFonts w:hint="eastAsia" w:ascii="宋体" w:hAnsi="宋体"/>
        </w:rPr>
        <w:t>付款条件在合同条款前附表中有明确规定。</w:t>
      </w:r>
    </w:p>
    <w:p>
      <w:pPr>
        <w:spacing w:line="360" w:lineRule="auto"/>
        <w:ind w:firstLine="422" w:firstLineChars="200"/>
        <w:rPr>
          <w:rFonts w:hint="eastAsia" w:ascii="宋体" w:hAnsi="宋体"/>
          <w:b/>
          <w:bCs/>
        </w:rPr>
      </w:pPr>
      <w:r>
        <w:rPr>
          <w:rFonts w:hint="eastAsia" w:ascii="宋体" w:hAnsi="宋体"/>
          <w:b/>
          <w:bCs/>
        </w:rPr>
        <w:t>5.交货时间</w:t>
      </w:r>
    </w:p>
    <w:p>
      <w:pPr>
        <w:spacing w:line="360" w:lineRule="auto"/>
        <w:ind w:firstLine="420" w:firstLineChars="200"/>
        <w:rPr>
          <w:rFonts w:hint="eastAsia" w:ascii="宋体" w:hAnsi="宋体"/>
        </w:rPr>
      </w:pPr>
      <w:r>
        <w:rPr>
          <w:rFonts w:hint="eastAsia" w:ascii="宋体" w:hAnsi="宋体"/>
        </w:rPr>
        <w:t>本合同服务时间在“服务报价表”中有明确规定。</w:t>
      </w:r>
    </w:p>
    <w:p>
      <w:pPr>
        <w:spacing w:line="360" w:lineRule="auto"/>
        <w:ind w:firstLine="422" w:firstLineChars="200"/>
        <w:rPr>
          <w:rFonts w:hint="eastAsia" w:ascii="宋体" w:hAnsi="宋体"/>
          <w:b/>
          <w:bCs/>
        </w:rPr>
      </w:pPr>
      <w:r>
        <w:rPr>
          <w:rFonts w:hint="eastAsia" w:ascii="宋体" w:hAnsi="宋体"/>
          <w:b/>
          <w:bCs/>
        </w:rPr>
        <w:t xml:space="preserve"> 6.合同生效</w:t>
      </w:r>
    </w:p>
    <w:p>
      <w:pPr>
        <w:spacing w:line="360" w:lineRule="auto"/>
        <w:ind w:firstLine="420" w:firstLineChars="200"/>
        <w:rPr>
          <w:rFonts w:hint="eastAsia" w:ascii="宋体" w:hAnsi="宋体"/>
        </w:rPr>
      </w:pPr>
      <w:r>
        <w:rPr>
          <w:rFonts w:hint="eastAsia" w:ascii="宋体" w:hAnsi="宋体"/>
        </w:rPr>
        <w:t>本合同经四方合法代表签字、单位盖章，并在采购人或交易中心收到中标供应商提交的履约保证金后生效。</w:t>
      </w:r>
    </w:p>
    <w:p>
      <w:pPr>
        <w:spacing w:line="360" w:lineRule="auto"/>
        <w:rPr>
          <w:rFonts w:hint="eastAsia" w:ascii="宋体" w:hAnsi="宋体"/>
        </w:rPr>
      </w:pPr>
      <w:r>
        <w:rPr>
          <w:rFonts w:hint="eastAsia" w:ascii="宋体" w:hAnsi="宋体"/>
        </w:rPr>
        <w:t xml:space="preserve">采购人（甲方）：                               中标供应商（乙方）：             </w:t>
      </w:r>
    </w:p>
    <w:p>
      <w:pPr>
        <w:spacing w:line="360" w:lineRule="auto"/>
        <w:rPr>
          <w:rFonts w:hint="eastAsia" w:ascii="宋体" w:hAnsi="宋体"/>
        </w:rPr>
      </w:pPr>
      <w:r>
        <w:rPr>
          <w:rFonts w:hint="eastAsia" w:ascii="宋体" w:hAnsi="宋体"/>
        </w:rPr>
        <w:t xml:space="preserve">单位盖章：                                     单位盖章：         </w:t>
      </w:r>
    </w:p>
    <w:p>
      <w:pPr>
        <w:spacing w:line="360" w:lineRule="auto"/>
        <w:rPr>
          <w:rFonts w:hint="eastAsia" w:ascii="宋体" w:hAnsi="宋体"/>
        </w:rPr>
      </w:pPr>
      <w:r>
        <w:rPr>
          <w:rFonts w:hint="eastAsia" w:ascii="宋体" w:hAnsi="宋体"/>
        </w:rPr>
        <w:t>法定代表人或授权人（签字）：                   法定代表人或授权人（签字）：</w:t>
      </w:r>
    </w:p>
    <w:p>
      <w:pPr>
        <w:spacing w:line="360" w:lineRule="auto"/>
        <w:rPr>
          <w:rFonts w:hint="eastAsia" w:ascii="宋体" w:hAnsi="宋体"/>
        </w:rPr>
      </w:pPr>
      <w:r>
        <w:rPr>
          <w:rFonts w:hint="eastAsia" w:ascii="宋体" w:hAnsi="宋体"/>
        </w:rPr>
        <w:t xml:space="preserve">联系电话：                                     联系电话：                  </w:t>
      </w:r>
    </w:p>
    <w:p>
      <w:pPr>
        <w:spacing w:line="360" w:lineRule="auto"/>
        <w:rPr>
          <w:rFonts w:hint="eastAsia" w:ascii="宋体" w:hAnsi="宋体"/>
        </w:rPr>
      </w:pPr>
      <w:r>
        <w:rPr>
          <w:rFonts w:hint="eastAsia" w:ascii="宋体" w:hAnsi="宋体"/>
        </w:rPr>
        <w:t xml:space="preserve">开户银行：                                      开户银行：                        </w:t>
      </w:r>
    </w:p>
    <w:p>
      <w:pPr>
        <w:spacing w:line="360" w:lineRule="auto"/>
        <w:rPr>
          <w:rFonts w:hint="eastAsia" w:ascii="宋体" w:hAnsi="宋体"/>
        </w:rPr>
      </w:pPr>
      <w:r>
        <w:rPr>
          <w:rFonts w:hint="eastAsia" w:ascii="宋体" w:hAnsi="宋体"/>
        </w:rPr>
        <w:t xml:space="preserve">帐号：                                          帐号：                             </w:t>
      </w:r>
    </w:p>
    <w:p>
      <w:pPr>
        <w:spacing w:line="360" w:lineRule="auto"/>
        <w:rPr>
          <w:rFonts w:hint="eastAsia" w:ascii="宋体" w:hAnsi="宋体"/>
        </w:rPr>
      </w:pPr>
      <w:r>
        <w:rPr>
          <w:rFonts w:hint="eastAsia" w:ascii="宋体" w:hAnsi="宋体"/>
        </w:rPr>
        <w:t xml:space="preserve">日期：    年   月   日                         日期：   年    月   日            </w:t>
      </w:r>
    </w:p>
    <w:p>
      <w:pPr>
        <w:jc w:val="center"/>
        <w:rPr>
          <w:rFonts w:ascii="宋体" w:hAnsi="宋体"/>
          <w:color w:val="000000" w:themeColor="text1"/>
          <w:sz w:val="32"/>
          <w:szCs w:val="32"/>
          <w14:textFill>
            <w14:solidFill>
              <w14:schemeClr w14:val="tx1"/>
            </w14:solidFill>
          </w14:textFill>
        </w:rPr>
      </w:pPr>
    </w:p>
    <w:p>
      <w:pPr>
        <w:jc w:val="center"/>
        <w:rPr>
          <w:rFonts w:ascii="宋体" w:hAnsi="宋体"/>
          <w:color w:val="000000" w:themeColor="text1"/>
          <w:sz w:val="32"/>
          <w:szCs w:val="32"/>
          <w14:textFill>
            <w14:solidFill>
              <w14:schemeClr w14:val="tx1"/>
            </w14:solidFill>
          </w14:textFill>
        </w:rPr>
      </w:pPr>
    </w:p>
    <w:p>
      <w:pPr>
        <w:pStyle w:val="7"/>
        <w:jc w:val="center"/>
        <w:rPr>
          <w:color w:val="000000" w:themeColor="text1"/>
          <w14:textFill>
            <w14:solidFill>
              <w14:schemeClr w14:val="tx1"/>
            </w14:solidFill>
          </w14:textFill>
        </w:rPr>
      </w:pPr>
      <w:bookmarkStart w:id="71" w:name="_Toc14436"/>
      <w:r>
        <w:rPr>
          <w:rFonts w:hint="eastAsia"/>
          <w:color w:val="000000" w:themeColor="text1"/>
          <w14:textFill>
            <w14:solidFill>
              <w14:schemeClr w14:val="tx1"/>
            </w14:solidFill>
          </w14:textFill>
        </w:rPr>
        <w:t>四、合同特殊条款</w:t>
      </w:r>
      <w:bookmarkEnd w:id="71"/>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63"/>
      <w:bookmarkStart w:id="72" w:name="_Toc511898266"/>
      <w:bookmarkEnd w:id="72"/>
    </w:p>
    <w:p>
      <w:pPr>
        <w:ind w:firstLine="3360" w:firstLineChars="1050"/>
        <w:rPr>
          <w:rFonts w:ascii="宋体" w:hAnsi="宋体" w:cs="Arial"/>
          <w:color w:val="000000" w:themeColor="text1"/>
          <w:sz w:val="32"/>
          <w:szCs w:val="32"/>
          <w14:textFill>
            <w14:solidFill>
              <w14:schemeClr w14:val="tx1"/>
            </w14:solidFill>
          </w14:textFill>
        </w:rPr>
      </w:pPr>
    </w:p>
    <w:p>
      <w:pPr>
        <w:ind w:firstLine="3360" w:firstLineChars="1050"/>
        <w:rPr>
          <w:rFonts w:ascii="宋体" w:hAnsi="宋体" w:cs="Arial"/>
          <w:color w:val="000000" w:themeColor="text1"/>
          <w:sz w:val="32"/>
          <w:szCs w:val="32"/>
          <w14:textFill>
            <w14:solidFill>
              <w14:schemeClr w14:val="tx1"/>
            </w14:solidFill>
          </w14:textFill>
        </w:rPr>
      </w:pPr>
    </w:p>
    <w:p>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pPr>
        <w:jc w:val="center"/>
        <w:rPr>
          <w:rFonts w:ascii="宋体" w:hAnsi="宋体" w:cs="Arial"/>
          <w:color w:val="000000" w:themeColor="text1"/>
          <w14:textFill>
            <w14:solidFill>
              <w14:schemeClr w14:val="tx1"/>
            </w14:solidFill>
          </w14:textFill>
        </w:rPr>
      </w:pP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pPr>
        <w:jc w:val="center"/>
        <w:rPr>
          <w:rFonts w:ascii="宋体" w:hAnsi="宋体" w:cs="Arial"/>
          <w:color w:val="000000" w:themeColor="text1"/>
          <w14:textFill>
            <w14:solidFill>
              <w14:schemeClr w14:val="tx1"/>
            </w14:solidFill>
          </w14:textFill>
        </w:rPr>
      </w:pPr>
    </w:p>
    <w:p>
      <w:pPr>
        <w:jc w:val="center"/>
        <w:rPr>
          <w:rFonts w:ascii="宋体" w:hAnsi="宋体" w:cs="Arial"/>
          <w:b/>
          <w:bCs/>
          <w:color w:val="000000" w:themeColor="text1"/>
          <w:sz w:val="28"/>
          <w:szCs w:val="28"/>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jc w:val="center"/>
        <w:rPr>
          <w:rFonts w:ascii="宋体" w:hAnsi="宋体" w:cs="Arial"/>
          <w:color w:val="000000" w:themeColor="text1"/>
          <w14:textFill>
            <w14:solidFill>
              <w14:schemeClr w14:val="tx1"/>
            </w14:solidFill>
          </w14:textFill>
        </w:rPr>
      </w:pPr>
    </w:p>
    <w:p>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pPr>
        <w:pStyle w:val="33"/>
        <w:rPr>
          <w:color w:val="000000" w:themeColor="text1"/>
          <w14:textFill>
            <w14:solidFill>
              <w14:schemeClr w14:val="tx1"/>
            </w14:solidFill>
          </w14:textFill>
        </w:rPr>
      </w:pPr>
      <w:bookmarkStart w:id="73" w:name="_Toc293560330"/>
      <w:bookmarkEnd w:id="73"/>
      <w:bookmarkStart w:id="74" w:name="_Hlk450146465"/>
      <w:bookmarkEnd w:id="74"/>
      <w:bookmarkStart w:id="75" w:name="_Toc272141473"/>
      <w:bookmarkEnd w:id="75"/>
      <w:bookmarkStart w:id="76" w:name="_Toc19920"/>
      <w:r>
        <w:rPr>
          <w:rFonts w:hint="eastAsia"/>
          <w:color w:val="000000" w:themeColor="text1"/>
          <w14:textFill>
            <w14:solidFill>
              <w14:schemeClr w14:val="tx1"/>
            </w14:solidFill>
          </w14:textFill>
        </w:rPr>
        <w:br w:type="page"/>
      </w:r>
      <w:bookmarkEnd w:id="76"/>
      <w:bookmarkStart w:id="77" w:name="_Toc511899315"/>
      <w:bookmarkEnd w:id="77"/>
      <w:bookmarkStart w:id="78" w:name="_Toc28461"/>
      <w:bookmarkStart w:id="79" w:name="_Toc8736"/>
      <w:r>
        <w:rPr>
          <w:rFonts w:hint="eastAsia"/>
          <w:color w:val="000000" w:themeColor="text1"/>
          <w14:textFill>
            <w14:solidFill>
              <w14:schemeClr w14:val="tx1"/>
            </w14:solidFill>
          </w14:textFill>
        </w:rPr>
        <w:t>一、磋商响应函</w:t>
      </w:r>
      <w:bookmarkEnd w:id="78"/>
      <w:bookmarkEnd w:id="79"/>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2、我方愿意按照竞争性磋商文件规定的各项要求，向采购人提供所需的货物、服务或工程，总报价为</w:t>
      </w:r>
      <w:r>
        <w:rPr>
          <w:rFonts w:hint="eastAsia" w:ascii="宋体" w:hAnsi="宋体" w:cs="Arial"/>
          <w:color w:val="000000" w:themeColor="text1"/>
          <w:lang w:eastAsia="zh-CN"/>
          <w14:textFill>
            <w14:solidFill>
              <w14:schemeClr w14:val="tx1"/>
            </w14:solidFill>
          </w14:textFill>
        </w:rPr>
        <w:t>费率</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（大写）。（</w:t>
      </w:r>
      <w:r>
        <w:rPr>
          <w:rFonts w:hint="eastAsia" w:ascii="宋体" w:hAnsi="宋体" w:cs="Arial"/>
          <w:color w:val="000000" w:themeColor="text1"/>
          <w:lang w:eastAsia="zh-CN"/>
          <w14:textFill>
            <w14:solidFill>
              <w14:schemeClr w14:val="tx1"/>
            </w14:solidFill>
          </w14:textFill>
        </w:rPr>
        <w:t>费率小写</w:t>
      </w:r>
      <w:r>
        <w:rPr>
          <w:rFonts w:hint="eastAsia" w:ascii="宋体" w:hAnsi="宋体" w:cs="Arial"/>
          <w:color w:val="000000" w:themeColor="text1"/>
          <w:u w:val="single"/>
          <w14:textFill>
            <w14:solidFill>
              <w14:schemeClr w14:val="tx1"/>
            </w14:solidFill>
          </w14:textFill>
        </w:rPr>
        <w:t>     </w:t>
      </w:r>
      <w:r>
        <w:rPr>
          <w:rFonts w:hint="eastAsia" w:ascii="宋体" w:hAnsi="宋体" w:cs="Arial"/>
          <w:color w:val="000000" w:themeColor="text1"/>
          <w:u w:val="single"/>
          <w:lang w:val="en-US" w:eastAsia="zh-CN"/>
          <w14:textFill>
            <w14:solidFill>
              <w14:schemeClr w14:val="tx1"/>
            </w14:solidFill>
          </w14:textFill>
        </w:rPr>
        <w:t>%</w:t>
      </w:r>
      <w:r>
        <w:rPr>
          <w:rFonts w:hint="eastAsia" w:ascii="宋体" w:hAnsi="宋体" w:cs="Arial"/>
          <w:color w:val="000000" w:themeColor="text1"/>
          <w14:textFill>
            <w14:solidFill>
              <w14:schemeClr w14:val="tx1"/>
            </w14:solidFill>
          </w14:textFill>
        </w:rPr>
        <w:t>）</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日历天。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80" w:name="_Hlk450185103"/>
      <w:bookmarkEnd w:id="80"/>
      <w:bookmarkStart w:id="81" w:name="_Toc272141474"/>
      <w:bookmarkEnd w:id="81"/>
    </w:p>
    <w:p>
      <w:pPr>
        <w:pStyle w:val="35"/>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pPr>
        <w:pStyle w:val="35"/>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pPr>
        <w:pStyle w:val="33"/>
        <w:ind w:firstLine="422" w:firstLineChars="200"/>
        <w:rPr>
          <w:color w:val="000000" w:themeColor="text1"/>
          <w14:textFill>
            <w14:solidFill>
              <w14:schemeClr w14:val="tx1"/>
            </w14:solidFill>
          </w14:textFill>
        </w:rPr>
      </w:pPr>
      <w:bookmarkStart w:id="82" w:name="_Toc272141478"/>
      <w:bookmarkEnd w:id="82"/>
      <w:bookmarkStart w:id="83" w:name="_Toc293560334"/>
      <w:bookmarkEnd w:id="83"/>
      <w:bookmarkStart w:id="84" w:name="_Toc511899316"/>
      <w:bookmarkEnd w:id="84"/>
      <w:bookmarkStart w:id="85" w:name="_Toc511899317"/>
      <w:bookmarkEnd w:id="85"/>
      <w:bookmarkStart w:id="86" w:name="_Toc17842"/>
      <w:r>
        <w:rPr>
          <w:rFonts w:hint="eastAsia"/>
          <w:color w:val="000000" w:themeColor="text1"/>
          <w14:textFill>
            <w14:solidFill>
              <w14:schemeClr w14:val="tx1"/>
            </w14:solidFill>
          </w14:textFill>
        </w:rPr>
        <w:br w:type="page"/>
      </w:r>
      <w:bookmarkEnd w:id="86"/>
      <w:permStart w:id="0" w:edGrp="everyone"/>
      <w:bookmarkStart w:id="87" w:name="_Toc4648"/>
      <w:r>
        <w:rPr>
          <w:rFonts w:hint="eastAsia"/>
          <w:color w:val="000000" w:themeColor="text1"/>
          <w14:textFill>
            <w14:solidFill>
              <w14:schemeClr w14:val="tx1"/>
            </w14:solidFill>
          </w14:textFill>
        </w:rPr>
        <w:t>二、项目要求响应情况表（服务类项目适用）</w:t>
      </w:r>
      <w:bookmarkEnd w:id="87"/>
    </w:p>
    <w:p>
      <w:pPr>
        <w:rPr>
          <w:rFonts w:ascii="宋体" w:hAnsi="宋体"/>
          <w:color w:val="000000" w:themeColor="text1"/>
          <w14:textFill>
            <w14:solidFill>
              <w14:schemeClr w14:val="tx1"/>
            </w14:solidFill>
          </w14:textFill>
        </w:rPr>
      </w:pPr>
    </w:p>
    <w:tbl>
      <w:tblPr>
        <w:tblStyle w:val="24"/>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88" w:name="_Toc293560335"/>
      <w:bookmarkEnd w:id="88"/>
      <w:bookmarkStart w:id="89" w:name="_Toc18510"/>
      <w:bookmarkEnd w:id="89"/>
      <w:bookmarkStart w:id="90" w:name="_Toc272141479"/>
      <w:bookmarkEnd w:id="90"/>
    </w:p>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91" w:name="_Toc511899318"/>
      <w:bookmarkEnd w:id="91"/>
      <w:bookmarkStart w:id="92" w:name="_Toc23789"/>
      <w:r>
        <w:rPr>
          <w:rFonts w:hint="eastAsia"/>
          <w:color w:val="000000" w:themeColor="text1"/>
          <w14:textFill>
            <w14:solidFill>
              <w14:schemeClr w14:val="tx1"/>
            </w14:solidFill>
          </w14:textFill>
        </w:rPr>
        <w:t>三、商务要求响应情况表（通用）</w:t>
      </w:r>
      <w:bookmarkEnd w:id="92"/>
    </w:p>
    <w:p>
      <w:pPr>
        <w:rPr>
          <w:rFonts w:ascii="宋体" w:hAnsi="宋体"/>
          <w:color w:val="000000" w:themeColor="text1"/>
          <w14:textFill>
            <w14:solidFill>
              <w14:schemeClr w14:val="tx1"/>
            </w14:solidFill>
          </w14:textFill>
        </w:rPr>
      </w:pPr>
    </w:p>
    <w:tbl>
      <w:tblPr>
        <w:tblStyle w:val="24"/>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pPr>
              <w:rPr>
                <w:rFonts w:ascii="宋体" w:hAnsi="宋体" w:cs="Arial"/>
                <w:color w:val="000000" w:themeColor="text1"/>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pPr>
              <w:rPr>
                <w:rFonts w:ascii="宋体" w:hAnsi="宋体" w:cs="Arial"/>
                <w:color w:val="000000" w:themeColor="text1"/>
                <w14:textFill>
                  <w14:solidFill>
                    <w14:schemeClr w14:val="tx1"/>
                  </w14:solidFill>
                </w14:textFill>
              </w:rPr>
            </w:pPr>
          </w:p>
        </w:tc>
      </w:tr>
    </w:tbl>
    <w:p>
      <w:pPr>
        <w:rPr>
          <w:rFonts w:ascii="宋体" w:hAnsi="宋体" w:cs="Arial"/>
          <w:b/>
          <w:bCs/>
          <w:color w:val="000000" w:themeColor="text1"/>
          <w14:textFill>
            <w14:solidFill>
              <w14:schemeClr w14:val="tx1"/>
            </w14:solidFill>
          </w14:textFill>
        </w:rPr>
      </w:pP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ind w:firstLine="420" w:firstLineChars="200"/>
        <w:rPr>
          <w:rFonts w:ascii="宋体" w:hAnsi="宋体"/>
          <w:color w:val="000000" w:themeColor="text1"/>
          <w14:textFill>
            <w14:solidFill>
              <w14:schemeClr w14:val="tx1"/>
            </w14:solidFill>
          </w14:textFill>
        </w:rPr>
      </w:pPr>
    </w:p>
    <w:p>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93" w:name="_Toc511899319"/>
      <w:bookmarkEnd w:id="93"/>
      <w:bookmarkStart w:id="94" w:name="_Toc14379"/>
      <w:r>
        <w:rPr>
          <w:rFonts w:hint="eastAsia"/>
          <w:color w:val="000000" w:themeColor="text1"/>
          <w14:textFill>
            <w14:solidFill>
              <w14:schemeClr w14:val="tx1"/>
            </w14:solidFill>
          </w14:textFill>
        </w:rPr>
        <w:t>四、本项目实施方案</w:t>
      </w:r>
      <w:bookmarkEnd w:id="94"/>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pPr>
        <w:spacing w:line="440" w:lineRule="exact"/>
        <w:ind w:firstLine="2368" w:firstLineChars="1123"/>
        <w:jc w:val="left"/>
        <w:rPr>
          <w:rFonts w:ascii="宋体" w:hAnsi="宋体"/>
          <w:b/>
          <w:bCs/>
          <w:color w:val="000000" w:themeColor="text1"/>
          <w14:textFill>
            <w14:solidFill>
              <w14:schemeClr w14:val="tx1"/>
            </w14:solidFill>
          </w14:textFill>
        </w:rPr>
      </w:pPr>
    </w:p>
    <w:p>
      <w:pPr>
        <w:pStyle w:val="33"/>
        <w:rPr>
          <w:color w:val="000000" w:themeColor="text1"/>
          <w14:textFill>
            <w14:solidFill>
              <w14:schemeClr w14:val="tx1"/>
            </w14:solidFill>
          </w14:textFill>
        </w:rPr>
      </w:pPr>
      <w:bookmarkStart w:id="95" w:name="_Toc272141480"/>
      <w:bookmarkEnd w:id="95"/>
      <w:bookmarkStart w:id="96" w:name="_Hlk450185939"/>
      <w:bookmarkEnd w:id="96"/>
      <w:bookmarkStart w:id="97" w:name="_Toc14703"/>
      <w:bookmarkEnd w:id="97"/>
      <w:bookmarkStart w:id="98" w:name="_Toc293560336"/>
      <w:bookmarkEnd w:id="98"/>
      <w:bookmarkStart w:id="99" w:name="_Toc511899320"/>
      <w:bookmarkStart w:id="100" w:name="_Toc31502"/>
      <w:r>
        <w:rPr>
          <w:rFonts w:hint="eastAsia"/>
          <w:color w:val="000000" w:themeColor="text1"/>
          <w14:textFill>
            <w14:solidFill>
              <w14:schemeClr w14:val="tx1"/>
            </w14:solidFill>
          </w14:textFill>
        </w:rPr>
        <w:t>五、资格证明文件</w:t>
      </w:r>
      <w:bookmarkEnd w:id="99"/>
      <w:r>
        <w:rPr>
          <w:rFonts w:hint="eastAsia"/>
          <w:color w:val="000000" w:themeColor="text1"/>
          <w14:textFill>
            <w14:solidFill>
              <w14:schemeClr w14:val="tx1"/>
            </w14:solidFill>
          </w14:textFill>
        </w:rPr>
        <w:t>及其他重要资料</w:t>
      </w:r>
      <w:bookmarkEnd w:id="100"/>
    </w:p>
    <w:p>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pPr>
        <w:numPr>
          <w:ilvl w:val="0"/>
          <w:numId w:val="11"/>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pPr>
        <w:pStyle w:val="35"/>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pPr>
        <w:pStyle w:val="35"/>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jc w:val="left"/>
        <w:rPr>
          <w:rFonts w:ascii="宋体" w:hAnsi="宋体" w:cs="Arial"/>
          <w:color w:val="000000" w:themeColor="text1"/>
          <w14:textFill>
            <w14:solidFill>
              <w14:schemeClr w14:val="tx1"/>
            </w14:solidFill>
          </w14:textFill>
        </w:rPr>
      </w:pPr>
    </w:p>
    <w:p>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color w:val="000000" w:themeColor="text1"/>
          <w14:textFill>
            <w14:solidFill>
              <w14:schemeClr w14:val="tx1"/>
            </w14:solidFill>
          </w14:textFill>
        </w:rPr>
      </w:pPr>
    </w:p>
    <w:p>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440" w:lineRule="exact"/>
        <w:ind w:firstLine="211" w:firstLineChars="100"/>
        <w:jc w:val="left"/>
        <w:rPr>
          <w:rFonts w:ascii="宋体" w:hAnsi="宋体" w:cs="Arial"/>
          <w:b/>
          <w:bCs/>
          <w:color w:val="000000" w:themeColor="text1"/>
          <w14:textFill>
            <w14:solidFill>
              <w14:schemeClr w14:val="tx1"/>
            </w14:solidFill>
          </w14:textFill>
        </w:rPr>
      </w:pPr>
    </w:p>
    <w:p>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360" w:lineRule="auto"/>
        <w:rPr>
          <w:rFonts w:ascii="宋体" w:hAnsi="宋体"/>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01" w:name="_Toc511898267"/>
      <w:bookmarkEnd w:id="101"/>
      <w:bookmarkStart w:id="102" w:name="_Toc511899322"/>
      <w:bookmarkEnd w:id="102"/>
      <w:r>
        <w:rPr>
          <w:rFonts w:hint="eastAsia"/>
          <w:b/>
          <w:bCs/>
          <w:color w:val="000000" w:themeColor="text1"/>
          <w14:textFill>
            <w14:solidFill>
              <w14:schemeClr w14:val="tx1"/>
            </w14:solidFill>
          </w14:textFill>
        </w:rPr>
        <w:t>一、开标一览表</w:t>
      </w:r>
    </w:p>
    <w:p>
      <w:pPr>
        <w:rPr>
          <w:rFonts w:ascii="宋体" w:hAnsi="宋体" w:cs="Arial"/>
          <w:b/>
          <w:bCs/>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bookmarkStart w:id="103" w:name="_Hlk450185766"/>
            <w:r>
              <w:rPr>
                <w:rFonts w:hint="eastAsia" w:ascii="宋体" w:hAnsi="宋体" w:cs="Arial"/>
                <w:color w:val="000000" w:themeColor="text1"/>
                <w14:textFill>
                  <w14:solidFill>
                    <w14:schemeClr w14:val="tx1"/>
                  </w14:solidFill>
                </w14:textFill>
              </w:rPr>
              <w:t>标题</w:t>
            </w:r>
            <w:bookmarkEnd w:id="103"/>
          </w:p>
        </w:tc>
        <w:tc>
          <w:tcPr>
            <w:tcW w:w="5202" w:type="dxa"/>
            <w:tcBorders>
              <w:top w:val="double" w:color="auto" w:sz="2" w:space="0"/>
              <w:left w:val="nil"/>
              <w:bottom w:val="single" w:color="auto" w:sz="4" w:space="0"/>
              <w:right w:val="double" w:color="auto" w:sz="2"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w:t>
            </w:r>
            <w:r>
              <w:rPr>
                <w:rFonts w:hint="eastAsia" w:ascii="宋体" w:hAnsi="宋体" w:cs="Arial"/>
                <w:color w:val="000000" w:themeColor="text1"/>
                <w:lang w:eastAsia="zh-CN"/>
                <w14:textFill>
                  <w14:solidFill>
                    <w14:schemeClr w14:val="tx1"/>
                  </w14:solidFill>
                </w14:textFill>
              </w:rPr>
              <w:t>费率</w:t>
            </w:r>
            <w:r>
              <w:rPr>
                <w:rFonts w:hint="eastAsia" w:ascii="宋体" w:hAnsi="宋体" w:cs="Arial"/>
                <w:color w:val="000000" w:themeColor="text1"/>
                <w14:textFill>
                  <w14:solidFill>
                    <w14:schemeClr w14:val="tx1"/>
                  </w14:solidFill>
                </w14:textFill>
              </w:rPr>
              <w:t>大写）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lang w:eastAsia="zh-CN"/>
                <w14:textFill>
                  <w14:solidFill>
                    <w14:schemeClr w14:val="tx1"/>
                  </w14:solidFill>
                </w14:textFill>
              </w:rPr>
              <w:t>百分之</w:t>
            </w:r>
            <w:r>
              <w:rPr>
                <w:rFonts w:hint="eastAsia" w:ascii="宋体" w:hAnsi="宋体" w:cs="Arial"/>
                <w:color w:val="000000" w:themeColor="text1"/>
                <w:u w:val="single"/>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w:t>
            </w:r>
            <w:r>
              <w:rPr>
                <w:rFonts w:hint="eastAsia" w:ascii="宋体" w:hAnsi="宋体" w:cs="Arial"/>
                <w:color w:val="000000" w:themeColor="text1"/>
                <w:lang w:eastAsia="zh-CN"/>
                <w14:textFill>
                  <w14:solidFill>
                    <w14:schemeClr w14:val="tx1"/>
                  </w14:solidFill>
                </w14:textFill>
              </w:rPr>
              <w:t>费率</w:t>
            </w:r>
            <w:r>
              <w:rPr>
                <w:rFonts w:hint="eastAsia" w:ascii="宋体" w:hAnsi="宋体" w:cs="Arial"/>
                <w:color w:val="000000" w:themeColor="text1"/>
                <w14:textFill>
                  <w14:solidFill>
                    <w14:schemeClr w14:val="tx1"/>
                  </w14:solidFill>
                </w14:textFill>
              </w:rPr>
              <w:t>小写）</w:t>
            </w:r>
          </w:p>
        </w:tc>
        <w:tc>
          <w:tcPr>
            <w:tcW w:w="5202" w:type="dxa"/>
            <w:tcBorders>
              <w:top w:val="single" w:color="auto" w:sz="4" w:space="0"/>
              <w:left w:val="nil"/>
              <w:bottom w:val="single" w:color="auto" w:sz="4" w:space="0"/>
              <w:right w:val="double" w:color="auto" w:sz="2" w:space="0"/>
            </w:tcBorders>
            <w:vAlign w:val="center"/>
          </w:tcPr>
          <w:p>
            <w:pPr>
              <w:spacing w:line="500" w:lineRule="exact"/>
              <w:rPr>
                <w:rFonts w:hint="eastAsia" w:ascii="宋体" w:hAnsi="宋体" w:eastAsia="宋体" w:cs="Arial"/>
                <w:color w:val="000000" w:themeColor="text1"/>
                <w:lang w:eastAsia="zh-CN"/>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lang w:val="en-US" w:eastAsia="zh-CN"/>
                <w14:textFill>
                  <w14:solidFill>
                    <w14:schemeClr w14:val="tx1"/>
                  </w14:solidFill>
                </w14:textFill>
              </w:rPr>
              <w:t>%</w:t>
            </w:r>
          </w:p>
        </w:tc>
      </w:tr>
    </w:tbl>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ind w:left="7280" w:hanging="7280" w:hangingChars="2600"/>
        <w:rPr>
          <w:rFonts w:ascii="宋体" w:hAnsi="宋体"/>
          <w:color w:val="000000" w:themeColor="text1"/>
          <w:sz w:val="28"/>
          <w:szCs w:val="28"/>
          <w14:textFill>
            <w14:solidFill>
              <w14:schemeClr w14:val="tx1"/>
            </w14:solidFill>
          </w14:textFill>
        </w:rPr>
      </w:pPr>
    </w:p>
    <w:p>
      <w:pPr>
        <w:jc w:val="center"/>
        <w:rPr>
          <w:b/>
          <w:bCs/>
          <w:color w:val="auto"/>
          <w:sz w:val="30"/>
          <w:szCs w:val="30"/>
        </w:rPr>
      </w:pPr>
      <w:bookmarkStart w:id="104" w:name="_Toc3760"/>
      <w:bookmarkEnd w:id="104"/>
      <w:r>
        <w:rPr>
          <w:rFonts w:hint="eastAsia"/>
          <w:color w:val="000000" w:themeColor="text1"/>
          <w14:textFill>
            <w14:solidFill>
              <w14:schemeClr w14:val="tx1"/>
            </w14:solidFill>
          </w14:textFill>
        </w:rPr>
        <w:br w:type="page"/>
      </w:r>
      <w:bookmarkStart w:id="105" w:name="_Toc511899323"/>
      <w:bookmarkEnd w:id="105"/>
      <w:bookmarkStart w:id="106" w:name="_Toc511899324"/>
      <w:bookmarkEnd w:id="106"/>
      <w:permStart w:id="1" w:edGrp="everyone"/>
      <w:r>
        <w:rPr>
          <w:rFonts w:hint="eastAsia"/>
          <w:b/>
          <w:bCs/>
          <w:color w:val="auto"/>
        </w:rPr>
        <w:t>二、服务分项报价表（服务类项目适用）</w:t>
      </w:r>
    </w:p>
    <w:p>
      <w:pPr>
        <w:rPr>
          <w:color w:val="auto"/>
        </w:rPr>
      </w:pPr>
    </w:p>
    <w:tbl>
      <w:tblPr>
        <w:tblStyle w:val="24"/>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序号</w:t>
            </w:r>
          </w:p>
        </w:tc>
        <w:tc>
          <w:tcPr>
            <w:tcW w:w="2308" w:type="pct"/>
            <w:tcBorders>
              <w:top w:val="double" w:color="auto" w:sz="2" w:space="0"/>
              <w:left w:val="single" w:color="auto" w:sz="4"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内容</w:t>
            </w:r>
          </w:p>
        </w:tc>
        <w:tc>
          <w:tcPr>
            <w:tcW w:w="687" w:type="pct"/>
            <w:tcBorders>
              <w:top w:val="double" w:color="auto" w:sz="2" w:space="0"/>
              <w:left w:val="single" w:color="auto" w:sz="4" w:space="0"/>
              <w:bottom w:val="single" w:color="auto" w:sz="4" w:space="0"/>
              <w:right w:val="single" w:color="auto" w:sz="4" w:space="0"/>
            </w:tcBorders>
            <w:vAlign w:val="center"/>
          </w:tcPr>
          <w:p>
            <w:pPr>
              <w:jc w:val="center"/>
              <w:rPr>
                <w:rFonts w:hint="default" w:ascii="宋体" w:hAnsi="宋体" w:eastAsia="宋体" w:cs="Arial"/>
                <w:color w:val="auto"/>
                <w:lang w:val="en-US" w:eastAsia="zh-CN"/>
              </w:rPr>
            </w:pPr>
            <w:r>
              <w:rPr>
                <w:rFonts w:hint="eastAsia" w:ascii="宋体" w:hAnsi="宋体" w:cs="Arial"/>
                <w:color w:val="auto"/>
                <w:lang w:val="en-US" w:eastAsia="zh-CN"/>
              </w:rPr>
              <w:t>数量</w:t>
            </w: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auto"/>
                <w:lang w:val="en-US" w:eastAsia="zh-CN"/>
              </w:rPr>
            </w:pPr>
            <w:r>
              <w:rPr>
                <w:rFonts w:hint="eastAsia" w:ascii="宋体" w:hAnsi="宋体" w:cs="Arial"/>
                <w:color w:val="auto"/>
                <w:lang w:val="en-US" w:eastAsia="zh-CN"/>
              </w:rPr>
              <w:t>单价</w:t>
            </w:r>
          </w:p>
          <w:p>
            <w:pPr>
              <w:jc w:val="center"/>
              <w:rPr>
                <w:rFonts w:hint="eastAsia" w:ascii="宋体" w:hAnsi="宋体" w:eastAsia="宋体" w:cs="Arial"/>
                <w:color w:val="auto"/>
                <w:lang w:val="en-US" w:eastAsia="zh-CN"/>
              </w:rPr>
            </w:pPr>
            <w:r>
              <w:rPr>
                <w:rFonts w:hint="eastAsia" w:ascii="宋体" w:hAnsi="宋体" w:cs="Arial"/>
                <w:color w:val="auto"/>
                <w:lang w:val="en-US" w:eastAsia="zh-CN"/>
              </w:rPr>
              <w:t>费率</w:t>
            </w: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hint="eastAsia" w:ascii="宋体" w:hAnsi="宋体" w:cs="Arial"/>
                <w:color w:val="auto"/>
                <w:lang w:val="en-US" w:eastAsia="zh-CN"/>
              </w:rPr>
            </w:pPr>
            <w:r>
              <w:rPr>
                <w:rFonts w:hint="eastAsia" w:ascii="宋体" w:hAnsi="宋体" w:cs="Arial"/>
                <w:color w:val="auto"/>
                <w:lang w:val="en-US" w:eastAsia="zh-CN"/>
              </w:rPr>
              <w:t>总价</w:t>
            </w:r>
          </w:p>
          <w:p>
            <w:pPr>
              <w:jc w:val="center"/>
              <w:rPr>
                <w:rFonts w:hint="eastAsia" w:ascii="宋体" w:hAnsi="宋体" w:eastAsia="宋体" w:cs="Arial"/>
                <w:color w:val="auto"/>
                <w:lang w:val="en-US" w:eastAsia="zh-CN"/>
              </w:rPr>
            </w:pPr>
            <w:r>
              <w:rPr>
                <w:rFonts w:hint="eastAsia" w:ascii="宋体" w:hAnsi="宋体" w:cs="Arial"/>
                <w:color w:val="auto"/>
                <w:lang w:val="en-US" w:eastAsia="zh-CN"/>
              </w:rPr>
              <w:t>费率</w:t>
            </w:r>
          </w:p>
        </w:tc>
        <w:tc>
          <w:tcPr>
            <w:tcW w:w="562" w:type="pct"/>
            <w:tcBorders>
              <w:top w:val="double" w:color="auto" w:sz="2" w:space="0"/>
              <w:left w:val="single" w:color="auto" w:sz="4" w:space="0"/>
              <w:bottom w:val="single" w:color="auto" w:sz="4" w:space="0"/>
              <w:right w:val="double" w:color="auto" w:sz="2" w:space="0"/>
            </w:tcBorders>
            <w:vAlign w:val="center"/>
          </w:tcPr>
          <w:p>
            <w:pPr>
              <w:jc w:val="center"/>
              <w:rPr>
                <w:rFonts w:ascii="宋体" w:hAnsi="宋体" w:cs="Arial"/>
                <w:color w:val="auto"/>
              </w:rPr>
            </w:pPr>
            <w:r>
              <w:rPr>
                <w:rFonts w:hint="eastAsia" w:ascii="宋体" w:hAnsi="宋体" w:cs="Arial"/>
                <w:color w:val="auto"/>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r>
              <w:rPr>
                <w:rFonts w:hint="eastAsia" w:ascii="宋体" w:hAnsi="宋体" w:cs="Arial"/>
                <w:color w:val="auto"/>
              </w:rPr>
              <w:t>皖北卫生职业学院</w:t>
            </w:r>
            <w:r>
              <w:rPr>
                <w:rFonts w:hint="eastAsia" w:ascii="宋体" w:hAnsi="宋体" w:cs="Arial"/>
                <w:color w:val="auto"/>
                <w:lang w:eastAsia="zh-CN"/>
              </w:rPr>
              <w:t>零星维修服务</w:t>
            </w:r>
            <w:r>
              <w:rPr>
                <w:rFonts w:hint="eastAsia" w:ascii="宋体" w:hAnsi="宋体" w:cs="Arial"/>
                <w:color w:val="auto"/>
              </w:rPr>
              <w:t>项目</w:t>
            </w: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Arial"/>
                <w:color w:val="auto"/>
                <w:lang w:val="en-US" w:eastAsia="zh-CN"/>
              </w:rPr>
            </w:pPr>
            <w:r>
              <w:rPr>
                <w:rFonts w:hint="eastAsia" w:ascii="宋体" w:hAnsi="宋体" w:cs="Arial"/>
                <w:color w:val="auto"/>
                <w:lang w:val="en-US" w:eastAsia="zh-CN"/>
              </w:rPr>
              <w:t>1</w:t>
            </w: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eastAsia" w:ascii="宋体" w:hAnsi="宋体" w:eastAsia="宋体" w:cs="Arial"/>
                <w:color w:val="auto"/>
                <w:lang w:val="en-US" w:eastAsia="zh-CN"/>
              </w:rPr>
            </w:pPr>
            <w:r>
              <w:rPr>
                <w:rFonts w:hint="eastAsia" w:ascii="宋体" w:hAnsi="宋体" w:cs="Arial"/>
                <w:color w:val="auto"/>
                <w:lang w:val="en-US" w:eastAsia="zh-CN"/>
              </w:rPr>
              <w:t>%</w:t>
            </w: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hint="default" w:ascii="宋体" w:hAnsi="宋体" w:eastAsia="宋体" w:cs="Arial"/>
                <w:color w:val="auto"/>
                <w:lang w:val="en-US" w:eastAsia="zh-CN"/>
              </w:rPr>
            </w:pPr>
            <w:r>
              <w:rPr>
                <w:rFonts w:hint="eastAsia" w:ascii="宋体" w:hAnsi="宋体" w:cs="Arial"/>
                <w:color w:val="auto"/>
                <w:lang w:val="en-US" w:eastAsia="zh-CN"/>
              </w:rPr>
              <w:t>%</w:t>
            </w:r>
          </w:p>
        </w:tc>
        <w:tc>
          <w:tcPr>
            <w:tcW w:w="562" w:type="pct"/>
            <w:vMerge w:val="restar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pPr>
              <w:jc w:val="center"/>
              <w:rPr>
                <w:rFonts w:ascii="宋体" w:hAnsi="宋体" w:cs="Arial"/>
                <w:b/>
                <w:bCs/>
                <w:color w:val="auto"/>
              </w:rPr>
            </w:pPr>
            <w:r>
              <w:rPr>
                <w:rFonts w:hint="eastAsia" w:ascii="宋体" w:hAnsi="宋体" w:cs="Arial"/>
                <w:b/>
                <w:bCs/>
                <w:color w:val="auto"/>
              </w:rPr>
              <w:t>合计</w:t>
            </w:r>
          </w:p>
        </w:tc>
        <w:tc>
          <w:tcPr>
            <w:tcW w:w="2308"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auto"/>
              </w:rPr>
            </w:pPr>
          </w:p>
        </w:tc>
        <w:tc>
          <w:tcPr>
            <w:tcW w:w="687" w:type="pct"/>
            <w:tcBorders>
              <w:top w:val="single" w:color="auto" w:sz="4" w:space="0"/>
              <w:left w:val="single" w:color="auto" w:sz="4" w:space="0"/>
              <w:bottom w:val="double" w:color="auto" w:sz="2" w:space="0"/>
              <w:right w:val="single" w:color="auto" w:sz="4" w:space="0"/>
            </w:tcBorders>
            <w:vAlign w:val="center"/>
          </w:tcPr>
          <w:p>
            <w:pPr>
              <w:jc w:val="center"/>
              <w:rPr>
                <w:rFonts w:ascii="宋体" w:hAnsi="宋体" w:cs="Arial"/>
                <w:b/>
                <w:bCs/>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pPr>
              <w:jc w:val="center"/>
              <w:rPr>
                <w:rFonts w:ascii="宋体" w:hAnsi="宋体" w:cs="Arial"/>
                <w:b/>
                <w:bCs/>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pPr>
              <w:jc w:val="left"/>
              <w:rPr>
                <w:rFonts w:ascii="宋体" w:hAnsi="宋体" w:cs="Arial"/>
                <w:color w:val="auto"/>
              </w:rPr>
            </w:pPr>
          </w:p>
        </w:tc>
      </w:tr>
    </w:tbl>
    <w:p>
      <w:pPr>
        <w:rPr>
          <w:rFonts w:ascii="宋体" w:hAnsi="宋体" w:cs="Arial"/>
          <w:color w:val="auto"/>
        </w:rPr>
      </w:pPr>
    </w:p>
    <w:p>
      <w:pPr>
        <w:spacing w:line="520" w:lineRule="exact"/>
        <w:rPr>
          <w:rFonts w:hint="eastAsia" w:ascii="宋体" w:hAnsi="宋体" w:cs="Arial"/>
          <w:b w:val="0"/>
          <w:bCs w:val="0"/>
          <w:color w:val="auto"/>
          <w:sz w:val="24"/>
          <w:szCs w:val="24"/>
        </w:rPr>
      </w:pPr>
      <w:r>
        <w:rPr>
          <w:rFonts w:hint="eastAsia" w:ascii="宋体" w:hAnsi="宋体" w:cs="Arial"/>
          <w:b w:val="0"/>
          <w:bCs w:val="0"/>
          <w:color w:val="auto"/>
          <w:sz w:val="24"/>
          <w:szCs w:val="24"/>
        </w:rPr>
        <w:t xml:space="preserve"> 注：</w:t>
      </w:r>
      <w:r>
        <w:rPr>
          <w:rFonts w:hint="eastAsia" w:ascii="宋体" w:hAnsi="宋体" w:cs="Arial"/>
          <w:b w:val="0"/>
          <w:bCs w:val="0"/>
          <w:color w:val="auto"/>
          <w:sz w:val="24"/>
          <w:szCs w:val="24"/>
          <w:lang w:val="en-US" w:eastAsia="zh-CN"/>
        </w:rPr>
        <w:t>1、</w:t>
      </w:r>
      <w:r>
        <w:rPr>
          <w:rFonts w:hint="eastAsia" w:ascii="宋体" w:hAnsi="宋体" w:cs="Arial"/>
          <w:b w:val="0"/>
          <w:bCs w:val="0"/>
          <w:color w:val="auto"/>
          <w:sz w:val="24"/>
          <w:szCs w:val="24"/>
        </w:rPr>
        <w:t>本表应清楚地标明供应商拟提供的服务用等内容，其合计价格应与开标一览表中的总报价保持一致。</w:t>
      </w:r>
    </w:p>
    <w:p>
      <w:pPr>
        <w:pStyle w:val="2"/>
        <w:ind w:left="0" w:leftChars="0" w:firstLine="0" w:firstLineChars="0"/>
        <w:rPr>
          <w:rFonts w:hint="default" w:eastAsia="仿宋_GB2312"/>
          <w:b w:val="0"/>
          <w:bCs w:val="0"/>
          <w:color w:val="auto"/>
          <w:sz w:val="36"/>
          <w:szCs w:val="24"/>
          <w:lang w:val="en-US" w:eastAsia="zh-CN"/>
        </w:rPr>
      </w:pPr>
      <w:r>
        <w:rPr>
          <w:rFonts w:hint="eastAsia" w:ascii="宋体" w:hAnsi="宋体" w:cs="Arial"/>
          <w:b w:val="0"/>
          <w:bCs w:val="0"/>
          <w:color w:val="auto"/>
          <w:sz w:val="36"/>
          <w:szCs w:val="24"/>
          <w:lang w:val="en-US" w:eastAsia="zh-CN"/>
        </w:rPr>
        <w:t xml:space="preserve">   </w:t>
      </w:r>
      <w:r>
        <w:rPr>
          <w:rFonts w:hint="eastAsia" w:ascii="宋体" w:hAnsi="宋体" w:eastAsia="宋体" w:cs="Arial"/>
          <w:b w:val="0"/>
          <w:bCs w:val="0"/>
          <w:color w:val="auto"/>
          <w:kern w:val="2"/>
          <w:sz w:val="24"/>
          <w:szCs w:val="24"/>
          <w:lang w:val="en-US" w:eastAsia="zh-CN" w:bidi="ar-SA"/>
        </w:rPr>
        <w:t>2、本项目具体结算金额以实际完成工作量，按中标供应商所报单价据实结算</w:t>
      </w:r>
    </w:p>
    <w:p>
      <w:pPr>
        <w:spacing w:line="520" w:lineRule="exact"/>
        <w:rPr>
          <w:rFonts w:ascii="宋体" w:hAnsi="宋体" w:cs="Arial"/>
          <w:color w:val="0000FF"/>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spacing w:line="520" w:lineRule="exact"/>
        <w:rPr>
          <w:rFonts w:ascii="宋体" w:hAnsi="宋体" w:cs="Arial"/>
          <w:color w:val="000000" w:themeColor="text1"/>
          <w14:textFill>
            <w14:solidFill>
              <w14:schemeClr w14:val="tx1"/>
            </w14:solidFill>
          </w14:textFill>
        </w:rPr>
      </w:pPr>
    </w:p>
    <w:p>
      <w:pPr>
        <w:pStyle w:val="33"/>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p>
    <w:permEnd w:id="1"/>
    <w:p>
      <w:pPr>
        <w:pStyle w:val="36"/>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w:t>
      </w:r>
      <w:r>
        <w:rPr>
          <w:rFonts w:hint="eastAsia" w:ascii="Times New Roman"/>
          <w:b/>
          <w:bCs/>
          <w:color w:val="000000" w:themeColor="text1"/>
          <w:lang w:eastAsia="zh-CN"/>
          <w14:textFill>
            <w14:solidFill>
              <w14:schemeClr w14:val="tx1"/>
            </w14:solidFill>
          </w14:textFill>
        </w:rPr>
        <w:t>保证金</w:t>
      </w:r>
      <w:r>
        <w:rPr>
          <w:rFonts w:hint="eastAsia" w:ascii="Times New Roman"/>
          <w:b/>
          <w:bCs/>
          <w:color w:val="000000" w:themeColor="text1"/>
          <w14:textFill>
            <w14:solidFill>
              <w14:schemeClr w14:val="tx1"/>
            </w14:solidFill>
          </w14:textFill>
        </w:rPr>
        <w:t>承诺函</w:t>
      </w:r>
    </w:p>
    <w:p>
      <w:pPr>
        <w:pStyle w:val="36"/>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pPr>
        <w:pStyle w:val="36"/>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pPr>
        <w:pStyle w:val="36"/>
        <w:spacing w:line="360" w:lineRule="auto"/>
        <w:ind w:firstLine="420" w:firstLineChars="200"/>
        <w:rPr>
          <w:color w:val="000000" w:themeColor="text1"/>
          <w14:textFill>
            <w14:solidFill>
              <w14:schemeClr w14:val="tx1"/>
            </w14:solidFill>
          </w14:textFill>
        </w:rPr>
      </w:pPr>
    </w:p>
    <w:p>
      <w:pPr>
        <w:pStyle w:val="36"/>
        <w:spacing w:line="360" w:lineRule="auto"/>
        <w:ind w:firstLine="420" w:firstLineChars="200"/>
        <w:rPr>
          <w:color w:val="000000" w:themeColor="text1"/>
          <w14:textFill>
            <w14:solidFill>
              <w14:schemeClr w14:val="tx1"/>
            </w14:solidFill>
          </w14:textFill>
        </w:rPr>
      </w:pPr>
    </w:p>
    <w:p>
      <w:pPr>
        <w:pStyle w:val="36"/>
        <w:spacing w:line="360" w:lineRule="auto"/>
        <w:ind w:firstLine="420" w:firstLineChars="200"/>
        <w:rPr>
          <w:color w:val="000000" w:themeColor="text1"/>
          <w14:textFill>
            <w14:solidFill>
              <w14:schemeClr w14:val="tx1"/>
            </w14:solidFill>
          </w14:textFill>
        </w:rPr>
      </w:pPr>
    </w:p>
    <w:p>
      <w:pPr>
        <w:pStyle w:val="36"/>
        <w:spacing w:line="360" w:lineRule="auto"/>
        <w:ind w:firstLine="420" w:firstLineChars="200"/>
        <w:rPr>
          <w:color w:val="000000" w:themeColor="text1"/>
          <w14:textFill>
            <w14:solidFill>
              <w14:schemeClr w14:val="tx1"/>
            </w14:solidFill>
          </w14:textFill>
        </w:rPr>
      </w:pPr>
    </w:p>
    <w:p>
      <w:pPr>
        <w:pStyle w:val="36"/>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pPr>
        <w:spacing w:line="360" w:lineRule="auto"/>
        <w:rPr>
          <w:rFonts w:ascii="仿宋_GB2312" w:hAnsi="仿宋" w:eastAsia="仿宋_GB2312"/>
          <w:b/>
          <w:bCs/>
          <w:color w:val="000000" w:themeColor="text1"/>
          <w:szCs w:val="28"/>
          <w14:textFill>
            <w14:solidFill>
              <w14:schemeClr w14:val="tx1"/>
            </w14:solidFill>
          </w14:textFill>
        </w:rPr>
      </w:pPr>
    </w:p>
    <w:p>
      <w:pPr>
        <w:pStyle w:val="2"/>
        <w:ind w:firstLine="560"/>
        <w:rPr>
          <w:b/>
          <w:bCs/>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560"/>
        <w:rPr>
          <w:color w:val="000000" w:themeColor="text1"/>
          <w14:textFill>
            <w14:solidFill>
              <w14:schemeClr w14:val="tx1"/>
            </w14:solidFill>
          </w14:textFill>
        </w:rPr>
      </w:pPr>
    </w:p>
    <w:p>
      <w:pPr>
        <w:pStyle w:val="2"/>
        <w:ind w:firstLine="560"/>
        <w:rPr>
          <w:color w:val="000000" w:themeColor="text1"/>
          <w14:textFill>
            <w14:solidFill>
              <w14:schemeClr w14:val="tx1"/>
            </w14:solidFill>
          </w14:textFill>
        </w:rPr>
      </w:pPr>
    </w:p>
    <w:p>
      <w:pPr>
        <w:jc w:val="center"/>
        <w:rPr>
          <w:rFonts w:ascii="宋体" w:hAnsi="宋体" w:cs="Arial"/>
          <w:color w:val="000000" w:themeColor="text1"/>
          <w:sz w:val="32"/>
          <w:szCs w:val="22"/>
          <w14:textFill>
            <w14:solidFill>
              <w14:schemeClr w14:val="tx1"/>
            </w14:solidFill>
          </w14:textFill>
        </w:rPr>
      </w:pPr>
    </w:p>
    <w:p>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pPr>
        <w:jc w:val="center"/>
        <w:rPr>
          <w:rFonts w:ascii="宋体" w:hAnsi="宋体" w:cs="Arial"/>
          <w:color w:val="auto"/>
          <w:sz w:val="32"/>
          <w:szCs w:val="22"/>
        </w:rPr>
      </w:pPr>
      <w:r>
        <w:rPr>
          <w:rFonts w:hint="eastAsia" w:ascii="宋体" w:hAnsi="宋体" w:cs="Arial"/>
          <w:color w:val="auto"/>
          <w:sz w:val="32"/>
          <w:szCs w:val="22"/>
          <w:u w:val="single"/>
          <w:lang w:val="en-US" w:eastAsia="zh-CN"/>
        </w:rPr>
        <w:t xml:space="preserve">     </w:t>
      </w:r>
      <w:r>
        <w:rPr>
          <w:rFonts w:hint="eastAsia" w:ascii="宋体" w:hAnsi="宋体" w:cs="Arial"/>
          <w:color w:val="auto"/>
          <w:sz w:val="32"/>
          <w:szCs w:val="22"/>
        </w:rPr>
        <w:t>次报价表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磋商报价（</w:t>
            </w:r>
            <w:r>
              <w:rPr>
                <w:rFonts w:hint="eastAsia" w:ascii="宋体" w:hAnsi="宋体" w:cs="Arial"/>
                <w:color w:val="auto"/>
                <w:sz w:val="24"/>
                <w:szCs w:val="24"/>
                <w:lang w:eastAsia="zh-CN"/>
              </w:rPr>
              <w:t>费率</w:t>
            </w:r>
            <w:r>
              <w:rPr>
                <w:rFonts w:hint="eastAsia" w:ascii="宋体" w:hAnsi="宋体" w:cs="Arial"/>
                <w:color w:val="auto"/>
                <w:sz w:val="24"/>
                <w:szCs w:val="24"/>
              </w:rPr>
              <w:t>）</w:t>
            </w:r>
          </w:p>
        </w:tc>
        <w:tc>
          <w:tcPr>
            <w:tcW w:w="6825" w:type="dxa"/>
            <w:vAlign w:val="center"/>
          </w:tcPr>
          <w:p>
            <w:pPr>
              <w:rPr>
                <w:rFonts w:ascii="宋体" w:hAnsi="宋体" w:cs="Arial"/>
                <w:color w:val="auto"/>
                <w:sz w:val="24"/>
                <w:szCs w:val="24"/>
              </w:rPr>
            </w:pPr>
            <w:r>
              <w:rPr>
                <w:rFonts w:hint="eastAsia" w:ascii="宋体" w:hAnsi="宋体" w:cs="Arial"/>
                <w:color w:val="auto"/>
                <w:sz w:val="24"/>
                <w:szCs w:val="24"/>
                <w:lang w:eastAsia="zh-CN"/>
              </w:rPr>
              <w:t>费率</w:t>
            </w:r>
            <w:r>
              <w:rPr>
                <w:rFonts w:hint="eastAsia" w:ascii="宋体" w:hAnsi="宋体" w:cs="Arial"/>
                <w:color w:val="auto"/>
                <w:sz w:val="24"/>
                <w:szCs w:val="24"/>
              </w:rPr>
              <w:t>（大写）：</w:t>
            </w:r>
          </w:p>
          <w:p>
            <w:pPr>
              <w:rPr>
                <w:rFonts w:ascii="宋体" w:hAnsi="宋体" w:cs="Arial"/>
                <w:color w:val="auto"/>
                <w:sz w:val="24"/>
                <w:szCs w:val="24"/>
              </w:rPr>
            </w:pPr>
          </w:p>
          <w:p>
            <w:pPr>
              <w:rPr>
                <w:rFonts w:ascii="宋体" w:hAnsi="宋体" w:cs="Arial"/>
                <w:color w:val="auto"/>
                <w:sz w:val="24"/>
                <w:szCs w:val="24"/>
              </w:rPr>
            </w:pPr>
            <w:r>
              <w:rPr>
                <w:rFonts w:hint="eastAsia" w:ascii="宋体" w:hAnsi="宋体" w:cs="Arial"/>
                <w:color w:val="auto"/>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pPr>
              <w:rPr>
                <w:rFonts w:ascii="宋体" w:hAnsi="宋体" w:cs="Arial"/>
                <w:color w:val="auto"/>
                <w:sz w:val="24"/>
                <w:szCs w:val="24"/>
              </w:rPr>
            </w:pPr>
            <w:r>
              <w:rPr>
                <w:rFonts w:hint="eastAsia" w:ascii="宋体" w:hAnsi="宋体" w:cs="Arial"/>
                <w:color w:val="auto"/>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pPr>
              <w:rPr>
                <w:rFonts w:ascii="宋体" w:hAnsi="宋体" w:cs="Arial"/>
                <w:color w:val="auto"/>
                <w:sz w:val="24"/>
                <w:szCs w:val="24"/>
              </w:rPr>
            </w:pPr>
          </w:p>
        </w:tc>
      </w:tr>
    </w:tbl>
    <w:p>
      <w:pPr>
        <w:spacing w:line="360" w:lineRule="auto"/>
        <w:rPr>
          <w:rFonts w:ascii="宋体" w:hAnsi="宋体" w:cs="Arial"/>
          <w:color w:val="auto"/>
          <w:sz w:val="24"/>
          <w:szCs w:val="24"/>
        </w:rPr>
      </w:pPr>
    </w:p>
    <w:p>
      <w:pPr>
        <w:spacing w:line="360" w:lineRule="auto"/>
        <w:rPr>
          <w:rFonts w:ascii="宋体" w:hAnsi="宋体" w:cs="Arial"/>
          <w:color w:val="auto"/>
          <w:sz w:val="24"/>
          <w:szCs w:val="24"/>
        </w:rPr>
      </w:pPr>
      <w:r>
        <w:rPr>
          <w:rFonts w:hint="eastAsia" w:ascii="宋体" w:hAnsi="宋体" w:cs="Arial"/>
          <w:color w:val="auto"/>
          <w:sz w:val="24"/>
          <w:szCs w:val="24"/>
        </w:rPr>
        <w:t>供应商：（盖章）</w:t>
      </w:r>
    </w:p>
    <w:p>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pPr>
        <w:spacing w:line="360" w:lineRule="auto"/>
        <w:rPr>
          <w:rFonts w:ascii="宋体" w:hAnsi="宋体" w:cs="Arial"/>
          <w:color w:val="0000FF"/>
          <w:sz w:val="24"/>
          <w:szCs w:val="24"/>
        </w:rPr>
      </w:pPr>
    </w:p>
    <w:p>
      <w:pPr>
        <w:spacing w:line="360" w:lineRule="auto"/>
        <w:rPr>
          <w:rFonts w:ascii="仿宋" w:hAnsi="仿宋"/>
          <w:color w:val="0000FF"/>
          <w:szCs w:val="28"/>
        </w:rPr>
      </w:pPr>
    </w:p>
    <w:p>
      <w:pPr>
        <w:rPr>
          <w:color w:val="0000FF"/>
        </w:rPr>
      </w:pPr>
    </w:p>
    <w:p>
      <w:pPr>
        <w:pStyle w:val="2"/>
      </w:pPr>
    </w:p>
    <w:p>
      <w:pPr>
        <w:jc w:val="both"/>
        <w:rPr>
          <w:rFonts w:hint="eastAsia" w:ascii="宋体" w:hAnsi="宋体" w:cs="Arial"/>
          <w:color w:val="0000FF"/>
          <w:sz w:val="32"/>
          <w:szCs w:val="22"/>
        </w:rPr>
      </w:pPr>
    </w:p>
    <w:p>
      <w:pPr>
        <w:jc w:val="center"/>
        <w:rPr>
          <w:rFonts w:ascii="宋体" w:hAnsi="宋体" w:cs="Arial"/>
          <w:color w:val="auto"/>
          <w:sz w:val="32"/>
          <w:szCs w:val="22"/>
        </w:rPr>
      </w:pPr>
      <w:r>
        <w:rPr>
          <w:rFonts w:hint="eastAsia" w:ascii="宋体" w:hAnsi="宋体" w:cs="Arial"/>
          <w:color w:val="auto"/>
          <w:sz w:val="32"/>
          <w:szCs w:val="22"/>
        </w:rPr>
        <w:t>最终报价表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pPr>
              <w:rPr>
                <w:rFonts w:ascii="宋体" w:hAnsi="宋体"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磋商报价（</w:t>
            </w:r>
            <w:r>
              <w:rPr>
                <w:rFonts w:hint="eastAsia" w:ascii="宋体" w:hAnsi="宋体" w:cs="Arial"/>
                <w:color w:val="auto"/>
                <w:sz w:val="24"/>
                <w:szCs w:val="24"/>
                <w:lang w:eastAsia="zh-CN"/>
              </w:rPr>
              <w:t>费率</w:t>
            </w:r>
            <w:r>
              <w:rPr>
                <w:rFonts w:hint="eastAsia" w:ascii="宋体" w:hAnsi="宋体" w:cs="Arial"/>
                <w:color w:val="auto"/>
                <w:sz w:val="24"/>
                <w:szCs w:val="24"/>
              </w:rPr>
              <w:t>）</w:t>
            </w:r>
          </w:p>
        </w:tc>
        <w:tc>
          <w:tcPr>
            <w:tcW w:w="6825" w:type="dxa"/>
            <w:vAlign w:val="center"/>
          </w:tcPr>
          <w:p>
            <w:pPr>
              <w:rPr>
                <w:rFonts w:ascii="宋体" w:hAnsi="宋体" w:cs="Arial"/>
                <w:color w:val="auto"/>
                <w:sz w:val="24"/>
                <w:szCs w:val="24"/>
              </w:rPr>
            </w:pPr>
            <w:r>
              <w:rPr>
                <w:rFonts w:hint="eastAsia" w:ascii="宋体" w:hAnsi="宋体" w:cs="Arial"/>
                <w:color w:val="auto"/>
                <w:sz w:val="24"/>
                <w:szCs w:val="24"/>
                <w:lang w:eastAsia="zh-CN"/>
              </w:rPr>
              <w:t>费率</w:t>
            </w:r>
            <w:r>
              <w:rPr>
                <w:rFonts w:hint="eastAsia" w:ascii="宋体" w:hAnsi="宋体" w:cs="Arial"/>
                <w:color w:val="auto"/>
                <w:sz w:val="24"/>
                <w:szCs w:val="24"/>
              </w:rPr>
              <w:t>（大写）：</w:t>
            </w:r>
          </w:p>
          <w:p>
            <w:pPr>
              <w:rPr>
                <w:rFonts w:ascii="宋体" w:hAnsi="宋体" w:cs="Arial"/>
                <w:color w:val="auto"/>
                <w:sz w:val="24"/>
                <w:szCs w:val="24"/>
              </w:rPr>
            </w:pPr>
          </w:p>
          <w:p>
            <w:pPr>
              <w:rPr>
                <w:rFonts w:ascii="宋体" w:hAnsi="宋体" w:cs="Arial"/>
                <w:color w:val="auto"/>
                <w:sz w:val="24"/>
                <w:szCs w:val="24"/>
              </w:rPr>
            </w:pPr>
            <w:r>
              <w:rPr>
                <w:rFonts w:hint="eastAsia" w:ascii="宋体" w:hAnsi="宋体" w:cs="Arial"/>
                <w:color w:val="auto"/>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pPr>
              <w:rPr>
                <w:rFonts w:ascii="宋体" w:hAnsi="宋体" w:cs="Arial"/>
                <w:color w:val="auto"/>
                <w:sz w:val="24"/>
                <w:szCs w:val="24"/>
              </w:rPr>
            </w:pPr>
            <w:r>
              <w:rPr>
                <w:rFonts w:hint="eastAsia" w:ascii="宋体" w:hAnsi="宋体" w:cs="Arial"/>
                <w:color w:val="auto"/>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pPr>
              <w:rPr>
                <w:rFonts w:ascii="宋体" w:hAnsi="宋体" w:cs="Arial"/>
                <w:color w:val="auto"/>
                <w:sz w:val="24"/>
                <w:szCs w:val="24"/>
              </w:rPr>
            </w:pPr>
          </w:p>
        </w:tc>
      </w:tr>
    </w:tbl>
    <w:p>
      <w:pPr>
        <w:spacing w:line="360" w:lineRule="auto"/>
        <w:rPr>
          <w:rFonts w:ascii="宋体" w:hAnsi="宋体" w:cs="Arial"/>
          <w:color w:val="auto"/>
          <w:sz w:val="24"/>
          <w:szCs w:val="24"/>
        </w:rPr>
      </w:pPr>
    </w:p>
    <w:p>
      <w:pPr>
        <w:spacing w:line="360" w:lineRule="auto"/>
        <w:rPr>
          <w:rFonts w:ascii="宋体" w:hAnsi="宋体" w:cs="Arial"/>
          <w:color w:val="auto"/>
          <w:sz w:val="24"/>
          <w:szCs w:val="24"/>
        </w:rPr>
      </w:pPr>
      <w:r>
        <w:rPr>
          <w:rFonts w:hint="eastAsia" w:ascii="宋体" w:hAnsi="宋体" w:cs="Arial"/>
          <w:color w:val="auto"/>
          <w:sz w:val="24"/>
          <w:szCs w:val="24"/>
        </w:rPr>
        <w:t>供应商：（盖章）</w:t>
      </w:r>
    </w:p>
    <w:p>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pPr>
        <w:pStyle w:val="2"/>
        <w:rPr>
          <w:rFonts w:hint="eastAsia" w:ascii="宋体" w:hAnsi="宋体" w:cs="Arial"/>
          <w:color w:val="auto"/>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rPr>
          <w:rFonts w:hint="eastAsia" w:ascii="宋体" w:hAnsi="宋体" w:cs="Arial"/>
          <w:color w:val="0000FF"/>
          <w:sz w:val="24"/>
          <w:szCs w:val="24"/>
        </w:rPr>
      </w:pPr>
    </w:p>
    <w:p>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pPr>
        <w:pStyle w:val="2"/>
        <w:rPr>
          <w:rFonts w:hint="eastAsia" w:ascii="宋体" w:hAnsi="宋体" w:cs="Arial"/>
          <w:color w:val="0000FF"/>
          <w:sz w:val="24"/>
          <w:szCs w:val="24"/>
        </w:rPr>
      </w:pPr>
    </w:p>
    <w:p>
      <w:pPr>
        <w:spacing w:line="360" w:lineRule="auto"/>
        <w:rPr>
          <w:rFonts w:ascii="宋体" w:hAnsi="宋体" w:cs="Arial"/>
          <w:b/>
          <w:bCs/>
          <w:color w:val="0000FF"/>
          <w:sz w:val="24"/>
          <w:szCs w:val="24"/>
        </w:rPr>
      </w:pPr>
    </w:p>
    <w:p>
      <w:pPr>
        <w:pStyle w:val="2"/>
        <w:ind w:left="0" w:leftChars="0" w:firstLine="0" w:firstLineChars="0"/>
        <w:rPr>
          <w:color w:val="0000FF"/>
        </w:rPr>
      </w:pPr>
    </w:p>
    <w:p>
      <w:pPr>
        <w:pStyle w:val="2"/>
        <w:ind w:left="0" w:leftChars="0" w:firstLine="0" w:firstLineChars="0"/>
        <w:rPr>
          <w:color w:val="0000FF"/>
        </w:rPr>
      </w:pPr>
    </w:p>
    <w:sectPr>
      <w:pgSz w:w="11906" w:h="16838"/>
      <w:pgMar w:top="1440" w:right="1689" w:bottom="1440" w:left="1689"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p>
    <w:pPr>
      <w:pStyle w:val="16"/>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10">
    <w:nsid w:val="6AE247AC"/>
    <w:multiLevelType w:val="singleLevel"/>
    <w:tmpl w:val="6AE247AC"/>
    <w:lvl w:ilvl="0" w:tentative="0">
      <w:start w:val="4"/>
      <w:numFmt w:val="decimal"/>
      <w:suff w:val="nothing"/>
      <w:lvlText w:val="%1、"/>
      <w:lvlJc w:val="left"/>
    </w:lvl>
  </w:abstractNum>
  <w:num w:numId="1">
    <w:abstractNumId w:val="3"/>
  </w:num>
  <w:num w:numId="2">
    <w:abstractNumId w:val="10"/>
  </w:num>
  <w:num w:numId="3">
    <w:abstractNumId w:val="2"/>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GM0OGQ2NjcxZjNkYTVlOTdhMGQwM2NmMTdlMWI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33282"/>
    <w:rsid w:val="03680B91"/>
    <w:rsid w:val="038C76D9"/>
    <w:rsid w:val="038E0430"/>
    <w:rsid w:val="03B13F76"/>
    <w:rsid w:val="03B362D5"/>
    <w:rsid w:val="03BA558C"/>
    <w:rsid w:val="03D92099"/>
    <w:rsid w:val="03DB240E"/>
    <w:rsid w:val="042E163E"/>
    <w:rsid w:val="04D909CC"/>
    <w:rsid w:val="04DF2AE1"/>
    <w:rsid w:val="04FF04CC"/>
    <w:rsid w:val="05086119"/>
    <w:rsid w:val="056412A6"/>
    <w:rsid w:val="057A3813"/>
    <w:rsid w:val="05B745E0"/>
    <w:rsid w:val="0648504B"/>
    <w:rsid w:val="06650A50"/>
    <w:rsid w:val="06932F08"/>
    <w:rsid w:val="06B75149"/>
    <w:rsid w:val="06D066F2"/>
    <w:rsid w:val="071F2612"/>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72131B"/>
    <w:rsid w:val="09A70C86"/>
    <w:rsid w:val="09D55638"/>
    <w:rsid w:val="0A126EFB"/>
    <w:rsid w:val="0A8235E3"/>
    <w:rsid w:val="0A8E3644"/>
    <w:rsid w:val="0A965366"/>
    <w:rsid w:val="0ACC5B22"/>
    <w:rsid w:val="0B772E3E"/>
    <w:rsid w:val="0B970B50"/>
    <w:rsid w:val="0B984657"/>
    <w:rsid w:val="0BDC6D23"/>
    <w:rsid w:val="0BEF12D9"/>
    <w:rsid w:val="0BF46ED9"/>
    <w:rsid w:val="0C1E2A40"/>
    <w:rsid w:val="0C50326D"/>
    <w:rsid w:val="0C6F1945"/>
    <w:rsid w:val="0CFD1647"/>
    <w:rsid w:val="0D0475F3"/>
    <w:rsid w:val="0D221DE8"/>
    <w:rsid w:val="0D283F4E"/>
    <w:rsid w:val="0D443DAB"/>
    <w:rsid w:val="0D596B1F"/>
    <w:rsid w:val="0DB81851"/>
    <w:rsid w:val="0DE92535"/>
    <w:rsid w:val="0EB224EB"/>
    <w:rsid w:val="0EB56530"/>
    <w:rsid w:val="0F4143F0"/>
    <w:rsid w:val="0F937349"/>
    <w:rsid w:val="0FA30CB9"/>
    <w:rsid w:val="0FEE51E8"/>
    <w:rsid w:val="10216D39"/>
    <w:rsid w:val="103942D1"/>
    <w:rsid w:val="104E2E23"/>
    <w:rsid w:val="1055486A"/>
    <w:rsid w:val="106E4225"/>
    <w:rsid w:val="10AE019C"/>
    <w:rsid w:val="10C72E85"/>
    <w:rsid w:val="10E723F2"/>
    <w:rsid w:val="111A2B66"/>
    <w:rsid w:val="117B2B3A"/>
    <w:rsid w:val="11947F8F"/>
    <w:rsid w:val="11B06C88"/>
    <w:rsid w:val="11B9584F"/>
    <w:rsid w:val="11BC5129"/>
    <w:rsid w:val="11BD47FB"/>
    <w:rsid w:val="11EE2188"/>
    <w:rsid w:val="11F76DFD"/>
    <w:rsid w:val="1230601B"/>
    <w:rsid w:val="125C6311"/>
    <w:rsid w:val="125D07AF"/>
    <w:rsid w:val="12B5608D"/>
    <w:rsid w:val="12E03013"/>
    <w:rsid w:val="13821182"/>
    <w:rsid w:val="138345A3"/>
    <w:rsid w:val="138D4967"/>
    <w:rsid w:val="13AC5F03"/>
    <w:rsid w:val="13B14A56"/>
    <w:rsid w:val="13BC1953"/>
    <w:rsid w:val="13E918DD"/>
    <w:rsid w:val="13FB7F63"/>
    <w:rsid w:val="14086B95"/>
    <w:rsid w:val="141A0406"/>
    <w:rsid w:val="14457225"/>
    <w:rsid w:val="14584D57"/>
    <w:rsid w:val="145F04F1"/>
    <w:rsid w:val="145F6743"/>
    <w:rsid w:val="147E12BF"/>
    <w:rsid w:val="14F84B50"/>
    <w:rsid w:val="14FA2223"/>
    <w:rsid w:val="150623C1"/>
    <w:rsid w:val="151651F0"/>
    <w:rsid w:val="158634F0"/>
    <w:rsid w:val="15877D00"/>
    <w:rsid w:val="15962639"/>
    <w:rsid w:val="15F12FD6"/>
    <w:rsid w:val="15FA7F2A"/>
    <w:rsid w:val="15FE2614"/>
    <w:rsid w:val="16054BAA"/>
    <w:rsid w:val="1647654D"/>
    <w:rsid w:val="164C4350"/>
    <w:rsid w:val="16584C21"/>
    <w:rsid w:val="16F47D4F"/>
    <w:rsid w:val="1706559C"/>
    <w:rsid w:val="17100A71"/>
    <w:rsid w:val="171E3E87"/>
    <w:rsid w:val="17204A59"/>
    <w:rsid w:val="1720665E"/>
    <w:rsid w:val="17A24BE8"/>
    <w:rsid w:val="17AF353E"/>
    <w:rsid w:val="17DE54CF"/>
    <w:rsid w:val="17E219FC"/>
    <w:rsid w:val="18117D55"/>
    <w:rsid w:val="18187335"/>
    <w:rsid w:val="18265446"/>
    <w:rsid w:val="18782ED7"/>
    <w:rsid w:val="18895F3B"/>
    <w:rsid w:val="18A045E2"/>
    <w:rsid w:val="18F648D4"/>
    <w:rsid w:val="19563E03"/>
    <w:rsid w:val="19570331"/>
    <w:rsid w:val="19681569"/>
    <w:rsid w:val="19684093"/>
    <w:rsid w:val="19934667"/>
    <w:rsid w:val="19D425CC"/>
    <w:rsid w:val="19EF40C6"/>
    <w:rsid w:val="1A0E575C"/>
    <w:rsid w:val="1A427AAC"/>
    <w:rsid w:val="1A7C35DF"/>
    <w:rsid w:val="1A8640B2"/>
    <w:rsid w:val="1A9761E0"/>
    <w:rsid w:val="1AEE4042"/>
    <w:rsid w:val="1AF4088E"/>
    <w:rsid w:val="1B0821E6"/>
    <w:rsid w:val="1B682233"/>
    <w:rsid w:val="1B707B28"/>
    <w:rsid w:val="1B711F84"/>
    <w:rsid w:val="1B7C407F"/>
    <w:rsid w:val="1B896128"/>
    <w:rsid w:val="1BA535D6"/>
    <w:rsid w:val="1BD23784"/>
    <w:rsid w:val="1BD25A4D"/>
    <w:rsid w:val="1BF95742"/>
    <w:rsid w:val="1C07340D"/>
    <w:rsid w:val="1C0E2637"/>
    <w:rsid w:val="1C2D7127"/>
    <w:rsid w:val="1C424981"/>
    <w:rsid w:val="1C766D20"/>
    <w:rsid w:val="1C791CAC"/>
    <w:rsid w:val="1C7C476B"/>
    <w:rsid w:val="1C8036FB"/>
    <w:rsid w:val="1CB56A20"/>
    <w:rsid w:val="1CD851E0"/>
    <w:rsid w:val="1CD921E0"/>
    <w:rsid w:val="1CFB435F"/>
    <w:rsid w:val="1D622A82"/>
    <w:rsid w:val="1D8C3629"/>
    <w:rsid w:val="1D9104A2"/>
    <w:rsid w:val="1DDF52E6"/>
    <w:rsid w:val="1DE101C9"/>
    <w:rsid w:val="1DEC4931"/>
    <w:rsid w:val="1DF334BD"/>
    <w:rsid w:val="1E075E82"/>
    <w:rsid w:val="1E786D7F"/>
    <w:rsid w:val="1E861943"/>
    <w:rsid w:val="1E90452A"/>
    <w:rsid w:val="1EC91E2B"/>
    <w:rsid w:val="1F1E00F2"/>
    <w:rsid w:val="1F5F0953"/>
    <w:rsid w:val="1F831CC5"/>
    <w:rsid w:val="1F89131B"/>
    <w:rsid w:val="1F8A2A58"/>
    <w:rsid w:val="1FBA5FD1"/>
    <w:rsid w:val="1FD53DE8"/>
    <w:rsid w:val="1FF56291"/>
    <w:rsid w:val="200810CC"/>
    <w:rsid w:val="2010196E"/>
    <w:rsid w:val="201605FE"/>
    <w:rsid w:val="20173AF2"/>
    <w:rsid w:val="201A4DD1"/>
    <w:rsid w:val="201E3957"/>
    <w:rsid w:val="206070CD"/>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5D3ED3"/>
    <w:rsid w:val="226558B0"/>
    <w:rsid w:val="226E2973"/>
    <w:rsid w:val="22783CAD"/>
    <w:rsid w:val="22A27603"/>
    <w:rsid w:val="22A94216"/>
    <w:rsid w:val="22AB1D83"/>
    <w:rsid w:val="22D548A1"/>
    <w:rsid w:val="22F664C5"/>
    <w:rsid w:val="23256004"/>
    <w:rsid w:val="233304F2"/>
    <w:rsid w:val="234710AA"/>
    <w:rsid w:val="236A5949"/>
    <w:rsid w:val="23757D31"/>
    <w:rsid w:val="238853DF"/>
    <w:rsid w:val="23B76660"/>
    <w:rsid w:val="24082954"/>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5101D7"/>
    <w:rsid w:val="26920BFA"/>
    <w:rsid w:val="26B331B4"/>
    <w:rsid w:val="26B90928"/>
    <w:rsid w:val="26D15046"/>
    <w:rsid w:val="27090EBD"/>
    <w:rsid w:val="2744145A"/>
    <w:rsid w:val="274633C2"/>
    <w:rsid w:val="277A53C3"/>
    <w:rsid w:val="278D3205"/>
    <w:rsid w:val="279B06BE"/>
    <w:rsid w:val="283B5C8E"/>
    <w:rsid w:val="28786771"/>
    <w:rsid w:val="287A631E"/>
    <w:rsid w:val="287F3D15"/>
    <w:rsid w:val="287F4493"/>
    <w:rsid w:val="28E70875"/>
    <w:rsid w:val="292A18FE"/>
    <w:rsid w:val="295B3590"/>
    <w:rsid w:val="29714AF7"/>
    <w:rsid w:val="29A3550E"/>
    <w:rsid w:val="29B7629C"/>
    <w:rsid w:val="29E20197"/>
    <w:rsid w:val="2A9071FF"/>
    <w:rsid w:val="2B246615"/>
    <w:rsid w:val="2B797C93"/>
    <w:rsid w:val="2BA51913"/>
    <w:rsid w:val="2BD07780"/>
    <w:rsid w:val="2BDC6E2B"/>
    <w:rsid w:val="2C1005F7"/>
    <w:rsid w:val="2C3A1E9B"/>
    <w:rsid w:val="2C847D2C"/>
    <w:rsid w:val="2D226FC7"/>
    <w:rsid w:val="2D5409A9"/>
    <w:rsid w:val="2D592C0B"/>
    <w:rsid w:val="2D676B5F"/>
    <w:rsid w:val="2D6A3D37"/>
    <w:rsid w:val="2D981183"/>
    <w:rsid w:val="2D9A0EF8"/>
    <w:rsid w:val="2DA2135E"/>
    <w:rsid w:val="2DAF2E4B"/>
    <w:rsid w:val="2DF3338E"/>
    <w:rsid w:val="2E634D99"/>
    <w:rsid w:val="2E665E24"/>
    <w:rsid w:val="2E843358"/>
    <w:rsid w:val="2E866557"/>
    <w:rsid w:val="2EAE1131"/>
    <w:rsid w:val="2EBB2EFB"/>
    <w:rsid w:val="2EF12AA5"/>
    <w:rsid w:val="2F017E0F"/>
    <w:rsid w:val="2F0B5A68"/>
    <w:rsid w:val="2F1264B8"/>
    <w:rsid w:val="2F45680A"/>
    <w:rsid w:val="2F6616C8"/>
    <w:rsid w:val="2F785EE3"/>
    <w:rsid w:val="2F835FE6"/>
    <w:rsid w:val="2F8F2271"/>
    <w:rsid w:val="2FA53F52"/>
    <w:rsid w:val="303D2658"/>
    <w:rsid w:val="3066422A"/>
    <w:rsid w:val="308E71D0"/>
    <w:rsid w:val="30E9774E"/>
    <w:rsid w:val="310420E8"/>
    <w:rsid w:val="310A4B09"/>
    <w:rsid w:val="311F7DDC"/>
    <w:rsid w:val="31292481"/>
    <w:rsid w:val="31293A71"/>
    <w:rsid w:val="313811B1"/>
    <w:rsid w:val="313A4D74"/>
    <w:rsid w:val="31633AA7"/>
    <w:rsid w:val="31972153"/>
    <w:rsid w:val="31D14AC5"/>
    <w:rsid w:val="31E63086"/>
    <w:rsid w:val="32095B90"/>
    <w:rsid w:val="322E59B4"/>
    <w:rsid w:val="324134B2"/>
    <w:rsid w:val="324C1E2B"/>
    <w:rsid w:val="32737B32"/>
    <w:rsid w:val="32C00676"/>
    <w:rsid w:val="32F303BF"/>
    <w:rsid w:val="336F71A9"/>
    <w:rsid w:val="33B30DF3"/>
    <w:rsid w:val="34164B0D"/>
    <w:rsid w:val="34A0361C"/>
    <w:rsid w:val="34AA1BB2"/>
    <w:rsid w:val="34B14942"/>
    <w:rsid w:val="34C75EE8"/>
    <w:rsid w:val="34E22D4D"/>
    <w:rsid w:val="35222791"/>
    <w:rsid w:val="358405D0"/>
    <w:rsid w:val="35B82166"/>
    <w:rsid w:val="35E70981"/>
    <w:rsid w:val="361B528F"/>
    <w:rsid w:val="36511767"/>
    <w:rsid w:val="36584EF1"/>
    <w:rsid w:val="3679446E"/>
    <w:rsid w:val="368B4D38"/>
    <w:rsid w:val="370C49A7"/>
    <w:rsid w:val="370F3C0D"/>
    <w:rsid w:val="376170EB"/>
    <w:rsid w:val="37704640"/>
    <w:rsid w:val="378644A7"/>
    <w:rsid w:val="379A346B"/>
    <w:rsid w:val="37B34BC8"/>
    <w:rsid w:val="37C2095E"/>
    <w:rsid w:val="37C800A6"/>
    <w:rsid w:val="37DE462A"/>
    <w:rsid w:val="37F012DD"/>
    <w:rsid w:val="38451946"/>
    <w:rsid w:val="388A1731"/>
    <w:rsid w:val="388D371B"/>
    <w:rsid w:val="3918573D"/>
    <w:rsid w:val="39300383"/>
    <w:rsid w:val="3952586A"/>
    <w:rsid w:val="3958538C"/>
    <w:rsid w:val="398F6409"/>
    <w:rsid w:val="399C2EB1"/>
    <w:rsid w:val="39AD5401"/>
    <w:rsid w:val="39D730F7"/>
    <w:rsid w:val="39E13B89"/>
    <w:rsid w:val="39EB6350"/>
    <w:rsid w:val="3A027F19"/>
    <w:rsid w:val="3A414072"/>
    <w:rsid w:val="3A6D0632"/>
    <w:rsid w:val="3A812D72"/>
    <w:rsid w:val="3A937CAE"/>
    <w:rsid w:val="3AB605BC"/>
    <w:rsid w:val="3AD01A26"/>
    <w:rsid w:val="3AD153F6"/>
    <w:rsid w:val="3AFD61EB"/>
    <w:rsid w:val="3B424545"/>
    <w:rsid w:val="3B4C7172"/>
    <w:rsid w:val="3B6C265C"/>
    <w:rsid w:val="3B7C0B27"/>
    <w:rsid w:val="3B88430F"/>
    <w:rsid w:val="3B9F231E"/>
    <w:rsid w:val="3BBD1DB4"/>
    <w:rsid w:val="3BD04E07"/>
    <w:rsid w:val="3BF17E28"/>
    <w:rsid w:val="3C0C1A2F"/>
    <w:rsid w:val="3C4D4F50"/>
    <w:rsid w:val="3CD952FE"/>
    <w:rsid w:val="3D0875A4"/>
    <w:rsid w:val="3D480B40"/>
    <w:rsid w:val="3D516558"/>
    <w:rsid w:val="3D702CFD"/>
    <w:rsid w:val="3D7D1865"/>
    <w:rsid w:val="3D9273AE"/>
    <w:rsid w:val="3DB86DD6"/>
    <w:rsid w:val="3DC72D75"/>
    <w:rsid w:val="3DCC3B27"/>
    <w:rsid w:val="3DF01A15"/>
    <w:rsid w:val="3E774506"/>
    <w:rsid w:val="3E821234"/>
    <w:rsid w:val="3E9B311D"/>
    <w:rsid w:val="3EB7726D"/>
    <w:rsid w:val="3EF14DB3"/>
    <w:rsid w:val="3F0424A5"/>
    <w:rsid w:val="3F224721"/>
    <w:rsid w:val="3F2D1069"/>
    <w:rsid w:val="3F3608E0"/>
    <w:rsid w:val="3FC1012F"/>
    <w:rsid w:val="3FD03675"/>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E79CE"/>
    <w:rsid w:val="427B205B"/>
    <w:rsid w:val="427C658F"/>
    <w:rsid w:val="428B7DC0"/>
    <w:rsid w:val="42F93A95"/>
    <w:rsid w:val="431C1A21"/>
    <w:rsid w:val="43B60D20"/>
    <w:rsid w:val="43BF3D19"/>
    <w:rsid w:val="43C639D7"/>
    <w:rsid w:val="43D368B5"/>
    <w:rsid w:val="43DE6DD5"/>
    <w:rsid w:val="43E8153E"/>
    <w:rsid w:val="43F860E9"/>
    <w:rsid w:val="43FC27C7"/>
    <w:rsid w:val="44153FCD"/>
    <w:rsid w:val="441B7340"/>
    <w:rsid w:val="4420080D"/>
    <w:rsid w:val="44337121"/>
    <w:rsid w:val="445A78DD"/>
    <w:rsid w:val="448F37D7"/>
    <w:rsid w:val="449803AE"/>
    <w:rsid w:val="44F44EB9"/>
    <w:rsid w:val="45766F29"/>
    <w:rsid w:val="459467CC"/>
    <w:rsid w:val="459B3D8B"/>
    <w:rsid w:val="45B44292"/>
    <w:rsid w:val="45DC5699"/>
    <w:rsid w:val="45FF375F"/>
    <w:rsid w:val="460528B8"/>
    <w:rsid w:val="462B7531"/>
    <w:rsid w:val="46540D30"/>
    <w:rsid w:val="46A17500"/>
    <w:rsid w:val="46B45C85"/>
    <w:rsid w:val="46B83054"/>
    <w:rsid w:val="46BE47C9"/>
    <w:rsid w:val="46C133EA"/>
    <w:rsid w:val="46F40419"/>
    <w:rsid w:val="4711679F"/>
    <w:rsid w:val="47307ABE"/>
    <w:rsid w:val="477036BD"/>
    <w:rsid w:val="479C7D76"/>
    <w:rsid w:val="47C334D7"/>
    <w:rsid w:val="47CE4C4C"/>
    <w:rsid w:val="47FD74BA"/>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AA284E"/>
    <w:rsid w:val="4ACD20A9"/>
    <w:rsid w:val="4B0A239F"/>
    <w:rsid w:val="4B115670"/>
    <w:rsid w:val="4B1B37A6"/>
    <w:rsid w:val="4B2422E4"/>
    <w:rsid w:val="4B321889"/>
    <w:rsid w:val="4B327839"/>
    <w:rsid w:val="4B662EA9"/>
    <w:rsid w:val="4B732868"/>
    <w:rsid w:val="4B8363C2"/>
    <w:rsid w:val="4B977F95"/>
    <w:rsid w:val="4BB93B50"/>
    <w:rsid w:val="4BDA6111"/>
    <w:rsid w:val="4C1C493F"/>
    <w:rsid w:val="4C4250A3"/>
    <w:rsid w:val="4C460283"/>
    <w:rsid w:val="4C5E4090"/>
    <w:rsid w:val="4C7D5BBB"/>
    <w:rsid w:val="4C8A0074"/>
    <w:rsid w:val="4C9B1090"/>
    <w:rsid w:val="4CB77648"/>
    <w:rsid w:val="4D3E3BA7"/>
    <w:rsid w:val="4D633133"/>
    <w:rsid w:val="4D800B91"/>
    <w:rsid w:val="4D98462D"/>
    <w:rsid w:val="4DAE439C"/>
    <w:rsid w:val="4DCF483E"/>
    <w:rsid w:val="4DE65318"/>
    <w:rsid w:val="4E21420F"/>
    <w:rsid w:val="4E5521E5"/>
    <w:rsid w:val="4E85410C"/>
    <w:rsid w:val="4EAD1CD6"/>
    <w:rsid w:val="4EAD2C74"/>
    <w:rsid w:val="4EE259CC"/>
    <w:rsid w:val="4EE80763"/>
    <w:rsid w:val="4EF12228"/>
    <w:rsid w:val="4EF944D0"/>
    <w:rsid w:val="4F487E28"/>
    <w:rsid w:val="4F6463E1"/>
    <w:rsid w:val="4F7F4C73"/>
    <w:rsid w:val="4FB064A5"/>
    <w:rsid w:val="50090FDA"/>
    <w:rsid w:val="50101C28"/>
    <w:rsid w:val="503E33BF"/>
    <w:rsid w:val="506C089A"/>
    <w:rsid w:val="50B52F96"/>
    <w:rsid w:val="511358F6"/>
    <w:rsid w:val="51267DFC"/>
    <w:rsid w:val="515810C3"/>
    <w:rsid w:val="51581F75"/>
    <w:rsid w:val="516641F6"/>
    <w:rsid w:val="51C95F5F"/>
    <w:rsid w:val="51E24515"/>
    <w:rsid w:val="51E33BA6"/>
    <w:rsid w:val="51F126D5"/>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527FB8"/>
    <w:rsid w:val="54863B40"/>
    <w:rsid w:val="54B75F59"/>
    <w:rsid w:val="54BF6BCE"/>
    <w:rsid w:val="54C63415"/>
    <w:rsid w:val="54C740CA"/>
    <w:rsid w:val="54F0573D"/>
    <w:rsid w:val="55144D65"/>
    <w:rsid w:val="55517EC7"/>
    <w:rsid w:val="555B7C68"/>
    <w:rsid w:val="55DA5350"/>
    <w:rsid w:val="561F55DB"/>
    <w:rsid w:val="562543F0"/>
    <w:rsid w:val="562D21EE"/>
    <w:rsid w:val="56854D3B"/>
    <w:rsid w:val="5738076B"/>
    <w:rsid w:val="57CE11E3"/>
    <w:rsid w:val="57EB7AFF"/>
    <w:rsid w:val="586B1E4B"/>
    <w:rsid w:val="587D49B7"/>
    <w:rsid w:val="588A6106"/>
    <w:rsid w:val="58D91E54"/>
    <w:rsid w:val="58FF53B5"/>
    <w:rsid w:val="59543241"/>
    <w:rsid w:val="59584779"/>
    <w:rsid w:val="59655944"/>
    <w:rsid w:val="597E3BA4"/>
    <w:rsid w:val="599E23AF"/>
    <w:rsid w:val="59B47412"/>
    <w:rsid w:val="59FE66B3"/>
    <w:rsid w:val="5A184997"/>
    <w:rsid w:val="5A1924BD"/>
    <w:rsid w:val="5AC10B8B"/>
    <w:rsid w:val="5AD14C13"/>
    <w:rsid w:val="5AD405C9"/>
    <w:rsid w:val="5AF36529"/>
    <w:rsid w:val="5AF80325"/>
    <w:rsid w:val="5B3C1ED2"/>
    <w:rsid w:val="5B540D70"/>
    <w:rsid w:val="5B61752A"/>
    <w:rsid w:val="5B962162"/>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21519C"/>
    <w:rsid w:val="5D5757D7"/>
    <w:rsid w:val="5D7C6D44"/>
    <w:rsid w:val="5D874E9B"/>
    <w:rsid w:val="5DA71878"/>
    <w:rsid w:val="5DC46523"/>
    <w:rsid w:val="5DDB1024"/>
    <w:rsid w:val="5E0B450A"/>
    <w:rsid w:val="5E0F5996"/>
    <w:rsid w:val="5E246462"/>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309353D"/>
    <w:rsid w:val="630B4D5C"/>
    <w:rsid w:val="63155F18"/>
    <w:rsid w:val="63275B40"/>
    <w:rsid w:val="635B3E16"/>
    <w:rsid w:val="63725C09"/>
    <w:rsid w:val="63B125C8"/>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70267B3"/>
    <w:rsid w:val="67334BBF"/>
    <w:rsid w:val="67495FE4"/>
    <w:rsid w:val="67B22515"/>
    <w:rsid w:val="67B7228B"/>
    <w:rsid w:val="67FF03F1"/>
    <w:rsid w:val="68BC3B1D"/>
    <w:rsid w:val="68DC7F0C"/>
    <w:rsid w:val="68DE0B5A"/>
    <w:rsid w:val="6901225A"/>
    <w:rsid w:val="692840D6"/>
    <w:rsid w:val="693422DC"/>
    <w:rsid w:val="694035C3"/>
    <w:rsid w:val="69493201"/>
    <w:rsid w:val="696447FC"/>
    <w:rsid w:val="69704FF9"/>
    <w:rsid w:val="697C2E5E"/>
    <w:rsid w:val="69C12723"/>
    <w:rsid w:val="69C8725A"/>
    <w:rsid w:val="69EB1780"/>
    <w:rsid w:val="69F638FC"/>
    <w:rsid w:val="69FD762C"/>
    <w:rsid w:val="6A3D6297"/>
    <w:rsid w:val="6A621379"/>
    <w:rsid w:val="6AB37DC4"/>
    <w:rsid w:val="6AB63605"/>
    <w:rsid w:val="6AC8410A"/>
    <w:rsid w:val="6AFD6825"/>
    <w:rsid w:val="6B0A3567"/>
    <w:rsid w:val="6B0B7C00"/>
    <w:rsid w:val="6B215175"/>
    <w:rsid w:val="6B5D6B0E"/>
    <w:rsid w:val="6B851761"/>
    <w:rsid w:val="6BC54D4F"/>
    <w:rsid w:val="6BEA4F37"/>
    <w:rsid w:val="6BFF55A6"/>
    <w:rsid w:val="6C197F88"/>
    <w:rsid w:val="6C562D66"/>
    <w:rsid w:val="6C573D7E"/>
    <w:rsid w:val="6C7E30B5"/>
    <w:rsid w:val="6C9F4AA4"/>
    <w:rsid w:val="6CC23DDA"/>
    <w:rsid w:val="6CCE4F28"/>
    <w:rsid w:val="6CE528E6"/>
    <w:rsid w:val="6CED33DD"/>
    <w:rsid w:val="6CF601C3"/>
    <w:rsid w:val="6D001295"/>
    <w:rsid w:val="6D39231F"/>
    <w:rsid w:val="6E035053"/>
    <w:rsid w:val="6E532ED0"/>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51260D"/>
    <w:rsid w:val="72DA669E"/>
    <w:rsid w:val="72DB37DB"/>
    <w:rsid w:val="72DC7BCE"/>
    <w:rsid w:val="72F64351"/>
    <w:rsid w:val="73290512"/>
    <w:rsid w:val="73884920"/>
    <w:rsid w:val="73944429"/>
    <w:rsid w:val="73A3131E"/>
    <w:rsid w:val="73AB599B"/>
    <w:rsid w:val="73AF7CC3"/>
    <w:rsid w:val="73FC458A"/>
    <w:rsid w:val="741B7D3F"/>
    <w:rsid w:val="74273CFD"/>
    <w:rsid w:val="74522823"/>
    <w:rsid w:val="746126D0"/>
    <w:rsid w:val="74637F1A"/>
    <w:rsid w:val="749E69CF"/>
    <w:rsid w:val="74AF0844"/>
    <w:rsid w:val="74B26060"/>
    <w:rsid w:val="74B66434"/>
    <w:rsid w:val="74CA3CC0"/>
    <w:rsid w:val="74CF23E7"/>
    <w:rsid w:val="7500786C"/>
    <w:rsid w:val="752A258D"/>
    <w:rsid w:val="75332571"/>
    <w:rsid w:val="75396CDA"/>
    <w:rsid w:val="7561546C"/>
    <w:rsid w:val="75CE780D"/>
    <w:rsid w:val="76300AFA"/>
    <w:rsid w:val="76430DF0"/>
    <w:rsid w:val="76FC03FE"/>
    <w:rsid w:val="76FD4804"/>
    <w:rsid w:val="77007181"/>
    <w:rsid w:val="777918EB"/>
    <w:rsid w:val="77B41DB0"/>
    <w:rsid w:val="77DA5A12"/>
    <w:rsid w:val="77DC5702"/>
    <w:rsid w:val="78227CD8"/>
    <w:rsid w:val="7829281A"/>
    <w:rsid w:val="784815D2"/>
    <w:rsid w:val="78902818"/>
    <w:rsid w:val="78994A9D"/>
    <w:rsid w:val="78B92555"/>
    <w:rsid w:val="78BC7A8A"/>
    <w:rsid w:val="78E31C25"/>
    <w:rsid w:val="790A599B"/>
    <w:rsid w:val="79666685"/>
    <w:rsid w:val="79986BD9"/>
    <w:rsid w:val="79A00574"/>
    <w:rsid w:val="79F041EC"/>
    <w:rsid w:val="79F32CCB"/>
    <w:rsid w:val="7A0837FC"/>
    <w:rsid w:val="7A091ABE"/>
    <w:rsid w:val="7A7C01D3"/>
    <w:rsid w:val="7A8F43F6"/>
    <w:rsid w:val="7ACE731A"/>
    <w:rsid w:val="7AD44562"/>
    <w:rsid w:val="7AE82DB9"/>
    <w:rsid w:val="7AEE0252"/>
    <w:rsid w:val="7B0F77C6"/>
    <w:rsid w:val="7B4A4786"/>
    <w:rsid w:val="7B6A44CF"/>
    <w:rsid w:val="7C27219A"/>
    <w:rsid w:val="7C3D04A0"/>
    <w:rsid w:val="7C8A6757"/>
    <w:rsid w:val="7CA5157F"/>
    <w:rsid w:val="7CBF2918"/>
    <w:rsid w:val="7D295114"/>
    <w:rsid w:val="7D4465B5"/>
    <w:rsid w:val="7D553689"/>
    <w:rsid w:val="7D562F76"/>
    <w:rsid w:val="7D860671"/>
    <w:rsid w:val="7D8E6B9B"/>
    <w:rsid w:val="7D9153AD"/>
    <w:rsid w:val="7DA55C93"/>
    <w:rsid w:val="7DEF4A64"/>
    <w:rsid w:val="7E221091"/>
    <w:rsid w:val="7E242CEB"/>
    <w:rsid w:val="7E2C6E37"/>
    <w:rsid w:val="7E3F0EC0"/>
    <w:rsid w:val="7E8D74B1"/>
    <w:rsid w:val="7EA551B4"/>
    <w:rsid w:val="7F574211"/>
    <w:rsid w:val="7F772B2B"/>
    <w:rsid w:val="7F9E7AC2"/>
    <w:rsid w:val="7FA90349"/>
    <w:rsid w:val="7FAA23BB"/>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qFormat/>
    <w:uiPriority w:val="0"/>
    <w:pPr>
      <w:keepNext/>
      <w:keepLines/>
      <w:spacing w:line="415" w:lineRule="auto"/>
      <w:outlineLvl w:val="1"/>
    </w:pPr>
    <w:rPr>
      <w:rFonts w:ascii="Arial" w:hAnsi="Arial" w:cs="Arial"/>
      <w:b/>
      <w:bCs/>
    </w:rPr>
  </w:style>
  <w:style w:type="paragraph" w:styleId="7">
    <w:name w:val="heading 3"/>
    <w:basedOn w:val="1"/>
    <w:next w:val="1"/>
    <w:qFormat/>
    <w:uiPriority w:val="0"/>
    <w:pPr>
      <w:keepNext/>
      <w:keepLines/>
      <w:spacing w:line="412" w:lineRule="auto"/>
      <w:outlineLvl w:val="2"/>
    </w:pPr>
    <w:rPr>
      <w:b/>
      <w:bCs/>
      <w:sz w:val="32"/>
      <w:szCs w:val="32"/>
    </w:rPr>
  </w:style>
  <w:style w:type="paragraph" w:styleId="8">
    <w:name w:val="heading 4"/>
    <w:basedOn w:val="1"/>
    <w:next w:val="1"/>
    <w:qFormat/>
    <w:uiPriority w:val="0"/>
    <w:pPr>
      <w:keepNext/>
      <w:keepLines/>
      <w:spacing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cs="Arial"/>
      <w:szCs w:val="24"/>
    </w:rPr>
  </w:style>
  <w:style w:type="paragraph" w:styleId="9">
    <w:name w:val="Document Map"/>
    <w:basedOn w:val="1"/>
    <w:qFormat/>
    <w:uiPriority w:val="0"/>
    <w:pPr>
      <w:shd w:val="clear" w:color="auto" w:fill="000080"/>
    </w:pPr>
  </w:style>
  <w:style w:type="paragraph" w:styleId="10">
    <w:name w:val="Body Text"/>
    <w:basedOn w:val="1"/>
    <w:qFormat/>
    <w:uiPriority w:val="1"/>
    <w:pPr>
      <w:ind w:left="700"/>
    </w:pPr>
    <w:rPr>
      <w:rFonts w:ascii="宋体" w:hAnsi="宋体" w:cs="宋体"/>
      <w:sz w:val="24"/>
      <w:szCs w:val="24"/>
      <w:lang w:val="zh-CN" w:bidi="zh-CN"/>
    </w:rPr>
  </w:style>
  <w:style w:type="paragraph" w:styleId="11">
    <w:name w:val="Block Text"/>
    <w:basedOn w:val="1"/>
    <w:semiHidden/>
    <w:unhideWhenUsed/>
    <w:qFormat/>
    <w:uiPriority w:val="99"/>
    <w:pPr>
      <w:spacing w:after="120"/>
      <w:ind w:left="1440" w:leftChars="700" w:right="1440" w:rightChars="700"/>
    </w:pPr>
  </w:style>
  <w:style w:type="paragraph" w:styleId="12">
    <w:name w:val="toc 3"/>
    <w:basedOn w:val="1"/>
    <w:next w:val="1"/>
    <w:qFormat/>
    <w:uiPriority w:val="0"/>
    <w:pPr>
      <w:spacing w:before="100" w:beforeAutospacing="1" w:after="100" w:afterAutospacing="1"/>
      <w:ind w:left="400" w:leftChars="400"/>
    </w:pPr>
  </w:style>
  <w:style w:type="paragraph" w:styleId="13">
    <w:name w:val="Plain Text"/>
    <w:basedOn w:val="1"/>
    <w:qFormat/>
    <w:uiPriority w:val="0"/>
    <w:rPr>
      <w:rFonts w:ascii="宋体" w:hAnsi="Courier New"/>
      <w:sz w:val="24"/>
    </w:rPr>
  </w:style>
  <w:style w:type="paragraph" w:styleId="14">
    <w:name w:val="Date"/>
    <w:basedOn w:val="1"/>
    <w:next w:val="1"/>
    <w:qFormat/>
    <w:uiPriority w:val="0"/>
    <w:rPr>
      <w:rFonts w:ascii="仿宋_GB2312" w:hAnsi="宋体" w:eastAsia="仿宋_GB2312" w:cs="宋体"/>
      <w:sz w:val="30"/>
      <w:szCs w:val="30"/>
    </w:rPr>
  </w:style>
  <w:style w:type="paragraph" w:styleId="15">
    <w:name w:val="Body Text Indent 2"/>
    <w:basedOn w:val="1"/>
    <w:qFormat/>
    <w:uiPriority w:val="0"/>
    <w:pPr>
      <w:ind w:left="630" w:firstLine="645"/>
    </w:pPr>
    <w:rPr>
      <w:rFonts w:ascii="Arial" w:hAnsi="Arial" w:eastAsia="仿宋_GB2312"/>
      <w:sz w:val="32"/>
      <w:szCs w:val="20"/>
    </w:rPr>
  </w:style>
  <w:style w:type="paragraph" w:styleId="16">
    <w:name w:val="footer"/>
    <w:basedOn w:val="1"/>
    <w:qFormat/>
    <w:uiPriority w:val="0"/>
    <w:pPr>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qFormat/>
    <w:uiPriority w:val="0"/>
    <w:pPr>
      <w:ind w:left="420" w:hanging="420"/>
    </w:pPr>
    <w:rPr>
      <w:rFonts w:ascii="Arial" w:hAnsi="Arial" w:eastAsia="楷体_GB2312"/>
      <w:sz w:val="28"/>
    </w:rPr>
  </w:style>
  <w:style w:type="paragraph" w:styleId="19">
    <w:name w:val="toc 2"/>
    <w:basedOn w:val="20"/>
    <w:next w:val="20"/>
    <w:qFormat/>
    <w:uiPriority w:val="0"/>
    <w:rPr>
      <w:rFonts w:eastAsia="仿宋_GB2312"/>
      <w:b/>
      <w:bCs/>
      <w:sz w:val="24"/>
      <w:szCs w:val="24"/>
    </w:rPr>
  </w:style>
  <w:style w:type="paragraph" w:styleId="20">
    <w:name w:val="index 2"/>
    <w:basedOn w:val="1"/>
    <w:next w:val="1"/>
    <w:qFormat/>
    <w:uiPriority w:val="0"/>
    <w:pPr>
      <w:spacing w:before="100" w:beforeAutospacing="1" w:after="100" w:afterAutospacing="1"/>
      <w:ind w:left="20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index 1"/>
    <w:basedOn w:val="1"/>
    <w:next w:val="1"/>
    <w:semiHidden/>
    <w:qFormat/>
    <w:uiPriority w:val="0"/>
    <w:pPr>
      <w:jc w:val="center"/>
    </w:pPr>
    <w:rPr>
      <w:rFonts w:ascii="仿宋_GB2312" w:eastAsia="仿宋_GB2312"/>
      <w:b/>
      <w:bCs/>
      <w:sz w:val="28"/>
      <w:szCs w:val="20"/>
    </w:rPr>
  </w:style>
  <w:style w:type="paragraph" w:styleId="23">
    <w:name w:val="Body Text First Indent"/>
    <w:basedOn w:val="10"/>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styleId="30">
    <w:name w:val="List Paragraph"/>
    <w:basedOn w:val="1"/>
    <w:qFormat/>
    <w:uiPriority w:val="34"/>
    <w:pPr>
      <w:ind w:firstLine="420" w:firstLineChars="200"/>
    </w:pPr>
  </w:style>
  <w:style w:type="paragraph" w:customStyle="1" w:styleId="31">
    <w:name w:val="H1"/>
    <w:basedOn w:val="6"/>
    <w:next w:val="32"/>
    <w:qFormat/>
    <w:uiPriority w:val="0"/>
    <w:pPr>
      <w:spacing w:line="600" w:lineRule="exact"/>
      <w:jc w:val="center"/>
    </w:pPr>
    <w:rPr>
      <w:rFonts w:ascii="宋体" w:hAnsi="宋体" w:eastAsia="黑体" w:cs="宋体"/>
      <w:color w:val="000000"/>
      <w:sz w:val="32"/>
      <w:szCs w:val="32"/>
    </w:rPr>
  </w:style>
  <w:style w:type="paragraph" w:customStyle="1" w:styleId="32">
    <w:name w:val="GW-正文"/>
    <w:basedOn w:val="1"/>
    <w:qFormat/>
    <w:uiPriority w:val="0"/>
    <w:pPr>
      <w:spacing w:line="360" w:lineRule="auto"/>
      <w:ind w:firstLine="200" w:firstLineChars="200"/>
      <w:contextualSpacing/>
    </w:pPr>
  </w:style>
  <w:style w:type="paragraph" w:customStyle="1" w:styleId="33">
    <w:name w:val="H2"/>
    <w:basedOn w:val="7"/>
    <w:next w:val="1"/>
    <w:qFormat/>
    <w:uiPriority w:val="0"/>
    <w:pPr>
      <w:keepNext w:val="0"/>
      <w:keepLines w:val="0"/>
      <w:spacing w:line="360" w:lineRule="auto"/>
      <w:jc w:val="center"/>
    </w:pPr>
    <w:rPr>
      <w:rFonts w:ascii="宋体" w:hAnsi="宋体" w:cs="Arial"/>
      <w:color w:val="000000"/>
      <w:sz w:val="21"/>
      <w:szCs w:val="21"/>
    </w:rPr>
  </w:style>
  <w:style w:type="character" w:customStyle="1" w:styleId="34">
    <w:name w:val="16"/>
    <w:basedOn w:val="26"/>
    <w:qFormat/>
    <w:uiPriority w:val="0"/>
    <w:rPr>
      <w:rFonts w:hint="default" w:ascii="Cambria" w:hAnsi="Cambria" w:cs="Times New Roman"/>
      <w:b/>
      <w:bCs/>
      <w:kern w:val="28"/>
      <w:sz w:val="21"/>
      <w:szCs w:val="21"/>
    </w:rPr>
  </w:style>
  <w:style w:type="paragraph" w:customStyle="1" w:styleId="35">
    <w:name w:val="p0"/>
    <w:basedOn w:val="1"/>
    <w:qFormat/>
    <w:uiPriority w:val="0"/>
    <w:pPr>
      <w:widowControl/>
    </w:pPr>
    <w:rPr>
      <w:kern w:val="0"/>
    </w:rPr>
  </w:style>
  <w:style w:type="paragraph" w:customStyle="1" w:styleId="36">
    <w:name w:val="目录 71"/>
    <w:basedOn w:val="1"/>
    <w:next w:val="1"/>
    <w:qFormat/>
    <w:uiPriority w:val="99"/>
    <w:pPr>
      <w:ind w:left="2520"/>
    </w:pPr>
    <w:rPr>
      <w:rFonts w:ascii="Calibri"/>
    </w:rPr>
  </w:style>
  <w:style w:type="paragraph" w:customStyle="1" w:styleId="37">
    <w:name w:val="*正文"/>
    <w:basedOn w:val="1"/>
    <w:qFormat/>
    <w:uiPriority w:val="0"/>
    <w:pPr>
      <w:widowControl/>
      <w:spacing w:line="360" w:lineRule="auto"/>
      <w:ind w:firstLine="480" w:firstLineChars="200"/>
    </w:pPr>
    <w:rPr>
      <w:rFonts w:eastAsia="仿宋_GB2312"/>
      <w:sz w:val="24"/>
      <w:szCs w:val="28"/>
    </w:rPr>
  </w:style>
  <w:style w:type="paragraph" w:customStyle="1" w:styleId="38">
    <w:name w:val="列表段落1"/>
    <w:basedOn w:val="1"/>
    <w:qFormat/>
    <w:uiPriority w:val="34"/>
    <w:pPr>
      <w:ind w:firstLine="420" w:firstLineChars="200"/>
    </w:pPr>
  </w:style>
  <w:style w:type="paragraph" w:customStyle="1" w:styleId="39">
    <w:name w:val="CES正文"/>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0">
    <w:name w:val="内容"/>
    <w:basedOn w:val="1"/>
    <w:qFormat/>
    <w:uiPriority w:val="0"/>
    <w:pPr>
      <w:spacing w:line="360" w:lineRule="auto"/>
      <w:ind w:firstLine="420" w:firstLineChars="200"/>
    </w:pPr>
    <w:rPr>
      <w:rFonts w:ascii="华文仿宋" w:hAnsi="华文仿宋" w:eastAsia="仿宋_GB2312"/>
      <w:sz w:val="28"/>
    </w:rPr>
  </w:style>
  <w:style w:type="paragraph" w:customStyle="1" w:styleId="41">
    <w:name w:val="Normal_19"/>
    <w:qFormat/>
    <w:uiPriority w:val="0"/>
    <w:pPr>
      <w:widowControl w:val="0"/>
      <w:jc w:val="both"/>
    </w:pPr>
    <w:rPr>
      <w:rFonts w:ascii="Calibri" w:hAnsi="Calibri" w:eastAsia="宋体" w:cs="Times New Roman"/>
      <w:lang w:val="en-US" w:eastAsia="zh-CN" w:bidi="ar-SA"/>
    </w:rPr>
  </w:style>
  <w:style w:type="paragraph" w:customStyle="1" w:styleId="42">
    <w:name w:val="Normal_21"/>
    <w:qFormat/>
    <w:uiPriority w:val="0"/>
    <w:pPr>
      <w:widowControl w:val="0"/>
      <w:jc w:val="both"/>
    </w:pPr>
    <w:rPr>
      <w:rFonts w:ascii="Calibri" w:hAnsi="Calibri" w:eastAsia="Times New Roman" w:cs="Times New Roman"/>
      <w:lang w:val="en-US" w:eastAsia="zh-CN" w:bidi="ar-SA"/>
    </w:rPr>
  </w:style>
  <w:style w:type="paragraph" w:customStyle="1" w:styleId="43">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Heading #1|1"/>
    <w:basedOn w:val="1"/>
    <w:qFormat/>
    <w:uiPriority w:val="0"/>
    <w:pPr>
      <w:spacing w:after="6340"/>
      <w:jc w:val="center"/>
      <w:outlineLvl w:val="0"/>
    </w:pPr>
    <w:rPr>
      <w:rFonts w:ascii="宋体" w:hAnsi="宋体" w:cs="宋体"/>
      <w:color w:val="2D2C30"/>
      <w:sz w:val="70"/>
      <w:szCs w:val="70"/>
      <w:lang w:val="zh-TW" w:eastAsia="zh-TW" w:bidi="zh-TW"/>
    </w:rPr>
  </w:style>
  <w:style w:type="paragraph" w:customStyle="1" w:styleId="45">
    <w:name w:val="Body text|1"/>
    <w:basedOn w:val="1"/>
    <w:qFormat/>
    <w:uiPriority w:val="0"/>
    <w:pPr>
      <w:spacing w:line="434" w:lineRule="auto"/>
      <w:ind w:firstLine="400"/>
    </w:pPr>
    <w:rPr>
      <w:rFonts w:ascii="宋体" w:hAnsi="宋体" w:cs="宋体"/>
      <w:color w:val="2D2C30"/>
      <w:sz w:val="28"/>
      <w:szCs w:val="28"/>
      <w:lang w:val="zh-TW" w:eastAsia="zh-TW" w:bidi="zh-TW"/>
    </w:rPr>
  </w:style>
  <w:style w:type="paragraph" w:customStyle="1" w:styleId="46">
    <w:name w:val="Body text|2"/>
    <w:basedOn w:val="1"/>
    <w:qFormat/>
    <w:uiPriority w:val="0"/>
    <w:pPr>
      <w:spacing w:after="130" w:line="346" w:lineRule="auto"/>
      <w:ind w:firstLine="590"/>
    </w:pPr>
    <w:rPr>
      <w:color w:val="2D2C30"/>
      <w:sz w:val="30"/>
      <w:szCs w:val="30"/>
      <w:u w:val="single"/>
      <w:lang w:val="zh-TW" w:eastAsia="zh-TW" w:bidi="zh-TW"/>
    </w:rPr>
  </w:style>
  <w:style w:type="paragraph" w:customStyle="1" w:styleId="47">
    <w:name w:val="Header or footer|2"/>
    <w:basedOn w:val="1"/>
    <w:qFormat/>
    <w:uiPriority w:val="0"/>
    <w:rPr>
      <w:sz w:val="20"/>
      <w:szCs w:val="20"/>
      <w:lang w:val="zh-TW" w:eastAsia="zh-TW" w:bidi="zh-TW"/>
    </w:rPr>
  </w:style>
  <w:style w:type="paragraph" w:customStyle="1" w:styleId="48">
    <w:name w:val="D&amp;L"/>
    <w:basedOn w:val="17"/>
    <w:qFormat/>
    <w:uiPriority w:val="0"/>
    <w:pPr>
      <w:pBdr>
        <w:bottom w:val="thinThickSmallGap" w:color="auto" w:sz="12" w:space="1"/>
      </w:pBdr>
      <w:adjustRightInd w:val="0"/>
      <w:snapToGrid/>
      <w:spacing w:line="240" w:lineRule="atLeast"/>
      <w:textAlignment w:val="baseline"/>
    </w:pPr>
    <w:rPr>
      <w:kern w:val="0"/>
      <w:sz w:val="24"/>
      <w:szCs w:val="24"/>
    </w:rPr>
  </w:style>
  <w:style w:type="paragraph" w:customStyle="1" w:styleId="49">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21480</Words>
  <Characters>22340</Characters>
  <Lines>125</Lines>
  <Paragraphs>35</Paragraphs>
  <TotalTime>4</TotalTime>
  <ScaleCrop>false</ScaleCrop>
  <LinksUpToDate>false</LinksUpToDate>
  <CharactersWithSpaces>23529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DELL</cp:lastModifiedBy>
  <cp:lastPrinted>2025-01-17T02:39:00Z</cp:lastPrinted>
  <dcterms:modified xsi:type="dcterms:W3CDTF">2025-07-28T06:48:39Z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C37AB39A82004A70A844F57EB03F203A_13</vt:lpwstr>
  </property>
  <property fmtid="{D5CDD505-2E9C-101B-9397-08002B2CF9AE}" pid="4" name="KSOTemplateDocerSaveRecord">
    <vt:lpwstr>eyJoZGlkIjoiN2Q2NWQ0ZTVkMTcxZDViOGY2YTdkNGExMjgxY2QyNjkiLCJ1c2VySWQiOiIyOTUwNzg4OTUifQ==</vt:lpwstr>
  </property>
</Properties>
</file>