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30"/>
          <w:szCs w:val="30"/>
          <w:highlight w:val="none"/>
          <w:u w:val="none"/>
          <w14:textFill>
            <w14:solidFill>
              <w14:schemeClr w14:val="tx1"/>
            </w14:solidFill>
          </w14:textFill>
        </w:rPr>
      </w:pPr>
      <w:bookmarkStart w:id="0" w:name="OLE_LINK1"/>
      <w:r>
        <w:rPr>
          <w:rFonts w:hint="eastAsia" w:asciiTheme="minorEastAsia" w:hAnsiTheme="minorEastAsia" w:eastAsiaTheme="minorEastAsia" w:cstheme="minorEastAsia"/>
          <w:b/>
          <w:bCs/>
          <w:spacing w:val="0"/>
          <w:kern w:val="0"/>
          <w:sz w:val="30"/>
          <w:szCs w:val="30"/>
          <w:highlight w:val="none"/>
          <w:u w:val="none"/>
          <w:lang w:eastAsia="zh-CN"/>
        </w:rPr>
        <w:t>皖北卫生职业学院</w:t>
      </w:r>
      <w:bookmarkEnd w:id="0"/>
      <w:r>
        <w:rPr>
          <w:rFonts w:hint="eastAsia" w:asciiTheme="minorEastAsia" w:hAnsiTheme="minorEastAsia" w:eastAsiaTheme="minorEastAsia" w:cstheme="minorEastAsia"/>
          <w:b/>
          <w:bCs/>
          <w:spacing w:val="0"/>
          <w:kern w:val="0"/>
          <w:sz w:val="30"/>
          <w:szCs w:val="30"/>
          <w:highlight w:val="none"/>
          <w:u w:val="none"/>
          <w:lang w:eastAsia="zh-CN"/>
        </w:rPr>
        <w:t>操场看台项目、原校区消防改造项目、室内体育馆维修</w:t>
      </w:r>
      <w:bookmarkStart w:id="100" w:name="_GoBack"/>
      <w:r>
        <w:rPr>
          <w:rFonts w:hint="eastAsia" w:asciiTheme="minorEastAsia" w:hAnsiTheme="minorEastAsia" w:eastAsiaTheme="minorEastAsia" w:cstheme="minorEastAsia"/>
          <w:b/>
          <w:bCs/>
          <w:color w:val="000000" w:themeColor="text1"/>
          <w:spacing w:val="0"/>
          <w:kern w:val="0"/>
          <w:sz w:val="30"/>
          <w:szCs w:val="30"/>
          <w:highlight w:val="none"/>
          <w:u w:val="none"/>
          <w:lang w:eastAsia="zh-CN"/>
          <w14:textFill>
            <w14:solidFill>
              <w14:schemeClr w14:val="tx1"/>
            </w14:solidFill>
          </w14:textFill>
        </w:rPr>
        <w:t>改造项目</w:t>
      </w:r>
      <w:r>
        <w:rPr>
          <w:rFonts w:hint="eastAsia" w:asciiTheme="minorEastAsia" w:hAnsiTheme="minorEastAsia" w:eastAsiaTheme="minorEastAsia" w:cstheme="minorEastAsia"/>
          <w:b/>
          <w:bCs/>
          <w:color w:val="000000" w:themeColor="text1"/>
          <w:spacing w:val="0"/>
          <w:kern w:val="0"/>
          <w:sz w:val="30"/>
          <w:szCs w:val="30"/>
          <w:highlight w:val="none"/>
          <w:u w:val="none"/>
          <w:lang w:val="en-US" w:eastAsia="zh-CN"/>
          <w14:textFill>
            <w14:solidFill>
              <w14:schemeClr w14:val="tx1"/>
            </w14:solidFill>
          </w14:textFill>
        </w:rPr>
        <w:t>等</w:t>
      </w:r>
      <w:r>
        <w:rPr>
          <w:rFonts w:hint="eastAsia" w:asciiTheme="minorEastAsia" w:hAnsiTheme="minorEastAsia" w:eastAsiaTheme="minorEastAsia" w:cstheme="minorEastAsia"/>
          <w:b/>
          <w:bCs/>
          <w:color w:val="000000" w:themeColor="text1"/>
          <w:spacing w:val="0"/>
          <w:kern w:val="0"/>
          <w:sz w:val="30"/>
          <w:szCs w:val="30"/>
          <w:highlight w:val="none"/>
          <w:u w:val="none"/>
          <w:lang w:eastAsia="zh-CN"/>
          <w14:textFill>
            <w14:solidFill>
              <w14:schemeClr w14:val="tx1"/>
            </w14:solidFill>
          </w14:textFill>
        </w:rPr>
        <w:t>监理</w:t>
      </w:r>
    </w:p>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28"/>
          <w:szCs w:val="28"/>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8"/>
          <w:szCs w:val="28"/>
          <w:highlight w:val="none"/>
          <w:u w:val="none"/>
          <w14:textFill>
            <w14:solidFill>
              <w14:schemeClr w14:val="tx1"/>
            </w14:solidFill>
          </w14:textFill>
        </w:rPr>
        <w:t>项目编号：LXZX2025-00</w:t>
      </w:r>
      <w:r>
        <w:rPr>
          <w:rFonts w:hint="eastAsia" w:asciiTheme="minorEastAsia" w:hAnsiTheme="minorEastAsia" w:eastAsiaTheme="minorEastAsia" w:cstheme="minorEastAsia"/>
          <w:b/>
          <w:bCs/>
          <w:color w:val="000000" w:themeColor="text1"/>
          <w:spacing w:val="0"/>
          <w:kern w:val="0"/>
          <w:sz w:val="28"/>
          <w:szCs w:val="28"/>
          <w:highlight w:val="none"/>
          <w:u w:val="none"/>
          <w:lang w:val="en-US" w:eastAsia="zh-CN"/>
          <w14:textFill>
            <w14:solidFill>
              <w14:schemeClr w14:val="tx1"/>
            </w14:solidFill>
          </w14:textFill>
        </w:rPr>
        <w:t>6</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竞</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争</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性</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谈</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判</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文</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件</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both"/>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3"/>
        <w:gridCol w:w="4950"/>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73" w:type="dxa"/>
            <w:tcBorders>
              <w:top w:val="nil"/>
              <w:lef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right"/>
              <w:textAlignment w:val="auto"/>
              <w:rPr>
                <w:rFonts w:hint="eastAsia" w:ascii="宋体" w:hAnsi="宋体" w:eastAsia="宋体" w:cs="宋体"/>
                <w:b/>
                <w:bCs/>
                <w:color w:val="000000" w:themeColor="text1"/>
                <w:spacing w:val="0"/>
                <w:w w:val="100"/>
                <w:kern w:val="0"/>
                <w:position w:val="0"/>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0"/>
                <w:w w:val="100"/>
                <w:kern w:val="0"/>
                <w:position w:val="0"/>
                <w:sz w:val="28"/>
                <w:szCs w:val="28"/>
                <w:highlight w:val="none"/>
                <w:lang w:eastAsia="zh-CN"/>
                <w14:textFill>
                  <w14:solidFill>
                    <w14:schemeClr w14:val="tx1"/>
                  </w14:solidFill>
                </w14:textFill>
              </w:rPr>
              <w:t>采</w:t>
            </w:r>
            <w:r>
              <w:rPr>
                <w:rFonts w:hint="eastAsia" w:ascii="宋体" w:hAnsi="宋体" w:eastAsia="宋体" w:cs="宋体"/>
                <w:b/>
                <w:bCs/>
                <w:color w:val="000000" w:themeColor="text1"/>
                <w:spacing w:val="0"/>
                <w:w w:val="100"/>
                <w:kern w:val="0"/>
                <w:positio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0"/>
                <w:w w:val="100"/>
                <w:kern w:val="0"/>
                <w:position w:val="0"/>
                <w:sz w:val="28"/>
                <w:szCs w:val="28"/>
                <w:highlight w:val="none"/>
                <w:lang w:eastAsia="zh-CN"/>
                <w14:textFill>
                  <w14:solidFill>
                    <w14:schemeClr w14:val="tx1"/>
                  </w14:solidFill>
                </w14:textFill>
              </w:rPr>
              <w:t>购</w:t>
            </w:r>
            <w:r>
              <w:rPr>
                <w:rFonts w:hint="eastAsia" w:ascii="宋体" w:hAnsi="宋体" w:eastAsia="宋体" w:cs="宋体"/>
                <w:b/>
                <w:bCs/>
                <w:color w:val="000000" w:themeColor="text1"/>
                <w:spacing w:val="0"/>
                <w:w w:val="100"/>
                <w:kern w:val="0"/>
                <w:positio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0"/>
                <w:w w:val="100"/>
                <w:kern w:val="0"/>
                <w:position w:val="0"/>
                <w:sz w:val="28"/>
                <w:szCs w:val="28"/>
                <w:highlight w:val="none"/>
                <w:lang w:eastAsia="zh-CN"/>
                <w14:textFill>
                  <w14:solidFill>
                    <w14:schemeClr w14:val="tx1"/>
                  </w14:solidFill>
                </w14:textFill>
              </w:rPr>
              <w:t>人</w:t>
            </w:r>
            <w:r>
              <w:rPr>
                <w:rFonts w:hint="eastAsia" w:ascii="宋体" w:hAnsi="宋体" w:eastAsia="宋体" w:cs="宋体"/>
                <w:b/>
                <w:bCs/>
                <w:color w:val="000000" w:themeColor="text1"/>
                <w:spacing w:val="0"/>
                <w:w w:val="100"/>
                <w:kern w:val="0"/>
                <w:position w:val="0"/>
                <w:sz w:val="28"/>
                <w:szCs w:val="28"/>
                <w:highlight w:val="none"/>
                <w14:textFill>
                  <w14:solidFill>
                    <w14:schemeClr w14:val="tx1"/>
                  </w14:solidFill>
                </w14:textFill>
              </w:rPr>
              <w:t>：</w:t>
            </w:r>
          </w:p>
        </w:tc>
        <w:tc>
          <w:tcPr>
            <w:tcW w:w="4950" w:type="dxa"/>
            <w:tcBorders>
              <w:top w:val="nil"/>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distribute"/>
              <w:textAlignment w:val="auto"/>
              <w:rPr>
                <w:rFonts w:hint="eastAsia" w:ascii="宋体" w:hAnsi="宋体" w:eastAsia="宋体" w:cs="宋体"/>
                <w:b/>
                <w:bCs/>
                <w:color w:val="000000" w:themeColor="text1"/>
                <w:spacing w:val="0"/>
                <w:w w:val="100"/>
                <w:kern w:val="0"/>
                <w:position w:val="0"/>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0"/>
                <w:w w:val="100"/>
                <w:kern w:val="0"/>
                <w:position w:val="0"/>
                <w:sz w:val="28"/>
                <w:szCs w:val="28"/>
                <w:highlight w:val="none"/>
                <w:lang w:eastAsia="zh-CN"/>
                <w14:textFill>
                  <w14:solidFill>
                    <w14:schemeClr w14:val="tx1"/>
                  </w14:solidFill>
                </w14:textFill>
              </w:rPr>
              <w:t>皖北卫生职业学院</w:t>
            </w:r>
          </w:p>
        </w:tc>
        <w:tc>
          <w:tcPr>
            <w:tcW w:w="1310" w:type="dxa"/>
            <w:tcBorders>
              <w:top w:val="nil"/>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distribute"/>
              <w:textAlignment w:val="auto"/>
              <w:rPr>
                <w:rFonts w:hint="eastAsia" w:ascii="宋体" w:hAnsi="宋体" w:eastAsia="宋体" w:cs="宋体"/>
                <w:b/>
                <w:bCs/>
                <w:color w:val="000000" w:themeColor="text1"/>
                <w:spacing w:val="0"/>
                <w:w w:val="100"/>
                <w:kern w:val="0"/>
                <w:positio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0"/>
                <w:w w:val="100"/>
                <w:kern w:val="0"/>
                <w:position w:val="0"/>
                <w:sz w:val="28"/>
                <w:szCs w:val="28"/>
                <w:highlight w:val="none"/>
                <w:lang w:val="en-US" w:eastAsia="zh-CN"/>
                <w14:textFill>
                  <w14:solidFill>
                    <w14:schemeClr w14:val="tx1"/>
                  </w14:solidFill>
                </w14:textFill>
              </w:rPr>
              <w:t>（</w:t>
            </w:r>
            <w:r>
              <w:rPr>
                <w:rFonts w:hint="eastAsia" w:ascii="宋体" w:hAnsi="宋体" w:eastAsia="宋体" w:cs="宋体"/>
                <w:b/>
                <w:bCs/>
                <w:color w:val="000000" w:themeColor="text1"/>
                <w:spacing w:val="0"/>
                <w:w w:val="100"/>
                <w:kern w:val="0"/>
                <w:position w:val="0"/>
                <w:sz w:val="28"/>
                <w:szCs w:val="28"/>
                <w:highlight w:val="none"/>
                <w14:textFill>
                  <w14:solidFill>
                    <w14:schemeClr w14:val="tx1"/>
                  </w14:solidFill>
                </w14:textFill>
              </w:rPr>
              <w:t>盖章</w:t>
            </w:r>
            <w:r>
              <w:rPr>
                <w:rFonts w:hint="eastAsia" w:ascii="宋体" w:hAnsi="宋体" w:eastAsia="宋体" w:cs="宋体"/>
                <w:b/>
                <w:bCs/>
                <w:color w:val="000000" w:themeColor="text1"/>
                <w:spacing w:val="0"/>
                <w:w w:val="100"/>
                <w:kern w:val="0"/>
                <w:position w:val="0"/>
                <w:sz w:val="28"/>
                <w:szCs w:val="28"/>
                <w:highlight w:val="none"/>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573" w:type="dxa"/>
            <w:tcBorders>
              <w:lef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right"/>
              <w:textAlignment w:val="auto"/>
              <w:rPr>
                <w:rFonts w:hint="eastAsia" w:ascii="宋体" w:hAnsi="宋体" w:eastAsia="宋体" w:cs="宋体"/>
                <w:b/>
                <w:bCs/>
                <w:color w:val="000000" w:themeColor="text1"/>
                <w:spacing w:val="0"/>
                <w:w w:val="100"/>
                <w:kern w:val="0"/>
                <w:position w:val="0"/>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0"/>
                <w:w w:val="100"/>
                <w:kern w:val="0"/>
                <w:position w:val="0"/>
                <w:sz w:val="28"/>
                <w:szCs w:val="28"/>
                <w:highlight w:val="none"/>
                <w14:textFill>
                  <w14:solidFill>
                    <w14:schemeClr w14:val="tx1"/>
                  </w14:solidFill>
                </w14:textFill>
              </w:rPr>
              <w:t>代理机构：</w:t>
            </w:r>
          </w:p>
        </w:tc>
        <w:tc>
          <w:tcPr>
            <w:tcW w:w="4950" w:type="dxa"/>
            <w:tcBorders>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distribute"/>
              <w:textAlignment w:val="auto"/>
              <w:rPr>
                <w:rFonts w:hint="eastAsia" w:ascii="宋体" w:hAnsi="宋体" w:eastAsia="宋体" w:cs="宋体"/>
                <w:b/>
                <w:bCs/>
                <w:color w:val="000000" w:themeColor="text1"/>
                <w:spacing w:val="0"/>
                <w:w w:val="100"/>
                <w:kern w:val="0"/>
                <w:position w:val="0"/>
                <w:sz w:val="28"/>
                <w:szCs w:val="28"/>
                <w:highlight w:val="none"/>
                <w:vertAlign w:val="baseline"/>
                <w:lang w:val="en-US" w:eastAsia="zh-CN"/>
                <w14:textFill>
                  <w14:solidFill>
                    <w14:schemeClr w14:val="tx1"/>
                  </w14:solidFill>
                </w14:textFill>
              </w:rPr>
            </w:pPr>
            <w:r>
              <w:rPr>
                <w:rFonts w:hint="eastAsia" w:ascii="宋体" w:hAnsi="宋体" w:cs="宋体"/>
                <w:b/>
                <w:bCs/>
                <w:color w:val="000000" w:themeColor="text1"/>
                <w:spacing w:val="0"/>
                <w:w w:val="100"/>
                <w:kern w:val="0"/>
                <w:position w:val="0"/>
                <w:sz w:val="28"/>
                <w:szCs w:val="28"/>
                <w:highlight w:val="none"/>
                <w:lang w:val="en-US" w:eastAsia="zh-CN"/>
                <w14:textFill>
                  <w14:solidFill>
                    <w14:schemeClr w14:val="tx1"/>
                  </w14:solidFill>
                </w14:textFill>
              </w:rPr>
              <w:t>江苏立信建设工程造价咨询有限公司</w:t>
            </w:r>
            <w:r>
              <w:rPr>
                <w:rFonts w:hint="eastAsia" w:ascii="宋体" w:hAnsi="宋体" w:cs="宋体"/>
                <w:b/>
                <w:bCs/>
                <w:color w:val="000000" w:themeColor="text1"/>
                <w:spacing w:val="0"/>
                <w:w w:val="100"/>
                <w:kern w:val="0"/>
                <w:position w:val="0"/>
                <w:sz w:val="28"/>
                <w:szCs w:val="28"/>
                <w:highlight w:val="none"/>
                <w:lang w:eastAsia="zh-CN"/>
                <w14:textFill>
                  <w14:solidFill>
                    <w14:schemeClr w14:val="tx1"/>
                  </w14:solidFill>
                </w14:textFill>
              </w:rPr>
              <w:t xml:space="preserve"> </w:t>
            </w:r>
          </w:p>
        </w:tc>
        <w:tc>
          <w:tcPr>
            <w:tcW w:w="1310" w:type="dxa"/>
            <w:tcBorders>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distribute"/>
              <w:textAlignment w:val="auto"/>
              <w:rPr>
                <w:rFonts w:hint="eastAsia" w:ascii="宋体" w:hAnsi="宋体" w:eastAsia="宋体" w:cs="宋体"/>
                <w:b/>
                <w:bCs/>
                <w:color w:val="000000" w:themeColor="text1"/>
                <w:spacing w:val="0"/>
                <w:w w:val="100"/>
                <w:kern w:val="0"/>
                <w:positio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0"/>
                <w:w w:val="100"/>
                <w:kern w:val="0"/>
                <w:position w:val="0"/>
                <w:sz w:val="28"/>
                <w:szCs w:val="28"/>
                <w:highlight w:val="none"/>
                <w:lang w:eastAsia="zh-CN"/>
                <w14:textFill>
                  <w14:solidFill>
                    <w14:schemeClr w14:val="tx1"/>
                  </w14:solidFill>
                </w14:textFill>
              </w:rPr>
              <w:t>（</w:t>
            </w:r>
            <w:r>
              <w:rPr>
                <w:rFonts w:hint="eastAsia" w:ascii="宋体" w:hAnsi="宋体" w:eastAsia="宋体" w:cs="宋体"/>
                <w:b/>
                <w:bCs/>
                <w:color w:val="000000" w:themeColor="text1"/>
                <w:spacing w:val="0"/>
                <w:w w:val="100"/>
                <w:kern w:val="0"/>
                <w:position w:val="0"/>
                <w:sz w:val="28"/>
                <w:szCs w:val="28"/>
                <w:highlight w:val="none"/>
                <w14:textFill>
                  <w14:solidFill>
                    <w14:schemeClr w14:val="tx1"/>
                  </w14:solidFill>
                </w14:textFill>
              </w:rPr>
              <w:t>盖章</w:t>
            </w:r>
            <w:r>
              <w:rPr>
                <w:rFonts w:hint="eastAsia" w:ascii="宋体" w:hAnsi="宋体" w:eastAsia="宋体" w:cs="宋体"/>
                <w:b/>
                <w:bCs/>
                <w:color w:val="000000" w:themeColor="text1"/>
                <w:spacing w:val="0"/>
                <w:w w:val="100"/>
                <w:kern w:val="0"/>
                <w:position w:val="0"/>
                <w:sz w:val="28"/>
                <w:szCs w:val="28"/>
                <w:highlight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33" w:type="dxa"/>
            <w:gridSpan w:val="3"/>
            <w:tcBorders>
              <w:left w:val="nil"/>
              <w:bottom w:val="nil"/>
              <w:right w:val="nil"/>
            </w:tcBorders>
            <w:vAlign w:val="center"/>
          </w:tcPr>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textAlignment w:val="auto"/>
              <w:rPr>
                <w:rFonts w:hint="eastAsia" w:ascii="宋体" w:hAnsi="宋体" w:eastAsia="宋体" w:cs="宋体"/>
                <w:b/>
                <w:bCs/>
                <w:color w:val="000000" w:themeColor="text1"/>
                <w:spacing w:val="0"/>
                <w:w w:val="100"/>
                <w:kern w:val="0"/>
                <w:positio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kern w:val="0"/>
                <w:position w:val="0"/>
                <w:sz w:val="28"/>
                <w:szCs w:val="28"/>
                <w:highlight w:val="none"/>
                <w:lang w:val="en-US" w:eastAsia="zh-CN"/>
                <w14:textFill>
                  <w14:solidFill>
                    <w14:schemeClr w14:val="tx1"/>
                  </w14:solidFill>
                </w14:textFill>
              </w:rPr>
              <w:t>202</w:t>
            </w:r>
            <w:r>
              <w:rPr>
                <w:rFonts w:hint="eastAsia" w:ascii="宋体" w:hAnsi="宋体" w:cs="宋体"/>
                <w:b/>
                <w:bCs/>
                <w:color w:val="000000" w:themeColor="text1"/>
                <w:spacing w:val="0"/>
                <w:w w:val="100"/>
                <w:kern w:val="0"/>
                <w:position w:val="0"/>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pacing w:val="0"/>
                <w:w w:val="100"/>
                <w:kern w:val="0"/>
                <w:position w:val="0"/>
                <w:sz w:val="28"/>
                <w:szCs w:val="28"/>
                <w:highlight w:val="none"/>
                <w:lang w:val="en-US" w:eastAsia="zh-CN"/>
                <w14:textFill>
                  <w14:solidFill>
                    <w14:schemeClr w14:val="tx1"/>
                  </w14:solidFill>
                </w14:textFill>
              </w:rPr>
              <w:t>年0</w:t>
            </w:r>
            <w:r>
              <w:rPr>
                <w:rFonts w:hint="eastAsia" w:ascii="宋体" w:hAnsi="宋体" w:cs="宋体"/>
                <w:b/>
                <w:bCs/>
                <w:color w:val="000000" w:themeColor="text1"/>
                <w:spacing w:val="0"/>
                <w:w w:val="100"/>
                <w:kern w:val="0"/>
                <w:position w:val="0"/>
                <w:sz w:val="28"/>
                <w:szCs w:val="28"/>
                <w:highlight w:val="none"/>
                <w:lang w:val="en-US" w:eastAsia="zh-CN"/>
                <w14:textFill>
                  <w14:solidFill>
                    <w14:schemeClr w14:val="tx1"/>
                  </w14:solidFill>
                </w14:textFill>
              </w:rPr>
              <w:t>7</w:t>
            </w:r>
            <w:r>
              <w:rPr>
                <w:rFonts w:hint="eastAsia" w:ascii="宋体" w:hAnsi="宋体" w:eastAsia="宋体" w:cs="宋体"/>
                <w:b/>
                <w:bCs/>
                <w:color w:val="000000" w:themeColor="text1"/>
                <w:spacing w:val="0"/>
                <w:w w:val="100"/>
                <w:kern w:val="0"/>
                <w:position w:val="0"/>
                <w:sz w:val="28"/>
                <w:szCs w:val="28"/>
                <w:highlight w:val="none"/>
                <w:lang w:val="en-US" w:eastAsia="zh-CN"/>
                <w14:textFill>
                  <w14:solidFill>
                    <w14:schemeClr w14:val="tx1"/>
                  </w14:solidFill>
                </w14:textFill>
              </w:rPr>
              <w:t>月</w:t>
            </w: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b/>
          <w:bCs/>
          <w:color w:val="000000" w:themeColor="text1"/>
          <w:spacing w:val="0"/>
          <w:kern w:val="0"/>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32"/>
          <w:szCs w:val="32"/>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32"/>
          <w:szCs w:val="32"/>
          <w:highlight w:val="none"/>
          <w14:textFill>
            <w14:solidFill>
              <w14:schemeClr w14:val="tx1"/>
            </w14:solidFill>
          </w14:textFill>
        </w:rPr>
        <w:t>目 录</w:t>
      </w:r>
    </w:p>
    <w:p>
      <w:pPr>
        <w:pStyle w:val="8"/>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sz w:val="24"/>
          <w:szCs w:val="24"/>
          <w:highlight w:val="none"/>
          <w14:textFill>
            <w14:solidFill>
              <w14:schemeClr w14:val="tx1"/>
            </w14:solidFill>
          </w14:textFill>
        </w:rPr>
        <w:instrText xml:space="preserve">TOC \o "1-3" \h \u </w:instrText>
      </w:r>
      <w:r>
        <w:rPr>
          <w:rFonts w:hint="eastAsia" w:asciiTheme="minorEastAsia" w:hAnsiTheme="minorEastAsia" w:eastAsiaTheme="minorEastAsia" w:cstheme="minorEastAsia"/>
          <w:color w:val="000000" w:themeColor="text1"/>
          <w:spacing w:val="0"/>
          <w:kern w:val="0"/>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szCs w:val="24"/>
          <w:highlight w:val="none"/>
          <w14:textFill>
            <w14:solidFill>
              <w14:schemeClr w14:val="tx1"/>
            </w14:solidFill>
          </w14:textFill>
        </w:rPr>
        <w:instrText xml:space="preserve"> HYPERLINK \l _Toc9222 </w:instrText>
      </w:r>
      <w:r>
        <w:rPr>
          <w:rFonts w:hint="eastAsia" w:asciiTheme="minorEastAsia" w:hAnsiTheme="minorEastAsia" w:eastAsiaTheme="minorEastAsia" w:cstheme="minorEastAsia"/>
          <w:color w:val="000000" w:themeColor="text1"/>
          <w:spacing w:val="0"/>
          <w:kern w:val="0"/>
          <w:szCs w:val="24"/>
          <w:highlight w:val="none"/>
          <w14:textFill>
            <w14:solidFill>
              <w14:schemeClr w14:val="tx1"/>
            </w14:solidFill>
          </w14:textFill>
        </w:rPr>
        <w:fldChar w:fldCharType="separate"/>
      </w:r>
      <w:r>
        <w:rPr>
          <w:rFonts w:hint="eastAsia"/>
          <w:color w:val="000000" w:themeColor="text1"/>
          <w:spacing w:val="0"/>
          <w:kern w:val="0"/>
          <w:highlight w:val="none"/>
          <w14:textFill>
            <w14:solidFill>
              <w14:schemeClr w14:val="tx1"/>
            </w14:solidFill>
          </w14:textFill>
        </w:rPr>
        <w:t>谈判文件第一部分（专用部分）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_Toc9222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szCs w:val="24"/>
          <w:highlight w:val="none"/>
          <w14:textFill>
            <w14:solidFill>
              <w14:schemeClr w14:val="tx1"/>
            </w14:solidFill>
          </w14:textFill>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_Toc28511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第一章 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_Toc3590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24"/>
          <w:highlight w:val="none"/>
          <w14:textFill>
            <w14:solidFill>
              <w14:schemeClr w14:val="tx1"/>
            </w14:solidFill>
          </w14:textFill>
        </w:rPr>
        <w:t>一、项目基本情况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_Toc7279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24"/>
          <w:highlight w:val="none"/>
          <w14:textFill>
            <w14:solidFill>
              <w14:schemeClr w14:val="tx1"/>
            </w14:solidFill>
          </w14:textFill>
        </w:rPr>
        <w:t>二、申请人的资格要求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_Toc11463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宋体" w:hAnsi="宋体" w:eastAsia="宋体" w:cs="宋体"/>
          <w:color w:val="000000" w:themeColor="text1"/>
          <w:spacing w:val="0"/>
          <w:kern w:val="0"/>
          <w:szCs w:val="24"/>
          <w:highlight w:val="none"/>
          <w14:textFill>
            <w14:solidFill>
              <w14:schemeClr w14:val="tx1"/>
            </w14:solidFill>
          </w14:textFill>
        </w:rPr>
        <w:t>三、获取采购文件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_Toc6389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宋体" w:hAnsi="宋体" w:eastAsia="宋体" w:cs="宋体"/>
          <w:color w:val="000000" w:themeColor="text1"/>
          <w:spacing w:val="0"/>
          <w:kern w:val="0"/>
          <w:szCs w:val="24"/>
          <w:highlight w:val="none"/>
          <w14:textFill>
            <w14:solidFill>
              <w14:schemeClr w14:val="tx1"/>
            </w14:solidFill>
          </w14:textFill>
        </w:rPr>
        <w:t>四、响应文件提交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_Toc19706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宋体" w:hAnsi="宋体" w:eastAsia="宋体" w:cs="宋体"/>
          <w:color w:val="000000" w:themeColor="text1"/>
          <w:spacing w:val="0"/>
          <w:kern w:val="0"/>
          <w:szCs w:val="24"/>
          <w:highlight w:val="none"/>
          <w14:textFill>
            <w14:solidFill>
              <w14:schemeClr w14:val="tx1"/>
            </w14:solidFill>
          </w14:textFill>
        </w:rPr>
        <w:t>五、开启</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_Toc5810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宋体" w:hAnsi="宋体" w:eastAsia="宋体" w:cs="宋体"/>
          <w:color w:val="000000" w:themeColor="text1"/>
          <w:spacing w:val="0"/>
          <w:kern w:val="0"/>
          <w:szCs w:val="24"/>
          <w:highlight w:val="none"/>
          <w14:textFill>
            <w14:solidFill>
              <w14:schemeClr w14:val="tx1"/>
            </w14:solidFill>
          </w14:textFill>
        </w:rPr>
        <w:t>六、公告期限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_Toc23009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24"/>
          <w:highlight w:val="none"/>
          <w14:textFill>
            <w14:solidFill>
              <w14:schemeClr w14:val="tx1"/>
            </w14:solidFill>
          </w14:textFill>
        </w:rPr>
        <w:t>七、其他补充事宜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_Toc23009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_Toc31299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24"/>
          <w:highlight w:val="none"/>
          <w14:textFill>
            <w14:solidFill>
              <w14:schemeClr w14:val="tx1"/>
            </w14:solidFill>
          </w14:textFill>
        </w:rPr>
        <w:t>八、凡对本次采购提出询问，请按以下方式联系。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_Toc14978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第二章 供应商须知前附表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_Toc14978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_Toc14337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第三章 项目要求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_Toc23929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一、</w:t>
      </w:r>
      <w:r>
        <w:rPr>
          <w:rFonts w:hint="eastAsia" w:asciiTheme="minorEastAsia" w:hAnsiTheme="minorEastAsia" w:eastAsiaTheme="minorEastAsia" w:cstheme="minorEastAsia"/>
          <w:color w:val="000000" w:themeColor="text1"/>
          <w:spacing w:val="0"/>
          <w:kern w:val="0"/>
          <w:highlight w:val="none"/>
          <w:lang w:eastAsia="zh-CN"/>
          <w14:textFill>
            <w14:solidFill>
              <w14:schemeClr w14:val="tx1"/>
            </w14:solidFill>
          </w14:textFill>
        </w:rPr>
        <w:t>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_Toc18725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二、商务要求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_Toc18725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_Toc4124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第四章 资格性和符合性审查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_Toc4124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_Toc693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一、资格性审查表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_Toc25625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二、符合性审查表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8"/>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_Toc9551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谈判文件第二部分（通用部分）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_Toc16057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第五章</w:t>
      </w:r>
      <w:r>
        <w:rPr>
          <w:rFonts w:hint="eastAsia" w:asciiTheme="minorEastAsia" w:hAnsiTheme="minorEastAsia" w:eastAsiaTheme="minorEastAsia" w:cstheme="minorEastAsia"/>
          <w:color w:val="000000" w:themeColor="text1"/>
          <w:spacing w:val="0"/>
          <w:kern w:val="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_Toc16057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_Toc29640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_Toc29640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_Toc18273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二、竞争性谈判文件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_Toc18273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_Toc20532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三、谈判响应文件的编制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_Toc22292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四、谈判响应文件的提交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_Toc6621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五、谈判与评审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_Toc22778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六、定标和授予合同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_Toc22778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_Toc7207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七、质疑与投诉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_Toc19521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第六章 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_Toc7552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32"/>
          <w:highlight w:val="none"/>
          <w14:textFill>
            <w14:solidFill>
              <w14:schemeClr w14:val="tx1"/>
            </w14:solidFill>
          </w14:textFill>
        </w:rPr>
        <w:t>一、合同条款前附表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_Toc22988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32"/>
          <w:highlight w:val="none"/>
          <w14:textFill>
            <w14:solidFill>
              <w14:schemeClr w14:val="tx1"/>
            </w14:solidFill>
          </w14:textFill>
        </w:rPr>
        <w:t>二、合同条款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_Toc22988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_Toc22208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32"/>
          <w:highlight w:val="none"/>
          <w14:textFill>
            <w14:solidFill>
              <w14:schemeClr w14:val="tx1"/>
            </w14:solidFill>
          </w14:textFill>
        </w:rPr>
        <w:t>三、合同格式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_Toc17545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szCs w:val="32"/>
          <w:highlight w:val="none"/>
          <w14:textFill>
            <w14:solidFill>
              <w14:schemeClr w14:val="tx1"/>
            </w14:solidFill>
          </w14:textFill>
        </w:rPr>
        <w:t>四、合同特殊条款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_Toc17545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9"/>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_Toc7854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第七章 谈判响应文件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_Toc29041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一、谈判响应函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_Toc12930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二、服务分项报价表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_Toc27765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color w:val="000000" w:themeColor="text1"/>
          <w:kern w:val="0"/>
          <w:highlight w:val="none"/>
          <w:lang w:eastAsia="zh-CN"/>
          <w14:textFill>
            <w14:solidFill>
              <w14:schemeClr w14:val="tx1"/>
            </w14:solidFill>
          </w14:textFill>
        </w:rPr>
        <w:t>三</w:t>
      </w:r>
      <w:r>
        <w:rPr>
          <w:rFonts w:hint="eastAsia"/>
          <w:color w:val="000000" w:themeColor="text1"/>
          <w:kern w:val="0"/>
          <w:highlight w:val="none"/>
          <w14:textFill>
            <w14:solidFill>
              <w14:schemeClr w14:val="tx1"/>
            </w14:solidFill>
          </w14:textFill>
        </w:rPr>
        <w:t>、项目要求响应情况表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_Toc27765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_Toc2968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四、商务要求响应情况表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_Toc14825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五、本项目实施方案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5"/>
        <w:keepNext w:val="0"/>
        <w:keepLines w:val="0"/>
        <w:pageBreakBefore w:val="0"/>
        <w:widowControl w:val="0"/>
        <w:tabs>
          <w:tab w:val="right" w:leader="dot" w:pos="9745"/>
        </w:tabs>
        <w:kinsoku/>
        <w:wordWrap/>
        <w:overflowPunct/>
        <w:topLinePunct w:val="0"/>
        <w:autoSpaceDE/>
        <w:autoSpaceDN/>
        <w:bidi w:val="0"/>
        <w:adjustRightInd/>
        <w:snapToGrid/>
        <w:spacing w:line="680" w:lineRule="exact"/>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instrText xml:space="preserve"> HYPERLINK \l _Toc29626 </w:instrTex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六、资格证明文件及其他重要资料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_Toc29626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fldChar w:fldCharType="end"/>
      </w:r>
    </w:p>
    <w:p>
      <w:pPr>
        <w:pStyle w:val="2"/>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sectPr>
          <w:headerReference r:id="rId3" w:type="default"/>
          <w:headerReference r:id="rId4" w:type="even"/>
          <w:pgSz w:w="11905" w:h="16838"/>
          <w:pgMar w:top="1440" w:right="1080" w:bottom="1440" w:left="1080" w:header="720" w:footer="720" w:gutter="0"/>
          <w:pgNumType w:fmt="numberInDash" w:start="2"/>
          <w:cols w:space="0" w:num="1"/>
          <w:titlePg/>
          <w:rtlGutter w:val="0"/>
          <w:docGrid w:type="linesAndChars" w:linePitch="287" w:charSpace="0"/>
        </w:sectPr>
      </w:pPr>
    </w:p>
    <w:p>
      <w:pPr>
        <w:pStyle w:val="2"/>
        <w:keepNext w:val="0"/>
        <w:keepLines w:val="0"/>
        <w:pageBreakBefore w:val="0"/>
        <w:widowControl w:val="0"/>
        <w:kinsoku/>
        <w:wordWrap w:val="0"/>
        <w:overflowPunct/>
        <w:topLinePunct w:val="0"/>
        <w:autoSpaceDE/>
        <w:autoSpaceDN/>
        <w:bidi w:val="0"/>
        <w:adjustRightInd/>
        <w:snapToGrid/>
        <w:rPr>
          <w:rFonts w:hint="eastAsia"/>
          <w:color w:val="000000" w:themeColor="text1"/>
          <w:spacing w:val="0"/>
          <w:kern w:val="0"/>
          <w:highlight w:val="none"/>
          <w14:textFill>
            <w14:solidFill>
              <w14:schemeClr w14:val="tx1"/>
            </w14:solidFill>
          </w14:textFill>
        </w:rPr>
      </w:pPr>
      <w:bookmarkStart w:id="1" w:name="_Toc9222"/>
      <w:r>
        <w:rPr>
          <w:rFonts w:hint="eastAsia"/>
          <w:color w:val="000000" w:themeColor="text1"/>
          <w:spacing w:val="0"/>
          <w:kern w:val="0"/>
          <w:highlight w:val="none"/>
          <w14:textFill>
            <w14:solidFill>
              <w14:schemeClr w14:val="tx1"/>
            </w14:solidFill>
          </w14:textFill>
        </w:rPr>
        <w:t>谈判文件第一部分（专用部分）</w:t>
      </w:r>
      <w:bookmarkEnd w:id="1"/>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2" w:name="_Toc28511"/>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第一章 竞争性谈判公告</w:t>
      </w:r>
      <w:bookmarkEnd w:id="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61" w:type="dxa"/>
          </w:tcPr>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项目概况</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u w:val="single"/>
                <w:lang w:eastAsia="zh-CN"/>
                <w14:textFill>
                  <w14:solidFill>
                    <w14:schemeClr w14:val="tx1"/>
                  </w14:solidFill>
                </w14:textFill>
              </w:rPr>
              <w:t xml:space="preserve">  皖北卫生职业学院操场看台项目、原校区消防改造项目、室内体育馆维修改造项目等监理</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的潜在供应商应在</w:t>
            </w:r>
            <w:r>
              <w:rPr>
                <w:rFonts w:hint="eastAsia" w:asciiTheme="minorEastAsia" w:hAnsiTheme="minorEastAsia" w:eastAsiaTheme="minorEastAsia" w:cstheme="minorEastAsia"/>
                <w:color w:val="000000" w:themeColor="text1"/>
                <w:spacing w:val="0"/>
                <w:kern w:val="0"/>
                <w:sz w:val="21"/>
                <w:szCs w:val="21"/>
                <w:highlight w:val="none"/>
                <w:u w:val="single"/>
                <w14:textFill>
                  <w14:solidFill>
                    <w14:schemeClr w14:val="tx1"/>
                  </w14:solidFill>
                </w14:textFill>
              </w:rPr>
              <w:t>皖北卫生职业学院官网</w:t>
            </w:r>
            <w:r>
              <w:rPr>
                <w:rFonts w:hint="eastAsia" w:asciiTheme="minorEastAsia" w:hAnsiTheme="minorEastAsia" w:eastAsiaTheme="minorEastAsia" w:cstheme="minorEastAsia"/>
                <w:color w:val="000000" w:themeColor="text1"/>
                <w:spacing w:val="0"/>
                <w:kern w:val="0"/>
                <w:sz w:val="21"/>
                <w:szCs w:val="21"/>
                <w:highlight w:val="none"/>
                <w:u w:val="single"/>
                <w:lang w:eastAsia="zh-CN"/>
                <w14:textFill>
                  <w14:solidFill>
                    <w14:schemeClr w14:val="tx1"/>
                  </w14:solidFill>
                </w14:textFill>
              </w:rPr>
              <w:t>（https://www.wbws.edu.cn/）</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获取采购文件，并于</w:t>
            </w:r>
            <w:r>
              <w:rPr>
                <w:rFonts w:hint="eastAsia" w:ascii="宋体" w:hAnsi="宋体" w:cs="宋体"/>
                <w:color w:val="000000" w:themeColor="text1"/>
                <w:spacing w:val="0"/>
                <w:kern w:val="0"/>
                <w:sz w:val="21"/>
                <w:szCs w:val="21"/>
                <w:highlight w:val="none"/>
                <w:u w:val="single"/>
                <w:lang w:val="en-US" w:eastAsia="zh-CN"/>
                <w14:textFill>
                  <w14:solidFill>
                    <w14:schemeClr w14:val="tx1"/>
                  </w14:solidFill>
                </w14:textFill>
              </w:rPr>
              <w:t>2025年7月29日15</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点</w:t>
            </w:r>
            <w:r>
              <w:rPr>
                <w:rFonts w:hint="eastAsia" w:ascii="宋体" w:hAnsi="宋体" w:cs="宋体"/>
                <w:color w:val="000000" w:themeColor="text1"/>
                <w:spacing w:val="0"/>
                <w:kern w:val="0"/>
                <w:sz w:val="2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分</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（北京时间）前提交响应文件。</w:t>
            </w:r>
          </w:p>
        </w:tc>
      </w:tr>
    </w:tbl>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bookmarkStart w:id="3" w:name="_Toc3590"/>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一、项目基本情况</w:t>
      </w:r>
      <w:bookmarkEnd w:id="3"/>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项目编号：LXZX2025-00</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6</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皖北卫生职业学院操场看台项目、原校区消防改造项目、室内体育馆维修改造项目等监理</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采购方式：竞争性谈判</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预算金额：</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2.00%（报价采用费率报价，基数以施工中标金额为准）</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最高限价：</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2.00%</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采购需求：</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皖北卫生职业学院操场看台项目、原校区消防改造项目、室内体育馆维修改造项目等，工程投资约300万元。本项目为上述工程的监理，详见第三章项目要求。</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合同履行期限：</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自合同签订之日起至工程缺陷责任期满为止</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本项目不接受联合体</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bookmarkStart w:id="4" w:name="_Toc7279"/>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二、申请人的资格要求</w:t>
      </w:r>
      <w:bookmarkEnd w:id="4"/>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default" w:asciiTheme="minorEastAsia" w:hAnsiTheme="minorEastAsia" w:eastAsiaTheme="minorEastAsia" w:cstheme="minorEastAsia"/>
          <w:color w:val="000000" w:themeColor="text1"/>
          <w:spacing w:val="0"/>
          <w:kern w:val="0"/>
          <w:sz w:val="2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2.落实政府采购政策需满足的资格要求：</w:t>
      </w:r>
      <w:r>
        <w:rPr>
          <w:rFonts w:hint="eastAsia" w:asciiTheme="minorEastAsia" w:hAnsiTheme="minorEastAsia" w:eastAsiaTheme="minorEastAsia" w:cstheme="minorEastAsia"/>
          <w:color w:val="000000" w:themeColor="text1"/>
          <w:spacing w:val="0"/>
          <w:kern w:val="0"/>
          <w:sz w:val="21"/>
          <w:szCs w:val="21"/>
          <w:highlight w:val="none"/>
          <w:u w:val="single"/>
          <w:lang w:val="en-US" w:eastAsia="zh-CN"/>
          <w14:textFill>
            <w14:solidFill>
              <w14:schemeClr w14:val="tx1"/>
            </w14:solidFill>
          </w14:textFill>
        </w:rPr>
        <w:t xml:space="preserve">  \   </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 xml:space="preserve">3.本项目的特定资格要求：供应商（含不具有独立法人资格的分公司、不含具备独立法人资格的子公司）存在以下不良信用记录情形之一,不得推荐为中标候选人，不得确定为中标人: </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（1）供应商被人民法院列入失信被执行人的；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（2）供应商或其法定代表人或拟派项目经理（项目负责人）被列入行贿犯罪档案的；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（3）供应商被市场监督管理局列入企业经营异常名录的；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（4）供应商被税务部门列入重大税收违法案件当事人名单的；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（5）供应商被政府采购监管部门列入政府采购严重违法失信行为记录名单的。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采购响应递交截止时间。</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t>情形（2）由供应商提供无行贿犯罪记录承诺函。</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b w:val="0"/>
          <w:bCs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pacing w:val="0"/>
          <w:kern w:val="0"/>
          <w:sz w:val="21"/>
          <w:szCs w:val="21"/>
          <w:highlight w:val="none"/>
          <w:lang w:val="en-US" w:eastAsia="zh-CN"/>
          <w14:textFill>
            <w14:solidFill>
              <w14:schemeClr w14:val="tx1"/>
            </w14:solidFill>
          </w14:textFill>
        </w:rPr>
        <w:t>（1）具有①工程监理综合资质或②房屋建筑工程或市政公用工程专业监理丙级及以上资质(或建设工程企业资质管理制度改革后颁发的建筑工程或市政公用工程专业监理乙级及以上资质)；</w:t>
      </w:r>
    </w:p>
    <w:p>
      <w:pPr>
        <w:keepNext w:val="0"/>
        <w:keepLines w:val="0"/>
        <w:pageBreakBefore w:val="0"/>
        <w:widowControl w:val="0"/>
        <w:kinsoku/>
        <w:wordWrap w:val="0"/>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1"/>
          <w:szCs w:val="21"/>
          <w:highlight w:val="none"/>
          <w:lang w:val="en-US" w:eastAsia="zh-CN"/>
          <w14:textFill>
            <w14:solidFill>
              <w14:schemeClr w14:val="tx1"/>
            </w14:solidFill>
          </w14:textFill>
        </w:rPr>
        <w:t>（2）项目总监资格：具有国家注册监理工程师执业资格，专业类别房屋建筑工程或市政公用工程专业。</w:t>
      </w:r>
    </w:p>
    <w:p>
      <w:pPr>
        <w:keepNext w:val="0"/>
        <w:keepLines w:val="0"/>
        <w:pageBreakBefore w:val="0"/>
        <w:widowControl w:val="0"/>
        <w:kinsoku/>
        <w:wordWrap w:val="0"/>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val="0"/>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1"/>
          <w:szCs w:val="21"/>
          <w:highlight w:val="none"/>
          <w:lang w:val="en-US" w:eastAsia="zh-CN"/>
          <w14:textFill>
            <w14:solidFill>
              <w14:schemeClr w14:val="tx1"/>
            </w14:solidFill>
          </w14:textFill>
        </w:rPr>
        <w:t>注：项目总监注册证书均需在投标单位注册，宿州市在监项目不得超过两个，宿州市外无在监项目，包括已中标公示项目（投标人自行承诺）。项目总监须提供投标人企业所在地社保主管部门出具的投标人投标截止日前为其连续缴纳至少6个月的社保证明材料（社保证明材料须加盖社保中心章或社保中心参保缴费证明电子专用章扫描件加盖投标人公章）。</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bookmarkStart w:id="5" w:name="_Toc11463"/>
      <w:r>
        <w:rPr>
          <w:rFonts w:hint="eastAsia" w:ascii="宋体" w:hAnsi="宋体" w:eastAsia="宋体" w:cs="宋体"/>
          <w:color w:val="000000" w:themeColor="text1"/>
          <w:spacing w:val="0"/>
          <w:kern w:val="0"/>
          <w:sz w:val="21"/>
          <w:szCs w:val="21"/>
          <w:highlight w:val="none"/>
          <w14:textFill>
            <w14:solidFill>
              <w14:schemeClr w14:val="tx1"/>
            </w14:solidFill>
          </w14:textFill>
        </w:rPr>
        <w:t>三、获取采购文件</w:t>
      </w:r>
      <w:bookmarkEnd w:id="5"/>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时间：</w:t>
      </w:r>
      <w:r>
        <w:rPr>
          <w:rFonts w:hint="eastAsia" w:ascii="宋体" w:hAnsi="宋体" w:cs="宋体"/>
          <w:b w:val="0"/>
          <w:bCs w:val="0"/>
          <w:color w:val="000000" w:themeColor="text1"/>
          <w:spacing w:val="0"/>
          <w:kern w:val="0"/>
          <w:sz w:val="21"/>
          <w:szCs w:val="21"/>
          <w:highlight w:val="none"/>
          <w:u w:val="single"/>
          <w:lang w:val="en-US" w:eastAsia="zh-CN"/>
          <w14:textFill>
            <w14:solidFill>
              <w14:schemeClr w14:val="tx1"/>
            </w14:solidFill>
          </w14:textFill>
        </w:rPr>
        <w:t>2025年7月23日至2025年7月28日</w:t>
      </w:r>
      <w:r>
        <w:rPr>
          <w:rFonts w:hint="eastAsia" w:ascii="宋体" w:hAnsi="宋体" w:eastAsia="宋体" w:cs="宋体"/>
          <w:color w:val="000000" w:themeColor="text1"/>
          <w:spacing w:val="0"/>
          <w:kern w:val="0"/>
          <w:sz w:val="21"/>
          <w:szCs w:val="21"/>
          <w:highlight w:val="none"/>
          <w14:textFill>
            <w14:solidFill>
              <w14:schemeClr w14:val="tx1"/>
            </w14:solidFill>
          </w14:textFill>
        </w:rPr>
        <w:t>，每天上午</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8:00</w:t>
      </w:r>
      <w:r>
        <w:rPr>
          <w:rFonts w:hint="eastAsia" w:ascii="宋体" w:hAnsi="宋体" w:eastAsia="宋体" w:cs="宋体"/>
          <w:color w:val="000000" w:themeColor="text1"/>
          <w:spacing w:val="0"/>
          <w:kern w:val="0"/>
          <w:sz w:val="21"/>
          <w:szCs w:val="21"/>
          <w:highlight w:val="none"/>
          <w14:textFill>
            <w14:solidFill>
              <w14:schemeClr w14:val="tx1"/>
            </w14:solidFill>
          </w14:textFill>
        </w:rPr>
        <w:t>至</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12:00</w:t>
      </w:r>
      <w:r>
        <w:rPr>
          <w:rFonts w:hint="eastAsia" w:ascii="宋体" w:hAnsi="宋体" w:eastAsia="宋体" w:cs="宋体"/>
          <w:color w:val="000000" w:themeColor="text1"/>
          <w:spacing w:val="0"/>
          <w:kern w:val="0"/>
          <w:sz w:val="21"/>
          <w:szCs w:val="21"/>
          <w:highlight w:val="none"/>
          <w14:textFill>
            <w14:solidFill>
              <w14:schemeClr w14:val="tx1"/>
            </w14:solidFill>
          </w14:textFill>
        </w:rPr>
        <w:t>，下午</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14:00</w:t>
      </w:r>
      <w:r>
        <w:rPr>
          <w:rFonts w:hint="eastAsia" w:ascii="宋体" w:hAnsi="宋体" w:eastAsia="宋体" w:cs="宋体"/>
          <w:color w:val="000000" w:themeColor="text1"/>
          <w:spacing w:val="0"/>
          <w:kern w:val="0"/>
          <w:sz w:val="21"/>
          <w:szCs w:val="21"/>
          <w:highlight w:val="none"/>
          <w14:textFill>
            <w14:solidFill>
              <w14:schemeClr w14:val="tx1"/>
            </w14:solidFill>
          </w14:textFill>
        </w:rPr>
        <w:t>至</w:t>
      </w:r>
      <w:r>
        <w:rPr>
          <w:rFonts w:hint="eastAsia" w:ascii="宋体" w:hAnsi="宋体" w:eastAsia="宋体" w:cs="宋体"/>
          <w:color w:val="000000" w:themeColor="text1"/>
          <w:spacing w:val="0"/>
          <w:kern w:val="0"/>
          <w:sz w:val="21"/>
          <w:szCs w:val="21"/>
          <w:highlight w:val="none"/>
          <w:u w:val="single"/>
          <w14:textFill>
            <w14:solidFill>
              <w14:schemeClr w14:val="tx1"/>
            </w14:solidFill>
          </w14:textFill>
        </w:rPr>
        <w:t>17:30</w:t>
      </w:r>
      <w:r>
        <w:rPr>
          <w:rFonts w:hint="eastAsia" w:ascii="宋体" w:hAnsi="宋体" w:eastAsia="宋体" w:cs="宋体"/>
          <w:color w:val="000000" w:themeColor="text1"/>
          <w:spacing w:val="0"/>
          <w:kern w:val="0"/>
          <w:sz w:val="21"/>
          <w:szCs w:val="21"/>
          <w:highlight w:val="none"/>
          <w14:textFill>
            <w14:solidFill>
              <w14:schemeClr w14:val="tx1"/>
            </w14:solidFill>
          </w14:textFill>
        </w:rPr>
        <w:t>（北京时间，法定节假日除外 ）</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获取方式：</w:t>
      </w:r>
      <w:r>
        <w:rPr>
          <w:rFonts w:hint="eastAsia" w:ascii="宋体" w:hAnsi="宋体" w:eastAsia="宋体" w:cs="宋体"/>
          <w:b w:val="0"/>
          <w:bCs w:val="0"/>
          <w:color w:val="000000" w:themeColor="text1"/>
          <w:spacing w:val="0"/>
          <w:kern w:val="0"/>
          <w:sz w:val="21"/>
          <w:szCs w:val="21"/>
          <w:highlight w:val="none"/>
          <w14:textFill>
            <w14:solidFill>
              <w14:schemeClr w14:val="tx1"/>
            </w14:solidFill>
          </w14:textFill>
        </w:rPr>
        <w:t>凡有意参加</w:t>
      </w:r>
      <w:r>
        <w:rPr>
          <w:rFonts w:hint="eastAsia" w:ascii="宋体" w:hAnsi="宋体" w:cs="宋体"/>
          <w:b w:val="0"/>
          <w:bCs w:val="0"/>
          <w:color w:val="000000" w:themeColor="text1"/>
          <w:spacing w:val="0"/>
          <w:kern w:val="0"/>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pacing w:val="0"/>
          <w:kern w:val="0"/>
          <w:sz w:val="21"/>
          <w:szCs w:val="21"/>
          <w:highlight w:val="none"/>
          <w14:textFill>
            <w14:solidFill>
              <w14:schemeClr w14:val="tx1"/>
            </w14:solidFill>
          </w14:textFill>
        </w:rPr>
        <w:t>，在</w:t>
      </w:r>
      <w:r>
        <w:rPr>
          <w:rFonts w:hint="eastAsia" w:ascii="宋体" w:hAnsi="宋体" w:cs="宋体"/>
          <w:b w:val="0"/>
          <w:bCs w:val="0"/>
          <w:color w:val="000000" w:themeColor="text1"/>
          <w:spacing w:val="0"/>
          <w:kern w:val="0"/>
          <w:sz w:val="21"/>
          <w:szCs w:val="21"/>
          <w:highlight w:val="none"/>
          <w:lang w:eastAsia="zh-CN"/>
          <w14:textFill>
            <w14:solidFill>
              <w14:schemeClr w14:val="tx1"/>
            </w14:solidFill>
          </w14:textFill>
        </w:rPr>
        <w:t>采购</w:t>
      </w:r>
      <w:r>
        <w:rPr>
          <w:rFonts w:hint="eastAsia" w:ascii="宋体" w:hAnsi="宋体" w:eastAsia="宋体" w:cs="宋体"/>
          <w:b w:val="0"/>
          <w:bCs w:val="0"/>
          <w:color w:val="000000" w:themeColor="text1"/>
          <w:spacing w:val="0"/>
          <w:kern w:val="0"/>
          <w:sz w:val="21"/>
          <w:szCs w:val="21"/>
          <w:highlight w:val="none"/>
          <w14:textFill>
            <w14:solidFill>
              <w14:schemeClr w14:val="tx1"/>
            </w14:solidFill>
          </w14:textFill>
        </w:rPr>
        <w:t>文件获取时间范围内均可将企业营业执照原件扫描件（加盖公章）、</w:t>
      </w:r>
      <w:r>
        <w:rPr>
          <w:rFonts w:hint="eastAsia" w:ascii="宋体" w:hAnsi="宋体" w:cs="宋体"/>
          <w:b w:val="0"/>
          <w:bCs w:val="0"/>
          <w:color w:val="000000" w:themeColor="text1"/>
          <w:spacing w:val="0"/>
          <w:kern w:val="0"/>
          <w:sz w:val="21"/>
          <w:szCs w:val="21"/>
          <w:highlight w:val="none"/>
          <w:lang w:eastAsia="zh-CN"/>
          <w14:textFill>
            <w14:solidFill>
              <w14:schemeClr w14:val="tx1"/>
            </w14:solidFill>
          </w14:textFill>
        </w:rPr>
        <w:t>资质证书原件扫描件</w:t>
      </w:r>
      <w:r>
        <w:rPr>
          <w:rFonts w:hint="eastAsia" w:ascii="宋体" w:hAnsi="宋体" w:eastAsia="宋体" w:cs="宋体"/>
          <w:b w:val="0"/>
          <w:bCs w:val="0"/>
          <w:color w:val="000000" w:themeColor="text1"/>
          <w:spacing w:val="0"/>
          <w:kern w:val="0"/>
          <w:sz w:val="21"/>
          <w:szCs w:val="21"/>
          <w:highlight w:val="none"/>
          <w14:textFill>
            <w14:solidFill>
              <w14:schemeClr w14:val="tx1"/>
            </w14:solidFill>
          </w14:textFill>
        </w:rPr>
        <w:t>（加盖公章）</w:t>
      </w:r>
      <w:r>
        <w:rPr>
          <w:rFonts w:hint="eastAsia" w:ascii="宋体" w:hAnsi="宋体" w:eastAsia="宋体" w:cs="宋体"/>
          <w:b w:val="0"/>
          <w:bCs w:val="0"/>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kern w:val="0"/>
          <w:sz w:val="21"/>
          <w:szCs w:val="21"/>
          <w:highlight w:val="none"/>
          <w14:textFill>
            <w14:solidFill>
              <w14:schemeClr w14:val="tx1"/>
            </w14:solidFill>
          </w14:textFill>
        </w:rPr>
        <w:t>法定代表人身份证明或法定代表人授权委托书原件扫描件（含有项目名称、委托代理人联系电话、邮箱）发送至邮箱wbwyzbb@163.com（邮箱标题格式为项目名称+公司名称+联系电话，以该邮箱</w:t>
      </w:r>
      <w:r>
        <w:rPr>
          <w:rFonts w:hint="eastAsia" w:ascii="宋体" w:hAnsi="宋体" w:cs="宋体"/>
          <w:b w:val="0"/>
          <w:bCs w:val="0"/>
          <w:color w:val="000000" w:themeColor="text1"/>
          <w:spacing w:val="0"/>
          <w:kern w:val="0"/>
          <w:sz w:val="21"/>
          <w:szCs w:val="21"/>
          <w:highlight w:val="none"/>
          <w:lang w:val="en-US" w:eastAsia="zh-CN"/>
          <w14:textFill>
            <w14:solidFill>
              <w14:schemeClr w14:val="tx1"/>
            </w14:solidFill>
          </w14:textFill>
        </w:rPr>
        <w:t>邮件</w:t>
      </w:r>
      <w:r>
        <w:rPr>
          <w:rFonts w:hint="eastAsia" w:ascii="宋体" w:hAnsi="宋体" w:eastAsia="宋体" w:cs="宋体"/>
          <w:b w:val="0"/>
          <w:bCs w:val="0"/>
          <w:color w:val="000000" w:themeColor="text1"/>
          <w:spacing w:val="0"/>
          <w:kern w:val="0"/>
          <w:sz w:val="21"/>
          <w:szCs w:val="21"/>
          <w:highlight w:val="none"/>
          <w14:textFill>
            <w14:solidFill>
              <w14:schemeClr w14:val="tx1"/>
            </w14:solidFill>
          </w14:textFill>
        </w:rPr>
        <w:t>回复作为报名材料发送成功依据）。报名联系人：张老师，电话：0557-3095</w:t>
      </w:r>
      <w:r>
        <w:rPr>
          <w:rFonts w:hint="eastAsia" w:ascii="宋体" w:hAnsi="宋体" w:cs="宋体"/>
          <w:b w:val="0"/>
          <w:bCs w:val="0"/>
          <w:color w:val="000000" w:themeColor="text1"/>
          <w:spacing w:val="0"/>
          <w:kern w:val="0"/>
          <w:sz w:val="21"/>
          <w:szCs w:val="21"/>
          <w:highlight w:val="none"/>
          <w:lang w:val="en-US" w:eastAsia="zh-CN"/>
          <w14:textFill>
            <w14:solidFill>
              <w14:schemeClr w14:val="tx1"/>
            </w14:solidFill>
          </w14:textFill>
        </w:rPr>
        <w:t>077，</w:t>
      </w:r>
      <w:r>
        <w:rPr>
          <w:rFonts w:hint="eastAsia" w:ascii="宋体" w:hAnsi="宋体" w:eastAsia="宋体" w:cs="宋体"/>
          <w:b w:val="0"/>
          <w:bCs w:val="0"/>
          <w:color w:val="000000" w:themeColor="text1"/>
          <w:spacing w:val="0"/>
          <w:kern w:val="0"/>
          <w:sz w:val="21"/>
          <w:szCs w:val="21"/>
          <w:highlight w:val="none"/>
          <w14:textFill>
            <w14:solidFill>
              <w14:schemeClr w14:val="tx1"/>
            </w14:solidFill>
          </w14:textFill>
        </w:rPr>
        <w:t>各投标单位自行从皖北卫生职业学院官网（本公告的附件）下载采购文件电子版，不发放纸质采购文件。</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bookmarkStart w:id="6" w:name="_Toc6389"/>
      <w:r>
        <w:rPr>
          <w:rFonts w:hint="eastAsia" w:ascii="宋体" w:hAnsi="宋体" w:eastAsia="宋体" w:cs="宋体"/>
          <w:color w:val="000000" w:themeColor="text1"/>
          <w:spacing w:val="0"/>
          <w:kern w:val="0"/>
          <w:sz w:val="21"/>
          <w:szCs w:val="21"/>
          <w:highlight w:val="none"/>
          <w14:textFill>
            <w14:solidFill>
              <w14:schemeClr w14:val="tx1"/>
            </w14:solidFill>
          </w14:textFill>
        </w:rPr>
        <w:t>四、响应文件提交</w:t>
      </w:r>
      <w:bookmarkEnd w:id="6"/>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截止时间：</w:t>
      </w:r>
      <w:r>
        <w:rPr>
          <w:rFonts w:hint="eastAsia" w:ascii="宋体" w:hAnsi="宋体" w:cs="宋体"/>
          <w:b w:val="0"/>
          <w:bCs w:val="0"/>
          <w:color w:val="000000" w:themeColor="text1"/>
          <w:spacing w:val="0"/>
          <w:kern w:val="0"/>
          <w:sz w:val="21"/>
          <w:szCs w:val="21"/>
          <w:highlight w:val="none"/>
          <w:u w:val="single"/>
          <w:lang w:val="en-US" w:eastAsia="zh-CN"/>
          <w14:textFill>
            <w14:solidFill>
              <w14:schemeClr w14:val="tx1"/>
            </w14:solidFill>
          </w14:textFill>
        </w:rPr>
        <w:t>2025年7月29日15</w:t>
      </w:r>
      <w:r>
        <w:rPr>
          <w:rFonts w:hint="eastAsia" w:ascii="宋体" w:hAnsi="宋体" w:eastAsia="宋体" w:cs="宋体"/>
          <w:b w:val="0"/>
          <w:bCs w:val="0"/>
          <w:color w:val="000000" w:themeColor="text1"/>
          <w:spacing w:val="0"/>
          <w:kern w:val="0"/>
          <w:sz w:val="21"/>
          <w:szCs w:val="21"/>
          <w:highlight w:val="none"/>
          <w:u w:val="single"/>
          <w14:textFill>
            <w14:solidFill>
              <w14:schemeClr w14:val="tx1"/>
            </w14:solidFill>
          </w14:textFill>
        </w:rPr>
        <w:t>点</w:t>
      </w:r>
      <w:r>
        <w:rPr>
          <w:rFonts w:hint="eastAsia" w:ascii="宋体" w:hAnsi="宋体" w:cs="宋体"/>
          <w:b w:val="0"/>
          <w:bCs w:val="0"/>
          <w:color w:val="000000" w:themeColor="text1"/>
          <w:spacing w:val="0"/>
          <w:kern w:val="0"/>
          <w:sz w:val="21"/>
          <w:szCs w:val="21"/>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spacing w:val="0"/>
          <w:kern w:val="0"/>
          <w:sz w:val="21"/>
          <w:szCs w:val="21"/>
          <w:highlight w:val="none"/>
          <w:u w:val="single"/>
          <w14:textFill>
            <w14:solidFill>
              <w14:schemeClr w14:val="tx1"/>
            </w14:solidFill>
          </w14:textFill>
        </w:rPr>
        <w:t>分</w:t>
      </w:r>
      <w:r>
        <w:rPr>
          <w:rFonts w:hint="eastAsia" w:ascii="宋体" w:hAnsi="宋体" w:eastAsia="宋体" w:cs="宋体"/>
          <w:color w:val="000000" w:themeColor="text1"/>
          <w:spacing w:val="0"/>
          <w:kern w:val="0"/>
          <w:sz w:val="21"/>
          <w:szCs w:val="21"/>
          <w:highlight w:val="none"/>
          <w14:textFill>
            <w14:solidFill>
              <w14:schemeClr w14:val="tx1"/>
            </w14:solidFill>
          </w14:textFill>
        </w:rPr>
        <w:t>（北京时间）</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000000" w:themeColor="text1"/>
          <w:spacing w:val="0"/>
          <w:ker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地点：</w:t>
      </w:r>
      <w:r>
        <w:rPr>
          <w:rFonts w:hint="eastAsia" w:ascii="宋体" w:hAnsi="宋体" w:cs="宋体"/>
          <w:color w:val="000000" w:themeColor="text1"/>
          <w:spacing w:val="0"/>
          <w:kern w:val="0"/>
          <w:sz w:val="21"/>
          <w:szCs w:val="21"/>
          <w:highlight w:val="none"/>
          <w:shd w:val="clear"/>
          <w:lang w:eastAsia="zh-CN"/>
          <w14:textFill>
            <w14:solidFill>
              <w14:schemeClr w14:val="tx1"/>
            </w14:solidFill>
          </w14:textFill>
        </w:rPr>
        <w:t>皖北卫生职业学院图书馆北三楼录播室</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r>
        <w:rPr>
          <w:rFonts w:hint="eastAsia" w:ascii="宋体" w:hAnsi="宋体" w:cs="宋体"/>
          <w:color w:val="000000" w:themeColor="text1"/>
          <w:spacing w:val="0"/>
          <w:kern w:val="0"/>
          <w:sz w:val="21"/>
          <w:szCs w:val="21"/>
          <w:highlight w:val="none"/>
          <w:lang w:eastAsia="zh-CN"/>
          <w14:textFill>
            <w14:solidFill>
              <w14:schemeClr w14:val="tx1"/>
            </w14:solidFill>
          </w14:textFill>
        </w:rPr>
        <w:t>注：递交谈判响应文件时，需同时递交法定代表人身份证明或法定代表人授权书原件，并提供身份证原件查验。</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bookmarkStart w:id="7" w:name="_Toc19706"/>
      <w:r>
        <w:rPr>
          <w:rFonts w:hint="eastAsia" w:ascii="宋体" w:hAnsi="宋体" w:eastAsia="宋体" w:cs="宋体"/>
          <w:color w:val="000000" w:themeColor="text1"/>
          <w:spacing w:val="0"/>
          <w:kern w:val="0"/>
          <w:sz w:val="21"/>
          <w:szCs w:val="21"/>
          <w:highlight w:val="none"/>
          <w14:textFill>
            <w14:solidFill>
              <w14:schemeClr w14:val="tx1"/>
            </w14:solidFill>
          </w14:textFill>
        </w:rPr>
        <w:t>五、开启</w:t>
      </w:r>
      <w:bookmarkEnd w:id="7"/>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时间：</w:t>
      </w:r>
      <w:r>
        <w:rPr>
          <w:rFonts w:hint="eastAsia" w:ascii="宋体" w:hAnsi="宋体" w:cs="宋体"/>
          <w:b w:val="0"/>
          <w:bCs w:val="0"/>
          <w:color w:val="000000" w:themeColor="text1"/>
          <w:spacing w:val="0"/>
          <w:kern w:val="0"/>
          <w:sz w:val="21"/>
          <w:szCs w:val="21"/>
          <w:highlight w:val="none"/>
          <w:u w:val="single"/>
          <w:lang w:val="en-US" w:eastAsia="zh-CN"/>
          <w14:textFill>
            <w14:solidFill>
              <w14:schemeClr w14:val="tx1"/>
            </w14:solidFill>
          </w14:textFill>
        </w:rPr>
        <w:t>2025年7月29日15</w:t>
      </w:r>
      <w:r>
        <w:rPr>
          <w:rFonts w:hint="eastAsia" w:ascii="宋体" w:hAnsi="宋体" w:eastAsia="宋体" w:cs="宋体"/>
          <w:b w:val="0"/>
          <w:bCs w:val="0"/>
          <w:color w:val="000000" w:themeColor="text1"/>
          <w:spacing w:val="0"/>
          <w:kern w:val="0"/>
          <w:sz w:val="21"/>
          <w:szCs w:val="21"/>
          <w:highlight w:val="none"/>
          <w:u w:val="single"/>
          <w14:textFill>
            <w14:solidFill>
              <w14:schemeClr w14:val="tx1"/>
            </w14:solidFill>
          </w14:textFill>
        </w:rPr>
        <w:t>点</w:t>
      </w:r>
      <w:r>
        <w:rPr>
          <w:rFonts w:hint="eastAsia" w:ascii="宋体" w:hAnsi="宋体" w:cs="宋体"/>
          <w:b w:val="0"/>
          <w:bCs w:val="0"/>
          <w:color w:val="000000" w:themeColor="text1"/>
          <w:spacing w:val="0"/>
          <w:kern w:val="0"/>
          <w:sz w:val="21"/>
          <w:szCs w:val="21"/>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spacing w:val="0"/>
          <w:kern w:val="0"/>
          <w:sz w:val="21"/>
          <w:szCs w:val="21"/>
          <w:highlight w:val="none"/>
          <w:u w:val="single"/>
          <w14:textFill>
            <w14:solidFill>
              <w14:schemeClr w14:val="tx1"/>
            </w14:solidFill>
          </w14:textFill>
        </w:rPr>
        <w:t>分</w:t>
      </w:r>
      <w:r>
        <w:rPr>
          <w:rFonts w:hint="eastAsia" w:ascii="宋体" w:hAnsi="宋体" w:eastAsia="宋体" w:cs="宋体"/>
          <w:color w:val="000000" w:themeColor="text1"/>
          <w:spacing w:val="0"/>
          <w:kern w:val="0"/>
          <w:sz w:val="21"/>
          <w:szCs w:val="21"/>
          <w:highlight w:val="none"/>
          <w14:textFill>
            <w14:solidFill>
              <w14:schemeClr w14:val="tx1"/>
            </w14:solidFill>
          </w14:textFill>
        </w:rPr>
        <w:t>（北京时间）</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地点：</w:t>
      </w:r>
      <w:r>
        <w:rPr>
          <w:rFonts w:hint="eastAsia" w:ascii="宋体" w:hAnsi="宋体" w:cs="宋体"/>
          <w:color w:val="000000" w:themeColor="text1"/>
          <w:spacing w:val="0"/>
          <w:kern w:val="0"/>
          <w:sz w:val="21"/>
          <w:szCs w:val="21"/>
          <w:highlight w:val="none"/>
          <w:lang w:val="en-US" w:eastAsia="zh-CN"/>
          <w14:textFill>
            <w14:solidFill>
              <w14:schemeClr w14:val="tx1"/>
            </w14:solidFill>
          </w14:textFill>
        </w:rPr>
        <w:t>皖北卫生职业学院图书馆北三楼录播室</w:t>
      </w:r>
      <w:r>
        <w:rPr>
          <w:rFonts w:hint="eastAsia" w:ascii="宋体" w:hAnsi="宋体" w:eastAsia="宋体" w:cs="宋体"/>
          <w:color w:val="000000" w:themeColor="text1"/>
          <w:spacing w:val="0"/>
          <w:kern w:val="0"/>
          <w:sz w:val="21"/>
          <w:szCs w:val="21"/>
          <w:highlight w:val="none"/>
          <w14:textFill>
            <w14:solidFill>
              <w14:schemeClr w14:val="tx1"/>
            </w14:solidFill>
          </w14:textFill>
        </w:rPr>
        <w:t>。</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pacing w:val="0"/>
          <w:kern w:val="0"/>
          <w:sz w:val="21"/>
          <w:szCs w:val="21"/>
          <w:highlight w:val="none"/>
          <w14:textFill>
            <w14:solidFill>
              <w14:schemeClr w14:val="tx1"/>
            </w14:solidFill>
          </w14:textFill>
        </w:rPr>
      </w:pPr>
      <w:bookmarkStart w:id="8" w:name="_Toc5810"/>
      <w:r>
        <w:rPr>
          <w:rFonts w:hint="eastAsia" w:ascii="宋体" w:hAnsi="宋体" w:eastAsia="宋体" w:cs="宋体"/>
          <w:color w:val="000000" w:themeColor="text1"/>
          <w:spacing w:val="0"/>
          <w:kern w:val="0"/>
          <w:sz w:val="21"/>
          <w:szCs w:val="21"/>
          <w:highlight w:val="none"/>
          <w14:textFill>
            <w14:solidFill>
              <w14:schemeClr w14:val="tx1"/>
            </w14:solidFill>
          </w14:textFill>
        </w:rPr>
        <w:t>六、公告期限</w:t>
      </w:r>
      <w:bookmarkEnd w:id="8"/>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sz w:val="21"/>
          <w:szCs w:val="21"/>
          <w:highlight w:val="none"/>
          <w14:textFill>
            <w14:solidFill>
              <w14:schemeClr w14:val="tx1"/>
            </w14:solidFill>
          </w14:textFill>
        </w:rPr>
        <w:t>自本公告发布之日起3个工作日。</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bookmarkStart w:id="9" w:name="_Toc23009"/>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七、其他补充事宜</w:t>
      </w:r>
      <w:bookmarkEnd w:id="9"/>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本项目招标公告及相关公示在皖北卫生职业学院官网（https://www.wbws.edu.cn/）上发布。</w:t>
      </w:r>
    </w:p>
    <w:p>
      <w:pPr>
        <w:pStyle w:val="4"/>
        <w:keepNext w:val="0"/>
        <w:keepLines w:val="0"/>
        <w:pageBreakBefore w:val="0"/>
        <w:widowControl w:val="0"/>
        <w:kinsoku/>
        <w:wordWrap w:val="0"/>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bookmarkStart w:id="10" w:name="_Toc31299"/>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八、凡对本次采购提出询问，请按以下方式联系。</w:t>
      </w:r>
      <w:bookmarkEnd w:id="10"/>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bookmarkStart w:id="11" w:name="_Toc28359019"/>
      <w:bookmarkStart w:id="12" w:name="_Toc35393637"/>
      <w:bookmarkStart w:id="13" w:name="_Toc28359096"/>
      <w:bookmarkStart w:id="14" w:name="_Toc35393806"/>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1.采购人信息</w:t>
      </w:r>
      <w:bookmarkEnd w:id="11"/>
      <w:bookmarkEnd w:id="12"/>
      <w:bookmarkEnd w:id="13"/>
      <w:bookmarkEnd w:id="14"/>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pacing w:val="0"/>
          <w:kern w:val="0"/>
          <w:sz w:val="21"/>
          <w:szCs w:val="21"/>
          <w:highlight w:val="none"/>
          <w:u w:val="single"/>
          <w:lang w:eastAsia="zh-CN"/>
          <w14:textFill>
            <w14:solidFill>
              <w14:schemeClr w14:val="tx1"/>
            </w14:solidFill>
          </w14:textFill>
        </w:rPr>
        <w:t>皖北卫生职业学院</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pacing w:val="0"/>
          <w:kern w:val="0"/>
          <w:sz w:val="21"/>
          <w:szCs w:val="21"/>
          <w:highlight w:val="none"/>
          <w:u w:val="single"/>
          <w:lang w:eastAsia="zh-CN"/>
          <w14:textFill>
            <w14:solidFill>
              <w14:schemeClr w14:val="tx1"/>
            </w14:solidFill>
          </w14:textFill>
        </w:rPr>
        <w:t>宿州市埇桥区学府大道1606号</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left"/>
        <w:textAlignment w:val="auto"/>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pacing w:val="0"/>
          <w:kern w:val="0"/>
          <w:sz w:val="21"/>
          <w:szCs w:val="21"/>
          <w:highlight w:val="none"/>
          <w:u w:val="single"/>
          <w:lang w:eastAsia="zh-CN"/>
          <w14:textFill>
            <w14:solidFill>
              <w14:schemeClr w14:val="tx1"/>
            </w14:solidFill>
          </w14:textFill>
        </w:rPr>
        <w:t>赵老师17719346657</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bookmarkStart w:id="15" w:name="_Toc35393807"/>
      <w:bookmarkStart w:id="16" w:name="_Toc35393638"/>
      <w:bookmarkStart w:id="17" w:name="_Toc28359020"/>
      <w:bookmarkStart w:id="18" w:name="_Toc28359097"/>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2.采购代理机构信息</w:t>
      </w:r>
      <w:bookmarkEnd w:id="15"/>
      <w:bookmarkEnd w:id="16"/>
      <w:bookmarkEnd w:id="17"/>
      <w:bookmarkEnd w:id="18"/>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pacing w:val="0"/>
          <w:kern w:val="0"/>
          <w:sz w:val="21"/>
          <w:szCs w:val="21"/>
          <w:highlight w:val="none"/>
          <w:u w:val="single"/>
          <w:lang w:eastAsia="zh-CN"/>
          <w14:textFill>
            <w14:solidFill>
              <w14:schemeClr w14:val="tx1"/>
            </w14:solidFill>
          </w14:textFill>
        </w:rPr>
        <w:t xml:space="preserve"> 江苏立信建设工程造价咨询有限公司 </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pacing w:val="0"/>
          <w:kern w:val="0"/>
          <w:sz w:val="21"/>
          <w:szCs w:val="21"/>
          <w:highlight w:val="none"/>
          <w:u w:val="single"/>
          <w:lang w:val="en-US" w:eastAsia="zh-CN"/>
          <w14:textFill>
            <w14:solidFill>
              <w14:schemeClr w14:val="tx1"/>
            </w14:solidFill>
          </w14:textFill>
        </w:rPr>
        <w:t>宿州市光彩家具城47栋3层</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pacing w:val="0"/>
          <w:kern w:val="0"/>
          <w:sz w:val="21"/>
          <w:szCs w:val="21"/>
          <w:highlight w:val="none"/>
          <w:u w:val="single"/>
          <w:lang w:val="en-US" w:eastAsia="zh-CN"/>
          <w14:textFill>
            <w14:solidFill>
              <w14:schemeClr w14:val="tx1"/>
            </w14:solidFill>
          </w14:textFill>
        </w:rPr>
        <w:t>18895763261</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bookmarkStart w:id="19" w:name="_Toc35393808"/>
      <w:bookmarkStart w:id="20" w:name="_Toc35393639"/>
      <w:bookmarkStart w:id="21" w:name="_Toc28359098"/>
      <w:bookmarkStart w:id="22" w:name="_Toc28359021"/>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3.项目联系方式</w:t>
      </w:r>
      <w:bookmarkEnd w:id="19"/>
      <w:bookmarkEnd w:id="20"/>
      <w:bookmarkEnd w:id="21"/>
      <w:bookmarkEnd w:id="22"/>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项目联系人：</w:t>
      </w:r>
      <w:r>
        <w:rPr>
          <w:rFonts w:hint="eastAsia" w:asciiTheme="minorEastAsia" w:hAnsiTheme="minorEastAsia" w:eastAsiaTheme="minorEastAsia" w:cstheme="minorEastAsia"/>
          <w:color w:val="000000" w:themeColor="text1"/>
          <w:spacing w:val="0"/>
          <w:kern w:val="0"/>
          <w:sz w:val="21"/>
          <w:szCs w:val="21"/>
          <w:highlight w:val="none"/>
          <w:u w:val="single"/>
          <w:lang w:val="en-US" w:eastAsia="zh-CN"/>
          <w14:textFill>
            <w14:solidFill>
              <w14:schemeClr w14:val="tx1"/>
            </w14:solidFill>
          </w14:textFill>
        </w:rPr>
        <w:t>李 工</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pacing w:val="0"/>
          <w:kern w:val="0"/>
          <w:sz w:val="21"/>
          <w:szCs w:val="21"/>
          <w:highlight w:val="none"/>
          <w:u w:val="single"/>
          <w14:textFill>
            <w14:solidFill>
              <w14:schemeClr w14:val="tx1"/>
            </w14:solidFill>
          </w14:textFill>
        </w:rPr>
        <w:t>18895763261</w:t>
      </w:r>
    </w:p>
    <w:p>
      <w:pPr>
        <w:keepNext w:val="0"/>
        <w:keepLines w:val="0"/>
        <w:pageBreakBefore w:val="0"/>
        <w:widowControl w:val="0"/>
        <w:shd w:val="clear"/>
        <w:kinsoku/>
        <w:wordWrap w:val="0"/>
        <w:overflowPunct/>
        <w:topLinePunct w:val="0"/>
        <w:autoSpaceDE/>
        <w:autoSpaceDN/>
        <w:bidi w:val="0"/>
        <w:adjustRightInd/>
        <w:snapToGrid/>
        <w:spacing w:line="480" w:lineRule="auto"/>
        <w:ind w:left="0" w:leftChars="0" w:firstLine="420" w:firstLineChars="200"/>
        <w:jc w:val="both"/>
        <w:textAlignment w:val="auto"/>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4.在线质疑</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000000" w:themeColor="text1"/>
          <w:spacing w:val="0"/>
          <w:kern w:val="0"/>
          <w:sz w:val="21"/>
          <w:szCs w:val="21"/>
          <w:highlight w:val="none"/>
          <w:u w:val="single"/>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投标人如果针对此招标（采购）文件存在异议，可通过邮件或书面形式提出，招标人或招标代理会在法定期限内做出答复。</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23" w:name="_Toc14978"/>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第二章 供应商须知前附表</w:t>
      </w:r>
      <w:bookmarkEnd w:id="23"/>
    </w:p>
    <w:tbl>
      <w:tblPr>
        <w:tblStyle w:val="10"/>
        <w:tblW w:w="0" w:type="auto"/>
        <w:jc w:val="center"/>
        <w:tblLayout w:type="autofit"/>
        <w:tblCellMar>
          <w:top w:w="0" w:type="dxa"/>
          <w:left w:w="0" w:type="dxa"/>
          <w:bottom w:w="0" w:type="dxa"/>
          <w:right w:w="0" w:type="dxa"/>
        </w:tblCellMar>
      </w:tblPr>
      <w:tblGrid>
        <w:gridCol w:w="816"/>
        <w:gridCol w:w="9035"/>
      </w:tblGrid>
      <w:tr>
        <w:tblPrEx>
          <w:tblCellMar>
            <w:top w:w="0" w:type="dxa"/>
            <w:left w:w="0" w:type="dxa"/>
            <w:bottom w:w="0" w:type="dxa"/>
            <w:right w:w="0" w:type="dxa"/>
          </w:tblCellMar>
        </w:tblPrEx>
        <w:trPr>
          <w:trHeight w:val="0" w:hRule="atLeast"/>
          <w:jc w:val="center"/>
        </w:trPr>
        <w:tc>
          <w:tcPr>
            <w:tcW w:w="816" w:type="dxa"/>
            <w:tcBorders>
              <w:top w:val="double" w:color="000000" w:sz="4"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序号</w:t>
            </w:r>
          </w:p>
        </w:tc>
        <w:tc>
          <w:tcPr>
            <w:tcW w:w="9035" w:type="dxa"/>
            <w:tcBorders>
              <w:top w:val="double" w:color="000000" w:sz="4"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内  容</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项目名称：详见竞争性谈判公告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项目编号：详见竞争性谈判公告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采购内容及预算：详见竞争性谈判公告</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2</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项目单位：详见竞争性谈判公告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地址：详见竞争性谈判公告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联系人及联系方式：详见竞争性谈判公告</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3</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代理机构：详见竞争性谈判公告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代理机构地址：详见竞争性谈判公告</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 xml:space="preserve">联系人及联系方式：详见竞争性谈判公告                 </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4</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本项目类别：</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 xml:space="preserve">货物类  </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 xml:space="preserve">服务类  </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工程类</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5</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谈判采购有效期：谈判开始后60天</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6</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成交人个数：</w:t>
            </w:r>
            <w:r>
              <w:rPr>
                <w:rFonts w:hint="eastAsia" w:asciiTheme="minorEastAsia" w:hAnsiTheme="minorEastAsia" w:eastAsiaTheme="minorEastAsia" w:cstheme="minorEastAsia"/>
                <w:color w:val="000000" w:themeColor="text1"/>
                <w:spacing w:val="0"/>
                <w:kern w:val="0"/>
                <w:sz w:val="21"/>
                <w:szCs w:val="21"/>
                <w:highlight w:val="none"/>
                <w:u w:val="single"/>
                <w14:textFill>
                  <w14:solidFill>
                    <w14:schemeClr w14:val="tx1"/>
                  </w14:solidFill>
                </w14:textFill>
              </w:rPr>
              <w:t xml:space="preserve"> 1个 </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7</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竞争性谈判文件的澄清和修改：详见第五章供应商须知第11条</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8</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竞争性谈判文件的质疑和答复：详见第五章供应商须知第12条</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9</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谈判开始时间与谈判响应文件提交截止时间一致。</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谈判地点：详见竞争性谈判公告</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10</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评审方法：详见第五章供应商须知第22、23条和本文件第四章</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11</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交货或服务提供地点：采购人指定地点</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12</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谈判响应文件份数：纸质文件一正两副，电子谈判响应文件</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U</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盘</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）。装订和封装要求详见本文件第五章第18条。</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13</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供货期限</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自合同签订之日起至工程缺陷责任期满为止</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14</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签订合同地点：采购人指定地点</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合同期限：</w:t>
            </w:r>
            <w:r>
              <w:rPr>
                <w:rFonts w:hint="eastAsia" w:ascii="宋体" w:hAnsi="宋体" w:eastAsia="宋体" w:cs="宋体"/>
                <w:b/>
                <w:bCs/>
                <w:snapToGrid w:val="0"/>
                <w:color w:val="000000" w:themeColor="text1"/>
                <w:spacing w:val="0"/>
                <w:kern w:val="0"/>
                <w:sz w:val="21"/>
                <w:szCs w:val="21"/>
                <w:highlight w:val="none"/>
                <w:lang w:val="en-US" w:eastAsia="zh-CN"/>
                <w14:textFill>
                  <w14:solidFill>
                    <w14:schemeClr w14:val="tx1"/>
                  </w14:solidFill>
                </w14:textFill>
              </w:rPr>
              <w:t>成交通知书发出之日起</w:t>
            </w:r>
            <w:r>
              <w:rPr>
                <w:rFonts w:hint="eastAsia" w:eastAsia="宋体" w:cs="宋体"/>
                <w:b/>
                <w:bCs/>
                <w:snapToGrid w:val="0"/>
                <w:color w:val="000000" w:themeColor="text1"/>
                <w:spacing w:val="0"/>
                <w:kern w:val="0"/>
                <w:sz w:val="21"/>
                <w:szCs w:val="21"/>
                <w:highlight w:val="none"/>
                <w:lang w:val="en-US" w:eastAsia="zh-CN"/>
                <w14:textFill>
                  <w14:solidFill>
                    <w14:schemeClr w14:val="tx1"/>
                  </w14:solidFill>
                </w14:textFill>
              </w:rPr>
              <w:t>7工作</w:t>
            </w:r>
            <w:r>
              <w:rPr>
                <w:rFonts w:hint="eastAsia" w:ascii="宋体" w:hAnsi="宋体" w:eastAsia="宋体" w:cs="宋体"/>
                <w:b/>
                <w:bCs/>
                <w:snapToGrid w:val="0"/>
                <w:color w:val="000000" w:themeColor="text1"/>
                <w:spacing w:val="0"/>
                <w:kern w:val="0"/>
                <w:sz w:val="21"/>
                <w:szCs w:val="21"/>
                <w:highlight w:val="none"/>
                <w:lang w:val="en-US" w:eastAsia="zh-CN"/>
                <w14:textFill>
                  <w14:solidFill>
                    <w14:schemeClr w14:val="tx1"/>
                  </w14:solidFill>
                </w14:textFill>
              </w:rPr>
              <w:t>日内至</w:t>
            </w:r>
            <w:r>
              <w:rPr>
                <w:rFonts w:hint="eastAsia" w:ascii="宋体" w:hAnsi="宋体" w:eastAsia="宋体" w:cs="宋体"/>
                <w:b/>
                <w:bCs/>
                <w:snapToGrid w:val="0"/>
                <w:color w:val="000000" w:themeColor="text1"/>
                <w:spacing w:val="0"/>
                <w:kern w:val="0"/>
                <w:sz w:val="21"/>
                <w:szCs w:val="21"/>
                <w:highlight w:val="none"/>
                <w14:textFill>
                  <w14:solidFill>
                    <w14:schemeClr w14:val="tx1"/>
                  </w14:solidFill>
                </w14:textFill>
              </w:rPr>
              <w:t>采购人指定地点</w:t>
            </w:r>
            <w:r>
              <w:rPr>
                <w:rFonts w:hint="eastAsia" w:ascii="宋体" w:hAnsi="宋体" w:eastAsia="宋体" w:cs="宋体"/>
                <w:b/>
                <w:bCs/>
                <w:snapToGrid w:val="0"/>
                <w:color w:val="000000" w:themeColor="text1"/>
                <w:spacing w:val="0"/>
                <w:kern w:val="0"/>
                <w:sz w:val="21"/>
                <w:szCs w:val="21"/>
                <w:highlight w:val="none"/>
                <w:lang w:val="en-US" w:eastAsia="zh-CN"/>
                <w14:textFill>
                  <w14:solidFill>
                    <w14:schemeClr w14:val="tx1"/>
                  </w14:solidFill>
                </w14:textFill>
              </w:rPr>
              <w:t>签订合同</w:t>
            </w:r>
            <w:r>
              <w:rPr>
                <w:rFonts w:hint="eastAsia" w:ascii="宋体" w:hAnsi="宋体" w:eastAsia="宋体" w:cs="宋体"/>
                <w:snapToGrid w:val="0"/>
                <w:color w:val="000000" w:themeColor="text1"/>
                <w:spacing w:val="0"/>
                <w:kern w:val="0"/>
                <w:sz w:val="21"/>
                <w:szCs w:val="21"/>
                <w:highlight w:val="none"/>
                <w:lang w:val="en-US" w:eastAsia="zh-CN"/>
                <w14:textFill>
                  <w14:solidFill>
                    <w14:schemeClr w14:val="tx1"/>
                  </w14:solidFill>
                </w14:textFill>
              </w:rPr>
              <w:t>，无故逾期视为自动放弃中标资格</w:t>
            </w:r>
            <w:r>
              <w:rPr>
                <w:rFonts w:hint="eastAsia" w:asciiTheme="minorEastAsia" w:hAnsiTheme="minorEastAsia" w:eastAsiaTheme="minorEastAsia" w:cstheme="minorEastAsia"/>
                <w:color w:val="000000" w:themeColor="text1"/>
                <w:spacing w:val="0"/>
                <w:kern w:val="0"/>
                <w:sz w:val="21"/>
                <w:szCs w:val="21"/>
                <w:highlight w:val="none"/>
                <w:u w:val="none"/>
                <w:lang w:val="en-US" w:eastAsia="zh-CN"/>
                <w14:textFill>
                  <w14:solidFill>
                    <w14:schemeClr w14:val="tx1"/>
                  </w14:solidFill>
                </w14:textFill>
              </w:rPr>
              <w:t>。</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15</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t>按照《关于进一步规范政府采购管理支持企业发展的通知》（宿财购［2021]48号）执行，政府采购货物、服务以及以非招标方式开展的政府采购工程项目，一律免收投标（响应）保证金。</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16</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本项目中小企业划分标准所属行业：建筑业</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single" w:color="000000" w:sz="8"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7</w:t>
            </w:r>
          </w:p>
        </w:tc>
        <w:tc>
          <w:tcPr>
            <w:tcW w:w="9035" w:type="dxa"/>
            <w:tcBorders>
              <w:top w:val="single" w:color="000000" w:sz="8" w:space="0"/>
              <w:left w:val="single" w:color="000000" w:sz="8" w:space="0"/>
              <w:bottom w:val="single" w:color="000000" w:sz="8"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公告公示媒介：</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皖北卫生职业学院官网（https://www.wbws.edu.cn/）。</w:t>
            </w:r>
          </w:p>
        </w:tc>
      </w:tr>
      <w:tr>
        <w:tblPrEx>
          <w:tblCellMar>
            <w:top w:w="0" w:type="dxa"/>
            <w:left w:w="0" w:type="dxa"/>
            <w:bottom w:w="0" w:type="dxa"/>
            <w:right w:w="0" w:type="dxa"/>
          </w:tblCellMar>
        </w:tblPrEx>
        <w:trPr>
          <w:trHeight w:val="0" w:hRule="atLeast"/>
          <w:jc w:val="center"/>
        </w:trPr>
        <w:tc>
          <w:tcPr>
            <w:tcW w:w="816" w:type="dxa"/>
            <w:tcBorders>
              <w:top w:val="single" w:color="000000" w:sz="8" w:space="0"/>
              <w:left w:val="double" w:color="000000" w:sz="4" w:space="0"/>
              <w:bottom w:val="double" w:color="000000" w:sz="4" w:space="0"/>
              <w:right w:val="single" w:color="000000" w:sz="8"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jc w:val="center"/>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18</w:t>
            </w:r>
          </w:p>
        </w:tc>
        <w:tc>
          <w:tcPr>
            <w:tcW w:w="9035" w:type="dxa"/>
            <w:tcBorders>
              <w:top w:val="single" w:color="000000" w:sz="8" w:space="0"/>
              <w:left w:val="single" w:color="000000" w:sz="8" w:space="0"/>
              <w:bottom w:val="double" w:color="000000" w:sz="4" w:space="0"/>
              <w:right w:val="double" w:color="000000" w:sz="4" w:space="0"/>
            </w:tcBorders>
            <w:tcMar>
              <w:top w:w="57" w:type="dxa"/>
              <w:left w:w="57" w:type="dxa"/>
              <w:bottom w:w="57" w:type="dxa"/>
              <w:right w:w="57" w:type="dxa"/>
            </w:tcMar>
            <w:vAlign w:val="center"/>
          </w:tcPr>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宋体" w:hAnsi="宋体" w:eastAsia="宋体" w:cs="宋体"/>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14:textFill>
                  <w14:solidFill>
                    <w14:schemeClr w14:val="tx1"/>
                  </w14:solidFill>
                </w14:textFill>
              </w:rPr>
              <w:t>以下费用均由成交供应商支付，请各供应商报价时综合考虑在报价中：</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宋体" w:hAnsi="宋体" w:eastAsia="宋体" w:cs="宋体"/>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14:textFill>
                  <w14:solidFill>
                    <w14:schemeClr w14:val="tx1"/>
                  </w14:solidFill>
                </w14:textFill>
              </w:rPr>
              <w:t>1</w:t>
            </w:r>
            <w:r>
              <w:rPr>
                <w:rFonts w:hint="eastAsia" w:ascii="宋体" w:hAnsi="宋体" w:cs="宋体"/>
                <w:snapToGrid w:val="0"/>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1"/>
                <w:szCs w:val="21"/>
                <w:highlight w:val="none"/>
                <w14:textFill>
                  <w14:solidFill>
                    <w14:schemeClr w14:val="tx1"/>
                  </w14:solidFill>
                </w14:textFill>
              </w:rPr>
              <w:t>招标代理服务费：</w:t>
            </w:r>
            <w:r>
              <w:rPr>
                <w:rFonts w:hint="eastAsia" w:ascii="宋体" w:hAnsi="宋体" w:cs="宋体"/>
                <w:snapToGrid w:val="0"/>
                <w:color w:val="000000" w:themeColor="text1"/>
                <w:spacing w:val="0"/>
                <w:kern w:val="0"/>
                <w:sz w:val="21"/>
                <w:szCs w:val="21"/>
                <w:highlight w:val="none"/>
                <w:lang w:val="en-US" w:eastAsia="zh-CN"/>
                <w14:textFill>
                  <w14:solidFill>
                    <w14:schemeClr w14:val="tx1"/>
                  </w14:solidFill>
                </w14:textFill>
              </w:rPr>
              <w:t>1000.00元</w:t>
            </w:r>
            <w:r>
              <w:rPr>
                <w:rFonts w:hint="eastAsia" w:ascii="宋体" w:hAnsi="宋体" w:eastAsia="宋体" w:cs="宋体"/>
                <w:snapToGrid w:val="0"/>
                <w:color w:val="000000" w:themeColor="text1"/>
                <w:spacing w:val="0"/>
                <w:kern w:val="0"/>
                <w:sz w:val="21"/>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textAlignment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宋体" w:hAnsi="宋体" w:eastAsia="宋体" w:cs="宋体"/>
                <w:snapToGrid w:val="0"/>
                <w:color w:val="000000" w:themeColor="text1"/>
                <w:spacing w:val="0"/>
                <w:kern w:val="0"/>
                <w:sz w:val="21"/>
                <w:szCs w:val="21"/>
                <w:highlight w:val="none"/>
                <w14:textFill>
                  <w14:solidFill>
                    <w14:schemeClr w14:val="tx1"/>
                  </w14:solidFill>
                </w14:textFill>
              </w:rPr>
              <w:t>2</w:t>
            </w:r>
            <w:r>
              <w:rPr>
                <w:rFonts w:hint="eastAsia" w:ascii="宋体" w:hAnsi="宋体" w:cs="宋体"/>
                <w:snapToGrid w:val="0"/>
                <w:color w:val="000000" w:themeColor="text1"/>
                <w:spacing w:val="0"/>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spacing w:val="0"/>
                <w:kern w:val="0"/>
                <w:sz w:val="21"/>
                <w:szCs w:val="21"/>
                <w:highlight w:val="none"/>
                <w14:textFill>
                  <w14:solidFill>
                    <w14:schemeClr w14:val="tx1"/>
                  </w14:solidFill>
                </w14:textFill>
              </w:rPr>
              <w:t>专家评审费（据实结算）：收费标准参考《安徽省发展改革委关于安徽省评标评审专家劳务费支付标准的指导意见》。</w:t>
            </w:r>
          </w:p>
        </w:tc>
      </w:tr>
    </w:tbl>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注：谈判文件内容有歧义、矛盾时，以前附表内容为准。</w:t>
      </w:r>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bookmarkStart w:id="24" w:name="_Toc14337"/>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第三章 项目要求</w:t>
      </w:r>
      <w:bookmarkEnd w:id="24"/>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lang w:eastAsia="zh-CN"/>
          <w14:textFill>
            <w14:solidFill>
              <w14:schemeClr w14:val="tx1"/>
            </w14:solidFill>
          </w14:textFill>
        </w:rPr>
      </w:pPr>
      <w:bookmarkStart w:id="25" w:name="_Toc23929"/>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一、</w:t>
      </w:r>
      <w:r>
        <w:rPr>
          <w:rFonts w:hint="eastAsia" w:asciiTheme="minorEastAsia" w:hAnsiTheme="minorEastAsia" w:eastAsiaTheme="minorEastAsia" w:cstheme="minorEastAsia"/>
          <w:color w:val="000000" w:themeColor="text1"/>
          <w:spacing w:val="0"/>
          <w:kern w:val="0"/>
          <w:highlight w:val="none"/>
          <w:lang w:eastAsia="zh-CN"/>
          <w14:textFill>
            <w14:solidFill>
              <w14:schemeClr w14:val="tx1"/>
            </w14:solidFill>
          </w14:textFill>
        </w:rPr>
        <w:t>项目概况</w:t>
      </w:r>
      <w:bookmarkEnd w:id="25"/>
    </w:p>
    <w:p>
      <w:pPr>
        <w:pStyle w:val="26"/>
        <w:bidi w:val="0"/>
        <w:spacing w:line="360" w:lineRule="auto"/>
        <w:rPr>
          <w:rFonts w:hint="default" w:eastAsia="宋体"/>
          <w:b/>
          <w:bCs/>
          <w:color w:val="000000" w:themeColor="text1"/>
          <w:kern w:val="0"/>
          <w:sz w:val="21"/>
          <w:szCs w:val="21"/>
          <w:lang w:val="en-US" w:eastAsia="zh-CN"/>
          <w14:textFill>
            <w14:solidFill>
              <w14:schemeClr w14:val="tx1"/>
            </w14:solidFill>
          </w14:textFill>
        </w:rPr>
      </w:pPr>
      <w:r>
        <w:rPr>
          <w:rFonts w:hint="eastAsia"/>
          <w:b/>
          <w:bCs/>
          <w:color w:val="000000" w:themeColor="text1"/>
          <w:kern w:val="0"/>
          <w:sz w:val="21"/>
          <w:szCs w:val="21"/>
          <w:lang w:val="en-US" w:eastAsia="zh-CN"/>
          <w14:textFill>
            <w14:solidFill>
              <w14:schemeClr w14:val="tx1"/>
            </w14:solidFill>
          </w14:textFill>
        </w:rPr>
        <w:t>1.1投标单位条件</w:t>
      </w:r>
    </w:p>
    <w:p>
      <w:pPr>
        <w:pStyle w:val="26"/>
        <w:bidi w:val="0"/>
        <w:spacing w:line="360" w:lineRule="auto"/>
        <w:rPr>
          <w:rFonts w:hint="eastAsia"/>
          <w:b w:val="0"/>
          <w:bCs w:val="0"/>
          <w:color w:val="000000" w:themeColor="text1"/>
          <w:kern w:val="0"/>
          <w:sz w:val="21"/>
          <w:szCs w:val="21"/>
          <w14:textFill>
            <w14:solidFill>
              <w14:schemeClr w14:val="tx1"/>
            </w14:solidFill>
          </w14:textFill>
        </w:rPr>
      </w:pPr>
      <w:r>
        <w:rPr>
          <w:rFonts w:hint="eastAsia"/>
          <w:b w:val="0"/>
          <w:bCs w:val="0"/>
          <w:color w:val="000000" w:themeColor="text1"/>
          <w:kern w:val="0"/>
          <w:sz w:val="21"/>
          <w:szCs w:val="21"/>
          <w14:textFill>
            <w14:solidFill>
              <w14:schemeClr w14:val="tx1"/>
            </w14:solidFill>
          </w14:textFill>
        </w:rPr>
        <w:t>1、监理单位资质及要求</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1</w:t>
      </w:r>
      <w:r>
        <w:rPr>
          <w:rFonts w:hint="eastAsia"/>
          <w:color w:val="000000" w:themeColor="text1"/>
          <w:kern w:val="0"/>
          <w:sz w:val="21"/>
          <w:szCs w:val="21"/>
          <w:lang w:eastAsia="zh-CN"/>
          <w14:textFill>
            <w14:solidFill>
              <w14:schemeClr w14:val="tx1"/>
            </w14:solidFill>
          </w14:textFill>
        </w:rPr>
        <w:t>）监理单位资质要求：</w:t>
      </w:r>
      <w:r>
        <w:rPr>
          <w:rFonts w:hint="eastAsia"/>
          <w:color w:val="000000" w:themeColor="text1"/>
          <w:kern w:val="0"/>
          <w:sz w:val="21"/>
          <w:szCs w:val="21"/>
          <w:lang w:val="en-US" w:eastAsia="zh-CN"/>
          <w14:textFill>
            <w14:solidFill>
              <w14:schemeClr w14:val="tx1"/>
            </w14:solidFill>
          </w14:textFill>
        </w:rPr>
        <w:t>详见竞争性谈判公告</w:t>
      </w:r>
      <w:r>
        <w:rPr>
          <w:rFonts w:hint="eastAsia"/>
          <w:color w:val="000000" w:themeColor="text1"/>
          <w:kern w:val="0"/>
          <w:sz w:val="21"/>
          <w:szCs w:val="21"/>
          <w14:textFill>
            <w14:solidFill>
              <w14:schemeClr w14:val="tx1"/>
            </w14:solidFill>
          </w14:textFill>
        </w:rPr>
        <w:t>。</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lang w:val="en-US" w:eastAsia="zh-CN"/>
          <w14:textFill>
            <w14:solidFill>
              <w14:schemeClr w14:val="tx1"/>
            </w14:solidFill>
          </w14:textFill>
        </w:rPr>
        <w:t>2</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14:textFill>
            <w14:solidFill>
              <w14:schemeClr w14:val="tx1"/>
            </w14:solidFill>
          </w14:textFill>
        </w:rPr>
        <w:t>监理机构人员配备要求</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监理单位派驻到现场的监理人员（含总监）总人数应符合以下要求:</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eastAsia="宋体"/>
          <w:color w:val="000000" w:themeColor="text1"/>
          <w:kern w:val="0"/>
          <w:sz w:val="21"/>
          <w:szCs w:val="21"/>
          <w:lang w:eastAsia="zh-CN"/>
          <w14:textFill>
            <w14:solidFill>
              <w14:schemeClr w14:val="tx1"/>
            </w14:solidFill>
          </w14:textFill>
        </w:rPr>
      </w:pPr>
      <w:r>
        <w:rPr>
          <w:rFonts w:hint="eastAsia"/>
          <w:color w:val="000000" w:themeColor="text1"/>
          <w:kern w:val="0"/>
          <w:sz w:val="21"/>
          <w:szCs w:val="21"/>
          <w14:textFill>
            <w14:solidFill>
              <w14:schemeClr w14:val="tx1"/>
            </w14:solidFill>
          </w14:textFill>
        </w:rPr>
        <w:t>①</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14:textFill>
            <w14:solidFill>
              <w14:schemeClr w14:val="tx1"/>
            </w14:solidFill>
          </w14:textFill>
        </w:rPr>
        <w:t>拟派驻的总监资质要求</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14:textFill>
            <w14:solidFill>
              <w14:schemeClr w14:val="tx1"/>
            </w14:solidFill>
          </w14:textFill>
        </w:rPr>
        <w:t>总监必须满足</w:t>
      </w:r>
      <w:r>
        <w:rPr>
          <w:rFonts w:hint="eastAsia"/>
          <w:color w:val="000000" w:themeColor="text1"/>
          <w:kern w:val="0"/>
          <w:sz w:val="21"/>
          <w:szCs w:val="21"/>
          <w:lang w:eastAsia="zh-CN"/>
          <w14:textFill>
            <w14:solidFill>
              <w14:schemeClr w14:val="tx1"/>
            </w14:solidFill>
          </w14:textFill>
        </w:rPr>
        <w:t>竞争性谈判公告</w:t>
      </w:r>
      <w:r>
        <w:rPr>
          <w:rFonts w:hint="eastAsia"/>
          <w:color w:val="000000" w:themeColor="text1"/>
          <w:kern w:val="0"/>
          <w:sz w:val="21"/>
          <w:szCs w:val="21"/>
          <w14:textFill>
            <w14:solidFill>
              <w14:schemeClr w14:val="tx1"/>
            </w14:solidFill>
          </w14:textFill>
        </w:rPr>
        <w:t>要求</w:t>
      </w:r>
      <w:r>
        <w:rPr>
          <w:rFonts w:hint="eastAsia"/>
          <w:color w:val="000000" w:themeColor="text1"/>
          <w:kern w:val="0"/>
          <w:sz w:val="21"/>
          <w:szCs w:val="21"/>
          <w:lang w:eastAsia="zh-CN"/>
          <w14:textFill>
            <w14:solidFill>
              <w14:schemeClr w14:val="tx1"/>
            </w14:solidFill>
          </w14:textFill>
        </w:rPr>
        <w:t>。</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eastAsia="宋体"/>
          <w:color w:val="000000" w:themeColor="text1"/>
          <w:kern w:val="0"/>
          <w:sz w:val="21"/>
          <w:szCs w:val="21"/>
          <w:lang w:eastAsia="zh-CN"/>
          <w14:textFill>
            <w14:solidFill>
              <w14:schemeClr w14:val="tx1"/>
            </w14:solidFill>
          </w14:textFill>
        </w:rPr>
      </w:pPr>
      <w:r>
        <w:rPr>
          <w:rFonts w:hint="eastAsia"/>
          <w:color w:val="000000" w:themeColor="text1"/>
          <w:kern w:val="0"/>
          <w:sz w:val="21"/>
          <w:szCs w:val="21"/>
          <w14:textFill>
            <w14:solidFill>
              <w14:schemeClr w14:val="tx1"/>
            </w14:solidFill>
          </w14:textFill>
        </w:rPr>
        <w:t>②</w:t>
      </w:r>
      <w:r>
        <w:rPr>
          <w:rFonts w:hint="eastAsia"/>
          <w:color w:val="000000" w:themeColor="text1"/>
          <w:kern w:val="0"/>
          <w:sz w:val="21"/>
          <w:szCs w:val="21"/>
          <w:lang w:eastAsia="zh-CN"/>
          <w14:textFill>
            <w14:solidFill>
              <w14:schemeClr w14:val="tx1"/>
            </w14:solidFill>
          </w14:textFill>
        </w:rPr>
        <w:t>、</w:t>
      </w:r>
      <w:r>
        <w:rPr>
          <w:rFonts w:hint="eastAsia"/>
          <w:color w:val="000000" w:themeColor="text1"/>
          <w:kern w:val="0"/>
          <w:sz w:val="21"/>
          <w:szCs w:val="21"/>
          <w14:textFill>
            <w14:solidFill>
              <w14:schemeClr w14:val="tx1"/>
            </w14:solidFill>
          </w14:textFill>
        </w:rPr>
        <w:t>监理机构人员配备要求</w:t>
      </w:r>
      <w:r>
        <w:rPr>
          <w:rFonts w:hint="eastAsia"/>
          <w:color w:val="000000" w:themeColor="text1"/>
          <w:kern w:val="0"/>
          <w:sz w:val="21"/>
          <w:szCs w:val="21"/>
          <w:lang w:eastAsia="zh-CN"/>
          <w14:textFill>
            <w14:solidFill>
              <w14:schemeClr w14:val="tx1"/>
            </w14:solidFill>
          </w14:textFill>
        </w:rPr>
        <w:t>：</w:t>
      </w:r>
    </w:p>
    <w:p>
      <w:pPr>
        <w:widowControl/>
        <w:shd w:val="clear"/>
        <w:spacing w:line="360" w:lineRule="auto"/>
        <w:ind w:firstLine="420" w:firstLineChars="200"/>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一、公共建筑、住宅工程监理人员数量最低标准</w:t>
      </w:r>
    </w:p>
    <w:tbl>
      <w:tblPr>
        <w:tblStyle w:val="10"/>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autofit"/>
        <w:tblCellMar>
          <w:top w:w="0" w:type="dxa"/>
          <w:left w:w="0" w:type="dxa"/>
          <w:bottom w:w="0" w:type="dxa"/>
          <w:right w:w="0" w:type="dxa"/>
        </w:tblCellMar>
      </w:tblPr>
      <w:tblGrid>
        <w:gridCol w:w="1617"/>
        <w:gridCol w:w="1441"/>
        <w:gridCol w:w="1441"/>
        <w:gridCol w:w="1447"/>
        <w:gridCol w:w="2012"/>
        <w:gridCol w:w="1803"/>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5946" w:type="dxa"/>
            <w:gridSpan w:val="4"/>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一等：28层以上及单体3万平方米以上</w:t>
            </w:r>
          </w:p>
        </w:tc>
        <w:tc>
          <w:tcPr>
            <w:tcW w:w="2012"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 xml:space="preserve">二 </w:t>
            </w:r>
            <w:r>
              <w:rPr>
                <w:color w:val="000000" w:themeColor="text1"/>
                <w:kern w:val="0"/>
                <w:sz w:val="21"/>
                <w:szCs w:val="21"/>
                <w:lang w:bidi="ar"/>
                <w14:textFill>
                  <w14:solidFill>
                    <w14:schemeClr w14:val="tx1"/>
                  </w14:solidFill>
                </w14:textFill>
              </w:rPr>
              <w:t xml:space="preserve"> 等</w:t>
            </w:r>
          </w:p>
        </w:tc>
        <w:tc>
          <w:tcPr>
            <w:tcW w:w="1803"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三</w:t>
            </w:r>
            <w:r>
              <w:rPr>
                <w:color w:val="000000" w:themeColor="text1"/>
                <w:kern w:val="0"/>
                <w:sz w:val="21"/>
                <w:szCs w:val="21"/>
                <w:lang w:bidi="ar"/>
                <w14:textFill>
                  <w14:solidFill>
                    <w14:schemeClr w14:val="tx1"/>
                  </w14:solidFill>
                </w14:textFill>
              </w:rPr>
              <w:t xml:space="preserve">   等</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544" w:hRule="atLeast"/>
        </w:trPr>
        <w:tc>
          <w:tcPr>
            <w:tcW w:w="1617"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工程</w:t>
            </w:r>
            <w:r>
              <w:rPr>
                <w:color w:val="000000" w:themeColor="text1"/>
                <w:kern w:val="0"/>
                <w:sz w:val="21"/>
                <w:szCs w:val="21"/>
                <w:lang w:bidi="ar"/>
                <w14:textFill>
                  <w14:solidFill>
                    <w14:schemeClr w14:val="tx1"/>
                  </w14:solidFill>
                </w14:textFill>
              </w:rPr>
              <w:t>、规模、人员、配置标准</w:t>
            </w:r>
          </w:p>
        </w:tc>
        <w:tc>
          <w:tcPr>
            <w:tcW w:w="1441"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lang w:bidi="ar"/>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8万</w:t>
            </w:r>
          </w:p>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平方米以上</w:t>
            </w:r>
          </w:p>
        </w:tc>
        <w:tc>
          <w:tcPr>
            <w:tcW w:w="1441"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lang w:bidi="ar"/>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5-8万</w:t>
            </w:r>
          </w:p>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平方米</w:t>
            </w:r>
          </w:p>
        </w:tc>
        <w:tc>
          <w:tcPr>
            <w:tcW w:w="1447"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lang w:bidi="ar"/>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3-5万</w:t>
            </w:r>
          </w:p>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平方米</w:t>
            </w:r>
          </w:p>
        </w:tc>
        <w:tc>
          <w:tcPr>
            <w:tcW w:w="2012"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lang w:bidi="ar"/>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14-28层，1-3万</w:t>
            </w:r>
          </w:p>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平方米单体</w:t>
            </w:r>
          </w:p>
        </w:tc>
        <w:tc>
          <w:tcPr>
            <w:tcW w:w="1803"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lang w:bidi="ar"/>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14层以下，1万</w:t>
            </w:r>
          </w:p>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平方米以下单体</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1617"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 xml:space="preserve">总 </w:t>
            </w:r>
            <w:r>
              <w:rPr>
                <w:color w:val="000000" w:themeColor="text1"/>
                <w:kern w:val="0"/>
                <w:sz w:val="21"/>
                <w:szCs w:val="21"/>
                <w:lang w:bidi="ar"/>
                <w14:textFill>
                  <w14:solidFill>
                    <w14:schemeClr w14:val="tx1"/>
                  </w14:solidFill>
                </w14:textFill>
              </w:rPr>
              <w:t xml:space="preserve"> 监</w:t>
            </w:r>
          </w:p>
        </w:tc>
        <w:tc>
          <w:tcPr>
            <w:tcW w:w="1441"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1441"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1447"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2012"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1803"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155" w:hRule="atLeast"/>
        </w:trPr>
        <w:tc>
          <w:tcPr>
            <w:tcW w:w="1617"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专业监理工程师(总监代表)</w:t>
            </w:r>
          </w:p>
        </w:tc>
        <w:tc>
          <w:tcPr>
            <w:tcW w:w="1441"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2人</w:t>
            </w:r>
          </w:p>
        </w:tc>
        <w:tc>
          <w:tcPr>
            <w:tcW w:w="1441"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1447"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2012"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1803"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1617"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监 理 员</w:t>
            </w:r>
          </w:p>
        </w:tc>
        <w:tc>
          <w:tcPr>
            <w:tcW w:w="1441"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4人</w:t>
            </w:r>
          </w:p>
        </w:tc>
        <w:tc>
          <w:tcPr>
            <w:tcW w:w="1441"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4人</w:t>
            </w:r>
          </w:p>
        </w:tc>
        <w:tc>
          <w:tcPr>
            <w:tcW w:w="1447"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3人</w:t>
            </w:r>
          </w:p>
        </w:tc>
        <w:tc>
          <w:tcPr>
            <w:tcW w:w="2012"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2人</w:t>
            </w:r>
          </w:p>
        </w:tc>
        <w:tc>
          <w:tcPr>
            <w:tcW w:w="1803"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r>
    </w:tbl>
    <w:p>
      <w:pPr>
        <w:widowControl/>
        <w:shd w:val="clear"/>
        <w:wordWrap w:val="0"/>
        <w:spacing w:line="360" w:lineRule="auto"/>
        <w:ind w:firstLine="420" w:firstLineChars="200"/>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二、住宅小区工程监理人员数量最低标准</w:t>
      </w:r>
    </w:p>
    <w:tbl>
      <w:tblPr>
        <w:tblStyle w:val="10"/>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autofit"/>
        <w:tblCellMar>
          <w:top w:w="0" w:type="dxa"/>
          <w:left w:w="0" w:type="dxa"/>
          <w:bottom w:w="0" w:type="dxa"/>
          <w:right w:w="0" w:type="dxa"/>
        </w:tblCellMar>
      </w:tblPr>
      <w:tblGrid>
        <w:gridCol w:w="2443"/>
        <w:gridCol w:w="2444"/>
        <w:gridCol w:w="2444"/>
        <w:gridCol w:w="2444"/>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70" w:hRule="atLeast"/>
        </w:trPr>
        <w:tc>
          <w:tcPr>
            <w:tcW w:w="2444"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工程、规模、人员配置标准</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一等：10万平方米以上</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二 等：5-10万平方米</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三 等：5万平方米以下</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2444"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总监</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155" w:hRule="atLeast"/>
        </w:trPr>
        <w:tc>
          <w:tcPr>
            <w:tcW w:w="2444"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专业监理工程师（总监代表）</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2人</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1人</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300" w:hRule="atLeast"/>
        </w:trPr>
        <w:tc>
          <w:tcPr>
            <w:tcW w:w="2444"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监理员</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6人以上</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5人以上</w:t>
            </w:r>
          </w:p>
        </w:tc>
        <w:tc>
          <w:tcPr>
            <w:tcW w:w="2445" w:type="dxa"/>
            <w:tcBorders>
              <w:tl2br w:val="nil"/>
              <w:tr2bl w:val="nil"/>
            </w:tcBorders>
            <w:shd w:val="clear" w:color="auto" w:fill="auto"/>
            <w:tcMar>
              <w:top w:w="15" w:type="dxa"/>
              <w:left w:w="15" w:type="dxa"/>
              <w:right w:w="15" w:type="dxa"/>
            </w:tcMar>
            <w:vAlign w:val="center"/>
          </w:tcPr>
          <w:p>
            <w:pPr>
              <w:widowControl/>
              <w:shd w:val="clear"/>
              <w:spacing w:line="360" w:lineRule="auto"/>
              <w:jc w:val="center"/>
              <w:textAlignment w:val="center"/>
              <w:rPr>
                <w:rFonts w:cs="宋体"/>
                <w:color w:val="000000" w:themeColor="text1"/>
                <w:kern w:val="0"/>
                <w:sz w:val="21"/>
                <w:szCs w:val="21"/>
                <w14:textFill>
                  <w14:solidFill>
                    <w14:schemeClr w14:val="tx1"/>
                  </w14:solidFill>
                </w14:textFill>
              </w:rPr>
            </w:pPr>
            <w:r>
              <w:rPr>
                <w:rFonts w:hint="eastAsia" w:cs="宋体"/>
                <w:color w:val="000000" w:themeColor="text1"/>
                <w:kern w:val="0"/>
                <w:sz w:val="21"/>
                <w:szCs w:val="21"/>
                <w:lang w:bidi="ar"/>
                <w14:textFill>
                  <w14:solidFill>
                    <w14:schemeClr w14:val="tx1"/>
                  </w14:solidFill>
                </w14:textFill>
              </w:rPr>
              <w:t>3人以上</w:t>
            </w:r>
          </w:p>
        </w:tc>
      </w:tr>
    </w:tbl>
    <w:p>
      <w:pPr>
        <w:shd w:val="clear"/>
        <w:spacing w:line="360" w:lineRule="auto"/>
        <w:ind w:firstLine="420" w:firstLineChars="200"/>
        <w:rPr>
          <w:b/>
          <w:color w:val="000000" w:themeColor="text1"/>
          <w:kern w:val="0"/>
          <w:sz w:val="21"/>
          <w:szCs w:val="21"/>
          <w14:textFill>
            <w14:solidFill>
              <w14:schemeClr w14:val="tx1"/>
            </w14:solidFill>
          </w14:textFill>
        </w:rPr>
      </w:pPr>
      <w:r>
        <w:rPr>
          <w:rFonts w:hint="eastAsia"/>
          <w:b/>
          <w:color w:val="000000" w:themeColor="text1"/>
          <w:kern w:val="0"/>
          <w:sz w:val="21"/>
          <w:szCs w:val="21"/>
          <w14:textFill>
            <w14:solidFill>
              <w14:schemeClr w14:val="tx1"/>
            </w14:solidFill>
          </w14:textFill>
        </w:rPr>
        <w:t>注：</w:t>
      </w:r>
    </w:p>
    <w:p>
      <w:pPr>
        <w:shd w:val="clea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fldChar w:fldCharType="begin"/>
      </w:r>
      <w:r>
        <w:rPr>
          <w:color w:val="000000" w:themeColor="text1"/>
          <w:kern w:val="0"/>
          <w:sz w:val="21"/>
          <w:szCs w:val="21"/>
          <w14:textFill>
            <w14:solidFill>
              <w14:schemeClr w14:val="tx1"/>
            </w14:solidFill>
          </w14:textFill>
        </w:rPr>
        <w:instrText xml:space="preserve"> </w:instrText>
      </w:r>
      <w:r>
        <w:rPr>
          <w:rFonts w:hint="eastAsia"/>
          <w:color w:val="000000" w:themeColor="text1"/>
          <w:kern w:val="0"/>
          <w:sz w:val="21"/>
          <w:szCs w:val="21"/>
          <w14:textFill>
            <w14:solidFill>
              <w14:schemeClr w14:val="tx1"/>
            </w14:solidFill>
          </w14:textFill>
        </w:rPr>
        <w:instrText xml:space="preserve">= 1 \* GB3</w:instrText>
      </w:r>
      <w:r>
        <w:rPr>
          <w:color w:val="000000" w:themeColor="text1"/>
          <w:kern w:val="0"/>
          <w:sz w:val="21"/>
          <w:szCs w:val="21"/>
          <w14:textFill>
            <w14:solidFill>
              <w14:schemeClr w14:val="tx1"/>
            </w14:solidFill>
          </w14:textFill>
        </w:rPr>
        <w:instrText xml:space="preserve"> </w:instrText>
      </w:r>
      <w:r>
        <w:rPr>
          <w:color w:val="000000" w:themeColor="text1"/>
          <w:kern w:val="0"/>
          <w:sz w:val="21"/>
          <w:szCs w:val="21"/>
          <w14:textFill>
            <w14:solidFill>
              <w14:schemeClr w14:val="tx1"/>
            </w14:solidFill>
          </w14:textFill>
        </w:rPr>
        <w:fldChar w:fldCharType="separate"/>
      </w:r>
      <w:r>
        <w:rPr>
          <w:rFonts w:hint="eastAsia"/>
          <w:color w:val="000000" w:themeColor="text1"/>
          <w:kern w:val="0"/>
          <w:sz w:val="21"/>
          <w:szCs w:val="21"/>
          <w14:textFill>
            <w14:solidFill>
              <w14:schemeClr w14:val="tx1"/>
            </w14:solidFill>
          </w14:textFill>
        </w:rPr>
        <w:t>①</w:t>
      </w:r>
      <w:r>
        <w:rPr>
          <w:color w:val="000000" w:themeColor="text1"/>
          <w:kern w:val="0"/>
          <w:sz w:val="21"/>
          <w:szCs w:val="21"/>
          <w14:textFill>
            <w14:solidFill>
              <w14:schemeClr w14:val="tx1"/>
            </w14:solidFill>
          </w14:textFill>
        </w:rPr>
        <w:fldChar w:fldCharType="end"/>
      </w: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表中所列监理人员应为</w:t>
      </w:r>
      <w:r>
        <w:rPr>
          <w:rFonts w:hint="eastAsia"/>
          <w:color w:val="000000" w:themeColor="text1"/>
          <w:kern w:val="0"/>
          <w:sz w:val="21"/>
          <w:szCs w:val="21"/>
          <w14:textFill>
            <w14:solidFill>
              <w14:schemeClr w14:val="tx1"/>
            </w14:solidFill>
          </w14:textFill>
        </w:rPr>
        <w:t>建筑类</w:t>
      </w:r>
      <w:r>
        <w:rPr>
          <w:color w:val="000000" w:themeColor="text1"/>
          <w:kern w:val="0"/>
          <w:sz w:val="21"/>
          <w:szCs w:val="21"/>
          <w14:textFill>
            <w14:solidFill>
              <w14:schemeClr w14:val="tx1"/>
            </w14:solidFill>
          </w14:textFill>
        </w:rPr>
        <w:t>或相关专业且为常驻工地人员。</w:t>
      </w:r>
    </w:p>
    <w:p>
      <w:pPr>
        <w:shd w:val="clea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fldChar w:fldCharType="begin"/>
      </w:r>
      <w:r>
        <w:rPr>
          <w:color w:val="000000" w:themeColor="text1"/>
          <w:kern w:val="0"/>
          <w:sz w:val="21"/>
          <w:szCs w:val="21"/>
          <w14:textFill>
            <w14:solidFill>
              <w14:schemeClr w14:val="tx1"/>
            </w14:solidFill>
          </w14:textFill>
        </w:rPr>
        <w:instrText xml:space="preserve"> </w:instrText>
      </w:r>
      <w:r>
        <w:rPr>
          <w:rFonts w:hint="eastAsia"/>
          <w:color w:val="000000" w:themeColor="text1"/>
          <w:kern w:val="0"/>
          <w:sz w:val="21"/>
          <w:szCs w:val="21"/>
          <w14:textFill>
            <w14:solidFill>
              <w14:schemeClr w14:val="tx1"/>
            </w14:solidFill>
          </w14:textFill>
        </w:rPr>
        <w:instrText xml:space="preserve">= 2 \* GB3</w:instrText>
      </w:r>
      <w:r>
        <w:rPr>
          <w:color w:val="000000" w:themeColor="text1"/>
          <w:kern w:val="0"/>
          <w:sz w:val="21"/>
          <w:szCs w:val="21"/>
          <w14:textFill>
            <w14:solidFill>
              <w14:schemeClr w14:val="tx1"/>
            </w14:solidFill>
          </w14:textFill>
        </w:rPr>
        <w:instrText xml:space="preserve"> </w:instrText>
      </w:r>
      <w:r>
        <w:rPr>
          <w:color w:val="000000" w:themeColor="text1"/>
          <w:kern w:val="0"/>
          <w:sz w:val="21"/>
          <w:szCs w:val="21"/>
          <w14:textFill>
            <w14:solidFill>
              <w14:schemeClr w14:val="tx1"/>
            </w14:solidFill>
          </w14:textFill>
        </w:rPr>
        <w:fldChar w:fldCharType="separate"/>
      </w:r>
      <w:r>
        <w:rPr>
          <w:rFonts w:hint="eastAsia"/>
          <w:color w:val="000000" w:themeColor="text1"/>
          <w:kern w:val="0"/>
          <w:sz w:val="21"/>
          <w:szCs w:val="21"/>
          <w14:textFill>
            <w14:solidFill>
              <w14:schemeClr w14:val="tx1"/>
            </w14:solidFill>
          </w14:textFill>
        </w:rPr>
        <w:t>②</w:t>
      </w:r>
      <w:r>
        <w:rPr>
          <w:color w:val="000000" w:themeColor="text1"/>
          <w:kern w:val="0"/>
          <w:sz w:val="21"/>
          <w:szCs w:val="21"/>
          <w14:textFill>
            <w14:solidFill>
              <w14:schemeClr w14:val="tx1"/>
            </w14:solidFill>
          </w14:textFill>
        </w:rPr>
        <w:fldChar w:fldCharType="end"/>
      </w: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表中的“总监”应是取得国家注册监理师资格证书人员；</w:t>
      </w:r>
      <w:r>
        <w:rPr>
          <w:rFonts w:hint="eastAsia"/>
          <w:color w:val="000000" w:themeColor="text1"/>
          <w:kern w:val="0"/>
          <w:sz w:val="21"/>
          <w:szCs w:val="21"/>
          <w14:textFill>
            <w14:solidFill>
              <w14:schemeClr w14:val="tx1"/>
            </w14:solidFill>
          </w14:textFill>
        </w:rPr>
        <w:t>总监代表</w:t>
      </w:r>
      <w:r>
        <w:rPr>
          <w:color w:val="000000" w:themeColor="text1"/>
          <w:kern w:val="0"/>
          <w:sz w:val="21"/>
          <w:szCs w:val="21"/>
          <w14:textFill>
            <w14:solidFill>
              <w14:schemeClr w14:val="tx1"/>
            </w14:solidFill>
          </w14:textFill>
        </w:rPr>
        <w:t>应是取得国家注册监理师或省工程建设监理师人员；“监理员”应是取得省监理员资格证书人员。</w:t>
      </w:r>
    </w:p>
    <w:p>
      <w:pPr>
        <w:shd w:val="clea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fldChar w:fldCharType="begin"/>
      </w:r>
      <w:r>
        <w:rPr>
          <w:color w:val="000000" w:themeColor="text1"/>
          <w:kern w:val="0"/>
          <w:sz w:val="21"/>
          <w:szCs w:val="21"/>
          <w14:textFill>
            <w14:solidFill>
              <w14:schemeClr w14:val="tx1"/>
            </w14:solidFill>
          </w14:textFill>
        </w:rPr>
        <w:instrText xml:space="preserve"> </w:instrText>
      </w:r>
      <w:r>
        <w:rPr>
          <w:rFonts w:hint="eastAsia"/>
          <w:color w:val="000000" w:themeColor="text1"/>
          <w:kern w:val="0"/>
          <w:sz w:val="21"/>
          <w:szCs w:val="21"/>
          <w14:textFill>
            <w14:solidFill>
              <w14:schemeClr w14:val="tx1"/>
            </w14:solidFill>
          </w14:textFill>
        </w:rPr>
        <w:instrText xml:space="preserve">= 3 \* GB3</w:instrText>
      </w:r>
      <w:r>
        <w:rPr>
          <w:color w:val="000000" w:themeColor="text1"/>
          <w:kern w:val="0"/>
          <w:sz w:val="21"/>
          <w:szCs w:val="21"/>
          <w14:textFill>
            <w14:solidFill>
              <w14:schemeClr w14:val="tx1"/>
            </w14:solidFill>
          </w14:textFill>
        </w:rPr>
        <w:instrText xml:space="preserve"> </w:instrText>
      </w:r>
      <w:r>
        <w:rPr>
          <w:color w:val="000000" w:themeColor="text1"/>
          <w:kern w:val="0"/>
          <w:sz w:val="21"/>
          <w:szCs w:val="21"/>
          <w14:textFill>
            <w14:solidFill>
              <w14:schemeClr w14:val="tx1"/>
            </w14:solidFill>
          </w14:textFill>
        </w:rPr>
        <w:fldChar w:fldCharType="separate"/>
      </w:r>
      <w:r>
        <w:rPr>
          <w:rFonts w:hint="eastAsia"/>
          <w:color w:val="000000" w:themeColor="text1"/>
          <w:kern w:val="0"/>
          <w:sz w:val="21"/>
          <w:szCs w:val="21"/>
          <w14:textFill>
            <w14:solidFill>
              <w14:schemeClr w14:val="tx1"/>
            </w14:solidFill>
          </w14:textFill>
        </w:rPr>
        <w:t>③</w:t>
      </w:r>
      <w:r>
        <w:rPr>
          <w:color w:val="000000" w:themeColor="text1"/>
          <w:kern w:val="0"/>
          <w:sz w:val="21"/>
          <w:szCs w:val="21"/>
          <w14:textFill>
            <w14:solidFill>
              <w14:schemeClr w14:val="tx1"/>
            </w14:solidFill>
          </w14:textFill>
        </w:rPr>
        <w:fldChar w:fldCharType="end"/>
      </w: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表中未给出的其它工程，现场监理人员数量最低标准，按总监、专业监理工程师、监理员三个层次配置，按工程投资规模M确定：</w:t>
      </w:r>
    </w:p>
    <w:p>
      <w:pPr>
        <w:shd w:val="clea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M≤500万元，不少于2人</w:t>
      </w: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500万元＜M≤2000万元，不少于3人；</w:t>
      </w:r>
    </w:p>
    <w:p>
      <w:pPr>
        <w:shd w:val="clea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2000万元＜M≤5000万元，不少于4人；5000万元＜M≤10000万元，不少于5人；</w:t>
      </w:r>
    </w:p>
    <w:p>
      <w:pPr>
        <w:shd w:val="clea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M＞10000万元，不少于6人；在此基础上每增加3000万元，增加监理人员1人；</w:t>
      </w:r>
    </w:p>
    <w:p>
      <w:pPr>
        <w:shd w:val="clea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fldChar w:fldCharType="begin"/>
      </w:r>
      <w:r>
        <w:rPr>
          <w:color w:val="000000" w:themeColor="text1"/>
          <w:kern w:val="0"/>
          <w:sz w:val="21"/>
          <w:szCs w:val="21"/>
          <w14:textFill>
            <w14:solidFill>
              <w14:schemeClr w14:val="tx1"/>
            </w14:solidFill>
          </w14:textFill>
        </w:rPr>
        <w:instrText xml:space="preserve"> </w:instrText>
      </w:r>
      <w:r>
        <w:rPr>
          <w:rFonts w:hint="eastAsia"/>
          <w:color w:val="000000" w:themeColor="text1"/>
          <w:kern w:val="0"/>
          <w:sz w:val="21"/>
          <w:szCs w:val="21"/>
          <w14:textFill>
            <w14:solidFill>
              <w14:schemeClr w14:val="tx1"/>
            </w14:solidFill>
          </w14:textFill>
        </w:rPr>
        <w:instrText xml:space="preserve">= 4 \* GB3</w:instrText>
      </w:r>
      <w:r>
        <w:rPr>
          <w:color w:val="000000" w:themeColor="text1"/>
          <w:kern w:val="0"/>
          <w:sz w:val="21"/>
          <w:szCs w:val="21"/>
          <w14:textFill>
            <w14:solidFill>
              <w14:schemeClr w14:val="tx1"/>
            </w14:solidFill>
          </w14:textFill>
        </w:rPr>
        <w:instrText xml:space="preserve"> </w:instrText>
      </w:r>
      <w:r>
        <w:rPr>
          <w:color w:val="000000" w:themeColor="text1"/>
          <w:kern w:val="0"/>
          <w:sz w:val="21"/>
          <w:szCs w:val="21"/>
          <w14:textFill>
            <w14:solidFill>
              <w14:schemeClr w14:val="tx1"/>
            </w14:solidFill>
          </w14:textFill>
        </w:rPr>
        <w:fldChar w:fldCharType="separate"/>
      </w:r>
      <w:r>
        <w:rPr>
          <w:rFonts w:hint="eastAsia"/>
          <w:color w:val="000000" w:themeColor="text1"/>
          <w:kern w:val="0"/>
          <w:sz w:val="21"/>
          <w:szCs w:val="21"/>
          <w14:textFill>
            <w14:solidFill>
              <w14:schemeClr w14:val="tx1"/>
            </w14:solidFill>
          </w14:textFill>
        </w:rPr>
        <w:t>④</w:t>
      </w:r>
      <w:r>
        <w:rPr>
          <w:color w:val="000000" w:themeColor="text1"/>
          <w:kern w:val="0"/>
          <w:sz w:val="21"/>
          <w:szCs w:val="21"/>
          <w14:textFill>
            <w14:solidFill>
              <w14:schemeClr w14:val="tx1"/>
            </w14:solidFill>
          </w14:textFill>
        </w:rPr>
        <w:fldChar w:fldCharType="end"/>
      </w: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开工准备、工程收尾阶段现场监理人员数量，视现场工作需要，不受上述标准限制。配套专业监理人员根据现场工作需要，安排驻现场工作时间。</w:t>
      </w:r>
    </w:p>
    <w:p>
      <w:pPr>
        <w:shd w:val="clear"/>
        <w:spacing w:line="360" w:lineRule="auto"/>
        <w:ind w:firstLine="420" w:firstLineChars="200"/>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fldChar w:fldCharType="begin"/>
      </w:r>
      <w:r>
        <w:rPr>
          <w:color w:val="000000" w:themeColor="text1"/>
          <w:kern w:val="0"/>
          <w:sz w:val="21"/>
          <w:szCs w:val="21"/>
          <w14:textFill>
            <w14:solidFill>
              <w14:schemeClr w14:val="tx1"/>
            </w14:solidFill>
          </w14:textFill>
        </w:rPr>
        <w:instrText xml:space="preserve"> </w:instrText>
      </w:r>
      <w:r>
        <w:rPr>
          <w:rFonts w:hint="eastAsia"/>
          <w:color w:val="000000" w:themeColor="text1"/>
          <w:kern w:val="0"/>
          <w:sz w:val="21"/>
          <w:szCs w:val="21"/>
          <w14:textFill>
            <w14:solidFill>
              <w14:schemeClr w14:val="tx1"/>
            </w14:solidFill>
          </w14:textFill>
        </w:rPr>
        <w:instrText xml:space="preserve">= 5 \* GB3</w:instrText>
      </w:r>
      <w:r>
        <w:rPr>
          <w:color w:val="000000" w:themeColor="text1"/>
          <w:kern w:val="0"/>
          <w:sz w:val="21"/>
          <w:szCs w:val="21"/>
          <w14:textFill>
            <w14:solidFill>
              <w14:schemeClr w14:val="tx1"/>
            </w14:solidFill>
          </w14:textFill>
        </w:rPr>
        <w:instrText xml:space="preserve"> </w:instrText>
      </w:r>
      <w:r>
        <w:rPr>
          <w:color w:val="000000" w:themeColor="text1"/>
          <w:kern w:val="0"/>
          <w:sz w:val="21"/>
          <w:szCs w:val="21"/>
          <w14:textFill>
            <w14:solidFill>
              <w14:schemeClr w14:val="tx1"/>
            </w14:solidFill>
          </w14:textFill>
        </w:rPr>
        <w:fldChar w:fldCharType="separate"/>
      </w:r>
      <w:r>
        <w:rPr>
          <w:rFonts w:hint="eastAsia"/>
          <w:color w:val="000000" w:themeColor="text1"/>
          <w:kern w:val="0"/>
          <w:sz w:val="21"/>
          <w:szCs w:val="21"/>
          <w14:textFill>
            <w14:solidFill>
              <w14:schemeClr w14:val="tx1"/>
            </w14:solidFill>
          </w14:textFill>
        </w:rPr>
        <w:t>⑤</w:t>
      </w:r>
      <w:r>
        <w:rPr>
          <w:color w:val="000000" w:themeColor="text1"/>
          <w:kern w:val="0"/>
          <w:sz w:val="21"/>
          <w:szCs w:val="21"/>
          <w14:textFill>
            <w14:solidFill>
              <w14:schemeClr w14:val="tx1"/>
            </w14:solidFill>
          </w14:textFill>
        </w:rPr>
        <w:fldChar w:fldCharType="end"/>
      </w:r>
      <w:r>
        <w:rPr>
          <w:rFonts w:hint="eastAsia"/>
          <w:color w:val="000000" w:themeColor="text1"/>
          <w:kern w:val="0"/>
          <w:sz w:val="21"/>
          <w:szCs w:val="21"/>
          <w14:textFill>
            <w14:solidFill>
              <w14:schemeClr w14:val="tx1"/>
            </w14:solidFill>
          </w14:textFill>
        </w:rPr>
        <w:t>、</w:t>
      </w:r>
      <w:r>
        <w:rPr>
          <w:rFonts w:hint="eastAsia"/>
          <w:color w:val="000000" w:themeColor="text1"/>
          <w:kern w:val="0"/>
          <w:sz w:val="21"/>
          <w:szCs w:val="21"/>
          <w14:textFill>
            <w14:solidFill>
              <w14:schemeClr w14:val="tx1"/>
            </w14:solidFill>
          </w14:textFill>
        </w:rPr>
        <w:t xml:space="preserve">项目总监必须是与投标单位依法签订劳工合同的正式在职职工。             </w:t>
      </w:r>
    </w:p>
    <w:p>
      <w:pPr>
        <w:shd w:val="clear"/>
        <w:spacing w:line="360" w:lineRule="auto"/>
        <w:ind w:firstLine="420" w:firstLineChars="200"/>
        <w:rPr>
          <w:rFonts w:hint="eastAsia" w:asciiTheme="minorEastAsia" w:hAnsiTheme="minorEastAsia" w:eastAsiaTheme="minorEastAsia" w:cstheme="minorEastAsia"/>
          <w:dstrike w:val="0"/>
          <w:color w:val="000000" w:themeColor="text1"/>
          <w:spacing w:val="0"/>
          <w:kern w:val="0"/>
          <w:position w:val="0"/>
          <w:sz w:val="21"/>
          <w:szCs w:val="21"/>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w:t>
      </w:r>
      <w:r>
        <w:rPr>
          <w:rFonts w:hint="eastAsia"/>
          <w:color w:val="000000" w:themeColor="text1"/>
          <w:kern w:val="0"/>
          <w:sz w:val="21"/>
          <w:szCs w:val="21"/>
          <w14:textFill>
            <w14:solidFill>
              <w14:schemeClr w14:val="tx1"/>
            </w14:solidFill>
          </w14:textFill>
        </w:rPr>
        <w:t>、本工程中标人的项目监理机构人员，在监理期间时不得随意更换，人员如需变更，经招标人同意，并报有关主管部门备案后，才能变更，否则招标人可按中标价的10%予以处罚。项目监理部除不可抗外力要求，整个施工期全部在施工现场进行监理，如不按上述要求执行，招标人将视同违约，解除合同关系</w:t>
      </w:r>
      <w:r>
        <w:rPr>
          <w:rFonts w:hint="eastAsia" w:asciiTheme="minorEastAsia" w:hAnsiTheme="minorEastAsia" w:eastAsiaTheme="minorEastAsia" w:cstheme="minorEastAsia"/>
          <w:dstrike w:val="0"/>
          <w:color w:val="000000" w:themeColor="text1"/>
          <w:spacing w:val="0"/>
          <w:kern w:val="0"/>
          <w:position w:val="0"/>
          <w:sz w:val="21"/>
          <w:szCs w:val="21"/>
          <w14:textFill>
            <w14:solidFill>
              <w14:schemeClr w14:val="tx1"/>
            </w14:solidFill>
          </w14:textFill>
        </w:rPr>
        <w:t>。</w:t>
      </w:r>
    </w:p>
    <w:p>
      <w:pPr>
        <w:pStyle w:val="26"/>
        <w:bidi w:val="0"/>
        <w:spacing w:line="360" w:lineRule="auto"/>
        <w:ind w:left="0" w:leftChars="0" w:firstLine="0" w:firstLineChars="0"/>
        <w:rPr>
          <w:rFonts w:hint="eastAsia"/>
          <w:b/>
          <w:bCs/>
          <w:color w:val="000000" w:themeColor="text1"/>
          <w:sz w:val="21"/>
          <w:szCs w:val="21"/>
          <w14:textFill>
            <w14:solidFill>
              <w14:schemeClr w14:val="tx1"/>
            </w14:solidFill>
          </w14:textFill>
        </w:rPr>
      </w:pPr>
      <w:bookmarkStart w:id="26" w:name="_Toc5073"/>
      <w:r>
        <w:rPr>
          <w:rFonts w:hint="eastAsia"/>
          <w:b/>
          <w:bCs/>
          <w:color w:val="000000" w:themeColor="text1"/>
          <w:sz w:val="21"/>
          <w:szCs w:val="21"/>
          <w:lang w:val="en-US" w:eastAsia="zh-CN"/>
          <w14:textFill>
            <w14:solidFill>
              <w14:schemeClr w14:val="tx1"/>
            </w14:solidFill>
          </w14:textFill>
        </w:rPr>
        <w:t>1.2</w:t>
      </w:r>
      <w:r>
        <w:rPr>
          <w:rFonts w:hint="eastAsia"/>
          <w:b/>
          <w:bCs/>
          <w:color w:val="000000" w:themeColor="text1"/>
          <w:sz w:val="21"/>
          <w:szCs w:val="21"/>
          <w14:textFill>
            <w14:solidFill>
              <w14:schemeClr w14:val="tx1"/>
            </w14:solidFill>
          </w14:textFill>
        </w:rPr>
        <w:t>人员到岗及履约要求</w:t>
      </w:r>
      <w:bookmarkEnd w:id="26"/>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dstrike w:val="0"/>
          <w:color w:val="000000" w:themeColor="text1"/>
          <w:spacing w:val="0"/>
          <w:kern w:val="0"/>
          <w:position w:val="0"/>
          <w:sz w:val="21"/>
          <w:szCs w:val="21"/>
          <w14:textFill>
            <w14:solidFill>
              <w14:schemeClr w14:val="tx1"/>
            </w14:solidFill>
          </w14:textFill>
        </w:rPr>
      </w:pPr>
      <w:r>
        <w:rPr>
          <w:rFonts w:hint="eastAsia" w:asciiTheme="minorEastAsia" w:hAnsiTheme="minorEastAsia" w:eastAsiaTheme="minorEastAsia" w:cstheme="minorEastAsia"/>
          <w:dstrike w:val="0"/>
          <w:color w:val="000000" w:themeColor="text1"/>
          <w:spacing w:val="0"/>
          <w:kern w:val="0"/>
          <w:position w:val="0"/>
          <w:sz w:val="21"/>
          <w:szCs w:val="21"/>
          <w:lang w:val="en-US" w:eastAsia="zh-CN"/>
          <w14:textFill>
            <w14:solidFill>
              <w14:schemeClr w14:val="tx1"/>
            </w14:solidFill>
          </w14:textFill>
        </w:rPr>
        <w:t>1、</w:t>
      </w:r>
      <w:r>
        <w:rPr>
          <w:rFonts w:hint="eastAsia" w:asciiTheme="minorEastAsia" w:hAnsiTheme="minorEastAsia" w:eastAsiaTheme="minorEastAsia" w:cstheme="minorEastAsia"/>
          <w:dstrike w:val="0"/>
          <w:color w:val="000000" w:themeColor="text1"/>
          <w:spacing w:val="0"/>
          <w:kern w:val="0"/>
          <w:position w:val="0"/>
          <w:sz w:val="21"/>
          <w:szCs w:val="21"/>
          <w14:textFill>
            <w14:solidFill>
              <w14:schemeClr w14:val="tx1"/>
            </w14:solidFill>
          </w14:textFill>
        </w:rPr>
        <w:t>投标人一旦中标，比选申请文件中所报的项目总监、各专业监理工程师及监理人员等在整个项目施工期内必须在岗。所有人员每天在岗工作时间不得少于8个小时，每月在现场时间不得少于22天，如未能按照上述要求到岗尽职的，招标人将视情况严重程度对其作出相应处理，给予总监代表（专业监理工程师）1000元/天的</w:t>
      </w:r>
      <w:r>
        <w:rPr>
          <w:rFonts w:hint="eastAsia" w:asciiTheme="minorEastAsia" w:hAnsiTheme="minorEastAsia" w:eastAsiaTheme="minorEastAsia" w:cstheme="minorEastAsia"/>
          <w:dstrike w:val="0"/>
          <w:color w:val="000000" w:themeColor="text1"/>
          <w:spacing w:val="0"/>
          <w:kern w:val="0"/>
          <w:position w:val="0"/>
          <w:sz w:val="21"/>
          <w:szCs w:val="21"/>
          <w:lang w:eastAsia="zh-CN"/>
          <w14:textFill>
            <w14:solidFill>
              <w14:schemeClr w14:val="tx1"/>
            </w14:solidFill>
          </w14:textFill>
        </w:rPr>
        <w:t>违约金</w:t>
      </w:r>
      <w:r>
        <w:rPr>
          <w:rFonts w:hint="eastAsia" w:asciiTheme="minorEastAsia" w:hAnsiTheme="minorEastAsia" w:eastAsiaTheme="minorEastAsia" w:cstheme="minorEastAsia"/>
          <w:dstrike w:val="0"/>
          <w:color w:val="000000" w:themeColor="text1"/>
          <w:spacing w:val="0"/>
          <w:kern w:val="0"/>
          <w:position w:val="0"/>
          <w:sz w:val="21"/>
          <w:szCs w:val="21"/>
          <w14:textFill>
            <w14:solidFill>
              <w14:schemeClr w14:val="tx1"/>
            </w14:solidFill>
          </w14:textFill>
        </w:rPr>
        <w:t>，同时给予警告并发出整改通知。如未按要求及时整改，招标人有权终止合同，引进新的监理单位；并停止支付监理服务费，扣留任何未付的监理服务费、履约保证金等款项，用于补偿招标人的有关损失，同时还将就此向监理单位索赔。</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dstrike w:val="0"/>
          <w:color w:val="000000" w:themeColor="text1"/>
          <w:spacing w:val="0"/>
          <w:kern w:val="0"/>
          <w:position w:val="0"/>
          <w:sz w:val="21"/>
          <w:szCs w:val="21"/>
          <w14:textFill>
            <w14:solidFill>
              <w14:schemeClr w14:val="tx1"/>
            </w14:solidFill>
          </w14:textFill>
        </w:rPr>
      </w:pPr>
      <w:r>
        <w:rPr>
          <w:rFonts w:hint="eastAsia" w:asciiTheme="minorEastAsia" w:hAnsiTheme="minorEastAsia" w:eastAsiaTheme="minorEastAsia" w:cstheme="minorEastAsia"/>
          <w:dstrike w:val="0"/>
          <w:color w:val="000000" w:themeColor="text1"/>
          <w:spacing w:val="0"/>
          <w:kern w:val="0"/>
          <w:position w:val="0"/>
          <w:sz w:val="21"/>
          <w:szCs w:val="21"/>
          <w:lang w:val="en-US" w:eastAsia="zh-CN"/>
          <w14:textFill>
            <w14:solidFill>
              <w14:schemeClr w14:val="tx1"/>
            </w14:solidFill>
          </w14:textFill>
        </w:rPr>
        <w:t>2、</w:t>
      </w:r>
      <w:r>
        <w:rPr>
          <w:rFonts w:hint="eastAsia" w:asciiTheme="minorEastAsia" w:hAnsiTheme="minorEastAsia" w:eastAsiaTheme="minorEastAsia" w:cstheme="minorEastAsia"/>
          <w:dstrike w:val="0"/>
          <w:color w:val="000000" w:themeColor="text1"/>
          <w:spacing w:val="0"/>
          <w:kern w:val="0"/>
          <w:position w:val="0"/>
          <w:sz w:val="21"/>
          <w:szCs w:val="21"/>
          <w14:textFill>
            <w14:solidFill>
              <w14:schemeClr w14:val="tx1"/>
            </w14:solidFill>
          </w14:textFill>
        </w:rPr>
        <w:t>中选人不得擅自更换投标时所报总监及各专业监理工程师。确需更换时，须报经招标人书面同意，更换后人员不得低于中选人投标时所报人员资格。招标人如认为有必要，可要求对上述人员中的部分人员作出更好的调整。若中选人擅自更换总监及各专业监理工程师，招标人有权终止合同。由此造成的损失，中选人自行承担并赔偿可能给招标人造成的损失。</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dstrike w:val="0"/>
          <w:color w:val="000000" w:themeColor="text1"/>
          <w:spacing w:val="0"/>
          <w:kern w:val="0"/>
          <w:position w:val="0"/>
          <w:sz w:val="21"/>
          <w:szCs w:val="21"/>
          <w:lang w:val="en-US" w:eastAsia="zh-CN"/>
          <w14:textFill>
            <w14:solidFill>
              <w14:schemeClr w14:val="tx1"/>
            </w14:solidFill>
          </w14:textFill>
        </w:rPr>
        <w:t>3、</w:t>
      </w:r>
      <w:r>
        <w:rPr>
          <w:rFonts w:hint="eastAsia" w:asciiTheme="minorEastAsia" w:hAnsiTheme="minorEastAsia" w:eastAsiaTheme="minorEastAsia" w:cstheme="minorEastAsia"/>
          <w:dstrike w:val="0"/>
          <w:color w:val="000000" w:themeColor="text1"/>
          <w:spacing w:val="0"/>
          <w:kern w:val="0"/>
          <w:position w:val="0"/>
          <w:sz w:val="21"/>
          <w:szCs w:val="21"/>
          <w14:textFill>
            <w14:solidFill>
              <w14:schemeClr w14:val="tx1"/>
            </w14:solidFill>
          </w14:textFill>
        </w:rPr>
        <w:t>工程施工期间，若发现中选人有挂靠、转包等违规行为，招标人有权终止合同，并没收履约保证金。由此造成的损失，中选人自行承担并赔偿可能给比选人造成的损失。</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p>
    <w:p>
      <w:pPr>
        <w:pStyle w:val="4"/>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27" w:name="_Toc18725"/>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二、商务要求</w:t>
      </w:r>
      <w:bookmarkEnd w:id="2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519"/>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5"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t>序号</w:t>
            </w:r>
          </w:p>
        </w:tc>
        <w:tc>
          <w:tcPr>
            <w:tcW w:w="1519"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t>内容</w:t>
            </w:r>
          </w:p>
        </w:tc>
        <w:tc>
          <w:tcPr>
            <w:tcW w:w="7553"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1"/>
                <w:szCs w:val="21"/>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5"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1</w:t>
            </w:r>
          </w:p>
        </w:tc>
        <w:tc>
          <w:tcPr>
            <w:tcW w:w="1519"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质保期</w:t>
            </w:r>
          </w:p>
        </w:tc>
        <w:tc>
          <w:tcPr>
            <w:tcW w:w="755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5"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2</w:t>
            </w:r>
          </w:p>
        </w:tc>
        <w:tc>
          <w:tcPr>
            <w:tcW w:w="1519"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供货期限</w:t>
            </w:r>
          </w:p>
        </w:tc>
        <w:tc>
          <w:tcPr>
            <w:tcW w:w="755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自合同签订之日起至工程缺陷责任期满为止。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5"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3</w:t>
            </w:r>
          </w:p>
        </w:tc>
        <w:tc>
          <w:tcPr>
            <w:tcW w:w="1519"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售后服务</w:t>
            </w:r>
          </w:p>
        </w:tc>
        <w:tc>
          <w:tcPr>
            <w:tcW w:w="755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按照</w:t>
            </w:r>
            <w:r>
              <w:rPr>
                <w:rFonts w:hint="eastAsia" w:ascii="宋体" w:hAnsi="宋体" w:cs="宋体"/>
                <w:b w:val="0"/>
                <w:bCs w:val="0"/>
                <w:snapToGrid w:val="0"/>
                <w:color w:val="000000" w:themeColor="text1"/>
                <w:kern w:val="0"/>
                <w:sz w:val="21"/>
                <w:szCs w:val="21"/>
                <w:highlight w:val="none"/>
                <w:lang w:eastAsia="zh-CN"/>
                <w14:textFill>
                  <w14:solidFill>
                    <w14:schemeClr w14:val="tx1"/>
                  </w14:solidFill>
                </w14:textFill>
              </w:rPr>
              <w:t>响应</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文件售后服务方案进行售后，</w:t>
            </w:r>
            <w:r>
              <w:rPr>
                <w:rFonts w:hint="eastAsia" w:ascii="宋体" w:hAnsi="宋体" w:eastAsia="宋体" w:cs="宋体"/>
                <w:b w:val="0"/>
                <w:bCs w:val="0"/>
                <w:snapToGrid w:val="0"/>
                <w:color w:val="000000" w:themeColor="text1"/>
                <w:kern w:val="0"/>
                <w:sz w:val="21"/>
                <w:szCs w:val="21"/>
                <w:highlight w:val="none"/>
                <w:lang w:val="en-US" w:eastAsia="zh-CN"/>
                <w14:textFill>
                  <w14:solidFill>
                    <w14:schemeClr w14:val="tx1"/>
                  </w14:solidFill>
                </w14:textFill>
              </w:rPr>
              <w:t>且满足招标人要求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5"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4</w:t>
            </w:r>
          </w:p>
        </w:tc>
        <w:tc>
          <w:tcPr>
            <w:tcW w:w="1519"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包装要求（货物）</w:t>
            </w:r>
          </w:p>
        </w:tc>
        <w:tc>
          <w:tcPr>
            <w:tcW w:w="755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val="0"/>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val="0"/>
                <w:bCs w:val="0"/>
                <w:snapToGrid w:val="0"/>
                <w:color w:val="000000" w:themeColor="text1"/>
                <w:kern w:val="0"/>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5"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5</w:t>
            </w:r>
          </w:p>
        </w:tc>
        <w:tc>
          <w:tcPr>
            <w:tcW w:w="1519"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验收</w:t>
            </w:r>
          </w:p>
        </w:tc>
        <w:tc>
          <w:tcPr>
            <w:tcW w:w="755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由</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5"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000000" w:themeColor="text1"/>
                <w:spacing w:val="0"/>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6</w:t>
            </w:r>
          </w:p>
        </w:tc>
        <w:tc>
          <w:tcPr>
            <w:tcW w:w="1519"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付款</w:t>
            </w:r>
          </w:p>
        </w:tc>
        <w:tc>
          <w:tcPr>
            <w:tcW w:w="755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付款人：</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皖北卫生职业学院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付款方式：</w:t>
            </w:r>
            <w:r>
              <w:rPr>
                <w:rFonts w:hint="eastAsia" w:ascii="宋体" w:hAnsi="宋体" w:cs="宋体"/>
                <w:b w:val="0"/>
                <w:bCs w:val="0"/>
                <w:snapToGrid w:val="0"/>
                <w:color w:val="000000" w:themeColor="text1"/>
                <w:kern w:val="0"/>
                <w:sz w:val="21"/>
                <w:szCs w:val="21"/>
                <w:highlight w:val="none"/>
                <w:lang w:eastAsia="zh-CN"/>
                <w14:textFill>
                  <w14:solidFill>
                    <w14:schemeClr w14:val="tx1"/>
                  </w14:solidFill>
                </w14:textFill>
              </w:rPr>
              <w:t>全部工程完工</w:t>
            </w:r>
            <w:r>
              <w:rPr>
                <w:rFonts w:hint="eastAsia" w:ascii="宋体" w:hAnsi="宋体" w:cs="宋体"/>
                <w:b w:val="0"/>
                <w:bCs w:val="0"/>
                <w:snapToGrid w:val="0"/>
                <w:color w:val="000000" w:themeColor="text1"/>
                <w:kern w:val="0"/>
                <w:sz w:val="21"/>
                <w:szCs w:val="21"/>
                <w:highlight w:val="none"/>
                <w:lang w:val="en-US" w:eastAsia="zh-CN"/>
                <w14:textFill>
                  <w14:solidFill>
                    <w14:schemeClr w14:val="tx1"/>
                  </w14:solidFill>
                </w14:textFill>
              </w:rPr>
              <w:t>并提交相关监理资料</w:t>
            </w:r>
            <w:r>
              <w:rPr>
                <w:rFonts w:hint="eastAsia" w:ascii="宋体" w:hAnsi="宋体" w:cs="宋体"/>
                <w:b w:val="0"/>
                <w:bCs w:val="0"/>
                <w:snapToGrid w:val="0"/>
                <w:color w:val="000000" w:themeColor="text1"/>
                <w:kern w:val="0"/>
                <w:sz w:val="21"/>
                <w:szCs w:val="21"/>
                <w:highlight w:val="none"/>
                <w:lang w:eastAsia="zh-CN"/>
                <w14:textFill>
                  <w14:solidFill>
                    <w14:schemeClr w14:val="tx1"/>
                  </w14:solidFill>
                </w14:textFill>
              </w:rPr>
              <w:t>后付至合同款的80%，竣工验收合格并经审计后付至合同款的100%</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5"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default"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7</w:t>
            </w:r>
          </w:p>
        </w:tc>
        <w:tc>
          <w:tcPr>
            <w:tcW w:w="1519" w:type="dxa"/>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履约保证金</w:t>
            </w:r>
          </w:p>
        </w:tc>
        <w:tc>
          <w:tcPr>
            <w:tcW w:w="7553"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签订合同前向采购人缴纳合同金额</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的履约保证金。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履约保证金形式： 转账、电汇、保函。</w:t>
            </w: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28" w:name="_Toc4124"/>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第四章 资格性和符合性审查</w:t>
      </w:r>
      <w:bookmarkEnd w:id="28"/>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29" w:name="_Toc693"/>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一、资格性审查表</w:t>
      </w:r>
      <w:bookmarkEnd w:id="2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2751"/>
        <w:gridCol w:w="3455"/>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序号</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指标名称</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指标要求</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营业执照</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企业法人营业执照合法有效</w:t>
            </w:r>
          </w:p>
        </w:tc>
        <w:tc>
          <w:tcPr>
            <w:tcW w:w="2890" w:type="dxa"/>
            <w:vMerge w:val="restart"/>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提供有效的营业执照和税务登记证的（接受合一的证书），应完整的体现出营业执照和税务登记证的全部内容。联合体谈判采购的，联合体各方均须提供。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税务登记证</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合法有效</w:t>
            </w:r>
          </w:p>
        </w:tc>
        <w:tc>
          <w:tcPr>
            <w:tcW w:w="2890" w:type="dxa"/>
            <w:vMerge w:val="continue"/>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财务状况</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财务状况声明函</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供应商</w:t>
            </w:r>
            <w:r>
              <w:rPr>
                <w:rFonts w:hint="eastAsia" w:ascii="宋体" w:hAnsi="宋体"/>
                <w:color w:val="000000" w:themeColor="text1"/>
                <w:kern w:val="0"/>
                <w:szCs w:val="21"/>
                <w:highlight w:val="none"/>
                <w14:textFill>
                  <w14:solidFill>
                    <w14:schemeClr w14:val="tx1"/>
                  </w14:solidFill>
                </w14:textFill>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4</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依法缴纳税收</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依法缴纳税收的声明函</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供应商</w:t>
            </w:r>
            <w:r>
              <w:rPr>
                <w:rFonts w:hint="eastAsia" w:ascii="宋体" w:hAnsi="宋体"/>
                <w:color w:val="000000" w:themeColor="text1"/>
                <w:kern w:val="0"/>
                <w:szCs w:val="21"/>
                <w:highlight w:val="none"/>
                <w14:textFill>
                  <w14:solidFill>
                    <w14:schemeClr w14:val="tx1"/>
                  </w14:solidFill>
                </w14:textFill>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5</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依法缴纳社会保障资金</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依法缴纳社会保障资金的声明函</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供应商</w:t>
            </w:r>
            <w:r>
              <w:rPr>
                <w:rFonts w:hint="eastAsia" w:ascii="宋体" w:hAnsi="宋体"/>
                <w:color w:val="000000" w:themeColor="text1"/>
                <w:kern w:val="0"/>
                <w:szCs w:val="21"/>
                <w:highlight w:val="none"/>
                <w14:textFill>
                  <w14:solidFill>
                    <w14:schemeClr w14:val="tx1"/>
                  </w14:solidFill>
                </w14:textFill>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6</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具备履行合同所必须的设备和专业技术能力</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具备</w:t>
            </w:r>
            <w:r>
              <w:rPr>
                <w:rFonts w:hint="eastAsia" w:ascii="宋体" w:hAnsi="宋体"/>
                <w:color w:val="000000" w:themeColor="text1"/>
                <w:kern w:val="0"/>
                <w:szCs w:val="21"/>
                <w:highlight w:val="none"/>
                <w14:textFill>
                  <w14:solidFill>
                    <w14:schemeClr w14:val="tx1"/>
                  </w14:solidFill>
                </w14:textFill>
              </w:rPr>
              <w:t>履行合同所必须的设备和专业技术能力</w:t>
            </w:r>
            <w:r>
              <w:rPr>
                <w:rFonts w:hint="eastAsia" w:ascii="宋体" w:hAnsi="宋体"/>
                <w:color w:val="000000" w:themeColor="text1"/>
                <w:kern w:val="0"/>
                <w:szCs w:val="21"/>
                <w:highlight w:val="none"/>
                <w:lang w:val="en-US" w:eastAsia="zh-CN"/>
                <w14:textFill>
                  <w14:solidFill>
                    <w14:schemeClr w14:val="tx1"/>
                  </w14:solidFill>
                </w14:textFill>
              </w:rPr>
              <w:t>声明函</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right="-10" w:right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供应商</w:t>
            </w:r>
            <w:r>
              <w:rPr>
                <w:rFonts w:hint="eastAsia" w:ascii="宋体" w:hAnsi="宋体"/>
                <w:color w:val="000000" w:themeColor="text1"/>
                <w:kern w:val="0"/>
                <w:szCs w:val="21"/>
                <w:highlight w:val="none"/>
                <w14:textFill>
                  <w14:solidFill>
                    <w14:schemeClr w14:val="tx1"/>
                  </w14:solidFill>
                </w14:textFill>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7</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谈判保证金</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符合谈判文件供应人须知前附表要求</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8</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谈判响应书</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符合谈判文件要求</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9</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法定代表人授权委托书和身份证明书</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符合谈判文件要求</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法人代表参加谈判的无需授权委托书，提供身份证明书即可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10</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投标情况</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供应商须在网上下载谈判文件，</w:t>
            </w:r>
            <w:r>
              <w:rPr>
                <w:rFonts w:hint="eastAsia" w:asciiTheme="minorEastAsia" w:hAnsiTheme="minorEastAsia" w:eastAsiaTheme="minorEastAsia" w:cstheme="minorEastAsia"/>
                <w:color w:val="000000" w:themeColor="text1"/>
                <w:spacing w:val="0"/>
                <w:kern w:val="0"/>
                <w:szCs w:val="21"/>
                <w:highlight w:val="none"/>
                <w:lang w:eastAsia="zh-CN"/>
                <w14:textFill>
                  <w14:solidFill>
                    <w14:schemeClr w14:val="tx1"/>
                  </w14:solidFill>
                </w14:textFill>
              </w:rPr>
              <w:t>并参与报名</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，否则其提交的谈判响应文件将被视为无效</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11</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信誉要求</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竞争性谈判公告第二.3条要求</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749"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12</w:t>
            </w:r>
          </w:p>
        </w:tc>
        <w:tc>
          <w:tcPr>
            <w:tcW w:w="2816"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lang w:eastAsia="zh-CN"/>
                <w14:textFill>
                  <w14:solidFill>
                    <w14:schemeClr w14:val="tx1"/>
                  </w14:solidFill>
                </w14:textFill>
              </w:rPr>
              <w:t>投标供应商资格</w:t>
            </w:r>
          </w:p>
        </w:tc>
        <w:tc>
          <w:tcPr>
            <w:tcW w:w="3533"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竞争性谈判公告第二.</w:t>
            </w: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条要求</w:t>
            </w:r>
          </w:p>
        </w:tc>
        <w:tc>
          <w:tcPr>
            <w:tcW w:w="2890" w:type="dxa"/>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提供相关证明材料</w:t>
            </w: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0" w:name="_Toc25625"/>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二、符合性审查表</w:t>
      </w:r>
      <w:bookmarkEnd w:id="30"/>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tbl>
      <w:tblPr>
        <w:tblStyle w:val="10"/>
        <w:tblW w:w="0" w:type="auto"/>
        <w:jc w:val="center"/>
        <w:tblLayout w:type="autofit"/>
        <w:tblCellMar>
          <w:top w:w="0" w:type="dxa"/>
          <w:left w:w="0" w:type="dxa"/>
          <w:bottom w:w="0" w:type="dxa"/>
          <w:right w:w="0" w:type="dxa"/>
        </w:tblCellMar>
      </w:tblPr>
      <w:tblGrid>
        <w:gridCol w:w="971"/>
        <w:gridCol w:w="2932"/>
        <w:gridCol w:w="2933"/>
        <w:gridCol w:w="2933"/>
      </w:tblGrid>
      <w:tr>
        <w:tblPrEx>
          <w:tblCellMar>
            <w:top w:w="0" w:type="dxa"/>
            <w:left w:w="0" w:type="dxa"/>
            <w:bottom w:w="0" w:type="dxa"/>
            <w:right w:w="0" w:type="dxa"/>
          </w:tblCellMar>
        </w:tblPrEx>
        <w:trPr>
          <w:trHeight w:val="1134" w:hRule="atLeast"/>
          <w:jc w:val="center"/>
        </w:trPr>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序号</w:t>
            </w:r>
          </w:p>
        </w:tc>
        <w:tc>
          <w:tcPr>
            <w:tcW w:w="2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指标名称</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指标要求</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备注</w:t>
            </w:r>
          </w:p>
        </w:tc>
      </w:tr>
      <w:tr>
        <w:tblPrEx>
          <w:tblCellMar>
            <w:top w:w="0" w:type="dxa"/>
            <w:left w:w="0" w:type="dxa"/>
            <w:bottom w:w="0" w:type="dxa"/>
            <w:right w:w="0" w:type="dxa"/>
          </w:tblCellMar>
        </w:tblPrEx>
        <w:trPr>
          <w:trHeight w:val="1417" w:hRule="atLeast"/>
          <w:jc w:val="center"/>
        </w:trPr>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w:t>
            </w:r>
          </w:p>
        </w:tc>
        <w:tc>
          <w:tcPr>
            <w:tcW w:w="2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技术要求响应情况</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货物服务清单及技术要求响应</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符合谈判文件要求</w:t>
            </w:r>
          </w:p>
        </w:tc>
      </w:tr>
      <w:tr>
        <w:tblPrEx>
          <w:tblCellMar>
            <w:top w:w="0" w:type="dxa"/>
            <w:left w:w="0" w:type="dxa"/>
            <w:bottom w:w="0" w:type="dxa"/>
            <w:right w:w="0" w:type="dxa"/>
          </w:tblCellMar>
        </w:tblPrEx>
        <w:trPr>
          <w:trHeight w:val="1417" w:hRule="atLeast"/>
          <w:jc w:val="center"/>
        </w:trPr>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w:t>
            </w:r>
          </w:p>
        </w:tc>
        <w:tc>
          <w:tcPr>
            <w:tcW w:w="2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商务要求响应情况</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付款响应、交货及安装调试期响应、质保期响应等。</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符合谈判文件要求</w:t>
            </w:r>
          </w:p>
        </w:tc>
      </w:tr>
      <w:tr>
        <w:tblPrEx>
          <w:tblCellMar>
            <w:top w:w="0" w:type="dxa"/>
            <w:left w:w="0" w:type="dxa"/>
            <w:bottom w:w="0" w:type="dxa"/>
            <w:right w:w="0" w:type="dxa"/>
          </w:tblCellMar>
        </w:tblPrEx>
        <w:trPr>
          <w:trHeight w:val="1417" w:hRule="atLeast"/>
          <w:jc w:val="center"/>
        </w:trPr>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w:t>
            </w:r>
          </w:p>
        </w:tc>
        <w:tc>
          <w:tcPr>
            <w:tcW w:w="2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标书规范性</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符合谈判采购文件要求（按照规定的要求进行编制、标记和签署）</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1417" w:hRule="atLeast"/>
          <w:jc w:val="center"/>
        </w:trPr>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4</w:t>
            </w:r>
          </w:p>
        </w:tc>
        <w:tc>
          <w:tcPr>
            <w:tcW w:w="2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谈判响应函</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符合谈判文件要求</w:t>
            </w:r>
          </w:p>
        </w:tc>
        <w:tc>
          <w:tcPr>
            <w:tcW w:w="2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pStyle w:val="2"/>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bookmarkStart w:id="31" w:name="_Toc9551"/>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谈判文件第二部分（通用部分）</w:t>
      </w:r>
      <w:bookmarkEnd w:id="31"/>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2" w:name="_Toc16057"/>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第五章</w:t>
      </w:r>
      <w:r>
        <w:rPr>
          <w:rFonts w:hint="eastAsia" w:asciiTheme="minorEastAsia" w:hAnsiTheme="minorEastAsia" w:eastAsiaTheme="minorEastAsia" w:cstheme="minorEastAsia"/>
          <w:color w:val="000000" w:themeColor="text1"/>
          <w:spacing w:val="0"/>
          <w:kern w:val="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供应商须知</w:t>
      </w:r>
      <w:bookmarkEnd w:id="32"/>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3" w:name="_Toc29640"/>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一、总则</w:t>
      </w:r>
      <w:bookmarkEnd w:id="3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1、适用范围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1.1本文件是根据《中华人民共和国政府采购法》等相关法律、法规制订。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1.2凡在宿州市从事货物服务政府采购竞争性谈判项目，均须使用本范本。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1.3本谈判文件的最终解释权归采购人所有。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2、定义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2.1货物服务：既是指本范本适用于货物采购或服务采购，也是指货物采购所伴随的服务或服务采购中伴随的货物采购。</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2.2采购单位：是指具体负责和从事采购业务的集中采购机构、社会中介代理机构和采购人的总称。</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3、供应商要求：</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3.1 供应商资格要求详见竞争性谈判公告。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3.4、中小微企业参与政府采购活动的，应当提供《中小企业声明函》原件。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根据《政府采购促进中小企业发展管理办法》（财库[2020]46号）的规定，对小型和微型企业的最后报价给予</w:t>
      </w:r>
      <w:r>
        <w:rPr>
          <w:rFonts w:hint="eastAsia" w:asciiTheme="minorEastAsia" w:hAnsiTheme="minorEastAsia" w:eastAsiaTheme="minorEastAsia" w:cstheme="minorEastAsia"/>
          <w:b/>
          <w:bCs/>
          <w:color w:val="000000" w:themeColor="text1"/>
          <w:spacing w:val="0"/>
          <w:kern w:val="0"/>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（一）货物采购项目中，货物由中小企业制造，即货物由中小企业生产且使用该中小企业商号或者注册商标；</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货物采购项目中，供应商提供的货物既有中小企业制造货物，也有大型企业制造货物的，不享受价格扣除参与评审政策。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（二）工程采购项目中，工程由中小企业承建，即工程施工单位为中小企业；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（三）服务采购项目中，服务由中小企业承接，即提供服务的人员为中小企业依照《中华人民共和国劳动合同法》订立劳动合同的从业人员。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大中型企业与小微企业组成联合体共同参加非专门面向中小企业的政府采购活动的，联合体投标协议中约定，小型、微型企业的协议合同金额占到联合体投标协议合同总金额30%以上的，可给予联合体</w:t>
      </w:r>
      <w:r>
        <w:rPr>
          <w:rFonts w:hint="eastAsia" w:asciiTheme="minorEastAsia" w:hAnsiTheme="minorEastAsia" w:eastAsiaTheme="minorEastAsia" w:cstheme="minorEastAsia"/>
          <w:b/>
          <w:bCs/>
          <w:color w:val="000000" w:themeColor="text1"/>
          <w:spacing w:val="0"/>
          <w:kern w:val="0"/>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%（工程项目为</w:t>
      </w:r>
      <w:r>
        <w:rPr>
          <w:rFonts w:hint="eastAsia" w:asciiTheme="minorEastAsia" w:hAnsiTheme="minorEastAsia" w:eastAsiaTheme="minorEastAsia" w:cstheme="minorEastAsia"/>
          <w:b/>
          <w:bCs/>
          <w:color w:val="000000" w:themeColor="text1"/>
          <w:spacing w:val="0"/>
          <w:kern w:val="0"/>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%）的价格扣除。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0"/>
          <w:kern w:val="0"/>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监狱企业参加政府采购活动的，</w:t>
      </w: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应提供由省级以上监狱管理局、戒毒管理局（含新疆生产建设兵团）出具属于监狱企业的证明文件复印件。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根据《关于政府采购支持监狱企业发展有关问题的通知》（财库[2014]68号）的规定，对监狱企业的最后报价给予</w:t>
      </w:r>
      <w:permStart w:id="0" w:edGrp="everyone"/>
      <w:r>
        <w:rPr>
          <w:rFonts w:hint="eastAsia" w:asciiTheme="minorEastAsia" w:hAnsiTheme="minorEastAsia" w:eastAsiaTheme="minorEastAsia" w:cstheme="minorEastAsia"/>
          <w:b/>
          <w:bCs/>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0"/>
          <w:kern w:val="0"/>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highlight w:val="none"/>
          <w:u w:val="single"/>
          <w14:textFill>
            <w14:solidFill>
              <w14:schemeClr w14:val="tx1"/>
            </w14:solidFill>
          </w14:textFill>
        </w:rPr>
        <w:t xml:space="preserve"> </w:t>
      </w:r>
      <w:permEnd w:id="0"/>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监</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狱企业</w:t>
      </w: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属于小型、微型企业的，不重复享受政策。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0"/>
          <w:kern w:val="0"/>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残疾人福利性单位参加政府采购活动的应当提供《残疾人福利性单位声明函》原件</w:t>
      </w:r>
      <w:r>
        <w:rPr>
          <w:rFonts w:hint="eastAsia" w:asciiTheme="minorEastAsia" w:hAnsiTheme="minorEastAsia" w:eastAsiaTheme="minorEastAsia" w:cstheme="minorEastAsia"/>
          <w:color w:val="000000" w:themeColor="text1"/>
          <w:spacing w:val="0"/>
          <w:kern w:val="0"/>
          <w:sz w:val="24"/>
          <w:szCs w:val="24"/>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根据《三部门联合发布关于促进残疾人就业政府采购政策的通知》（财库[2017]141号）的规定，残疾人福利性单位视同小型和微型企业，对残疾人福利性单位的最后价格给予</w:t>
      </w:r>
      <w:permStart w:id="1" w:edGrp="everyone"/>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0"/>
          <w:kern w:val="0"/>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highlight w:val="none"/>
          <w:u w:val="single"/>
          <w14:textFill>
            <w14:solidFill>
              <w14:schemeClr w14:val="tx1"/>
            </w14:solidFill>
          </w14:textFill>
        </w:rPr>
        <w:t xml:space="preserve"> </w:t>
      </w:r>
      <w:permEnd w:id="1"/>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的价格扣除，用扣除后的价格参与评审。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lang w:val="zh-CN"/>
          <w14:textFill>
            <w14:solidFill>
              <w14:schemeClr w14:val="tx1"/>
            </w14:solidFill>
          </w14:textFill>
        </w:rPr>
        <w:t>残疾人福利性单位属于小型、微型企业的，不重复享受政策。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4、供应商参与谈判活动的费用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供应商必须自行承担所有与参加政府采购活动的有关费用。不论结果如何，采购单位在任何情况下均无义务和责任承担这些费用。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5、保密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参与政府采购活动的各方主体应对谈判文件和谈判响应文件中的商业和技术等秘密保密，违者应对由此造成的后果承担法律责任。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6、语言文字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谈判及谈判响应文件使用的语言文字、以及供应商与采购单位就谈判相关事项的所有往来函电均须使用简体中文（部分专用术语需使用外文的除外）。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7、计量单位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所有计量均采用中华人民共和国法定计量单位。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8、勘察现场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采购单位根据项目的具体情况，可以组织潜在供应商现场考察或者召开开标前答疑会，但不得单独或者分别组织只有一个供应商参加的现场考察。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9、偏离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谈判文件允许谈判响应文件偏离某些要求的，偏离应当符合谈判文件规定的偏离范围和幅度。</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4" w:name="_Toc18273"/>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二、竞争性谈判文件</w:t>
      </w:r>
      <w:bookmarkEnd w:id="34"/>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10、竞争性谈判文件构成</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10.1竞争性谈判文件包括：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第一章</w:t>
      </w: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竞争性谈判公告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第二章</w:t>
      </w: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供应商须知前附表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第三章</w:t>
      </w: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货物服务要求/项目要求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第四章</w:t>
      </w: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资格性和符合性评审表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第五章</w:t>
      </w: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供应商须知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第六章</w:t>
      </w: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合同格式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第七章</w:t>
      </w:r>
      <w:r>
        <w:rPr>
          <w:rFonts w:hint="eastAsia" w:asciiTheme="minorEastAsia" w:hAnsiTheme="minorEastAsia" w:eastAsiaTheme="minorEastAsia" w:cstheme="minorEastAsia"/>
          <w:color w:val="000000" w:themeColor="text1"/>
          <w:spacing w:val="0"/>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10.2供应商应认真阅读和充分理解竞争性谈判文件中所有的内容。如果其谈判响应文件没有满足竞争性谈判文件的有关要求，其风险由供应商自行承担。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11、竞争性谈判文件的澄清和修改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11.1供应商可以要求采购单位对竞争性谈判文件中的有关问题进行答疑、澄清。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11.2采购人、代理机构或者谈判小组在提交首次谈判响应文件截止时间前可以对已发出的竞争性谈判文件进行必要的澄清或者修改，澄清或修改将在本项目发布媒介公布，但不指明问题的来源，所有潜在供应商均有义务自行查看该澄清或修改的内容。采购人、代理机构或者谈判小组对竞争性谈判文件进行澄清或者修改的内容作为谈判文件的组成部分，澄清或者修改的内容可能影响响应文件编制的，采购人、代理机构或者谈判小组应当在提交首次谈判响应文件截止之日3个工作日前公布，不足3个工作日的，应当顺延提交响应文件截止之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12、竞争性谈判文件的的质疑和答复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12.1潜在供应商已依法获取本谈判文件的（应提供依法获取谈判文件的证明材料），可以对本谈判文件提出质疑。质疑应当在提交响应文件截止之日前以书面形式向采购人或代理机构提出，质疑函的内容应包括《政府采购质疑和投诉办法》（财政部令第94号）第十二条规定的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12.2供应商对谈判文件有质疑的，应在法定质疑期内一次性提出，采购人或代理机构不再接受同一供应商针对同一谈判文件提出的再次质疑（对同一质疑的补充除外）。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12.3采购人或代理机构应当在收到质疑后，如质疑的内容可能影响响应文件编制的，在提交响应文件截止之日3个工作日前做出答复，不足3个工作日的，应当顺延提交响应文件截止之日。答复内容将在本项目发布媒介公布，所有获取谈判文件的潜在供应商均有义务自行查看该答复内容。</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5" w:name="_Toc20532"/>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三、谈判响应文件的编制</w:t>
      </w:r>
      <w:bookmarkEnd w:id="35"/>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13、谈判响应文件构成</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13.1谈判响应文件由谈判响应函、货物服务报价表、商务要求响应情况表、技术规格响应表、货物服务技术方案、资格证明文件等。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13.1.1证明供应商合格的资格文件，应包括谈判文件要求的证明其有资格参加谈判，以及成交后有能力履行合同所必需的生产、技术、服务和财务管理等方面能力的证明文件。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13.1.2所有货物（包括零部件）须为全新的、未使用过的原装正品。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13.2供应商必须对其谈判响应文件的真实性与准确性负责。一旦成交，其谈判响应文件将作为合同的重要组成部分。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13.3供应商应在谈判响应文件中体现本文件要求的内容。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14、谈判报价</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14.1本项目只允许有一个方案、一个报价。多方案、多报价的响应文件将不被接受。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14.2货物类项目适用：谈判总报价应包括采购产品以及采购产品产生的采购、运输、人工、安装、售后、验收、税费、公证费、代理费等所有费用，即为履行合同的最终价格。</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服务类、工程类项目适用：谈判总报价应包括完成本项目的所有费用、税费、公证费、代理费等所有费用，即为履行合同的最终价格。</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14.3货物类项目适用：货物服务分项报价表上应清楚地标明供应商拟提供货物的名称、型号、数量、单价（含采购产品所产生的采购、运输、人工、安装、售后、验收、税费等）、总价等内容，其合计价格应与谈判响应函中的谈判总报价保持一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服务类、工程类项目适用：服务分项报价表上应清楚地标明供应商拟提供的服务或工程费用等内容，其合计价格应与谈判响应函中的谈判总报价保持一致。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14.4供应商谈判的货币为人民币。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15、谈判响应保证金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15.1供应商在提交谈判响应文件前，应按规定的时间、金额和形式提交谈判响应保证金（详见竞争性谈判公告）。联合体参与谈判的，其谈判响应保证金由牵头人提交，并应符合供应商须知前附表的规定。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15.2供应商不按要求（详见竞争性谈判公告）提交谈判响应保证金的，将被拒绝参与，谈判评标委员会将否决其参与谈判。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15.3谈判响应保证金的退还：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15.3.1成交供应商的谈判响应保证金，在采购合同签订之日起5个工作日内退还。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15.3.2未成交供应商的谈判响应保证金，自成交通知书发出之日起5个工作日内退还。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15.3.3政府采购项目有质疑、投诉的，成交供应商候选人、提出质疑的供应商及投诉人的谈判保证金在质疑、投诉处理后，按相关规定办理。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15.4有下列情形之一的，不予退还其交纳的谈判响应保证金；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15.4.1供应商在规定的采购有效期内撤销其谈判响应文件或放弃成交人候选资格的；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15.4.2成交人在收到成交通知书后，无正当理由拒签合同协议书或未按谈判文件规定提交履约担保；</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15.4.3提供虚假材料等违法、违规行为被查实的。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16、谈判采购有效期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16.1谈判采购有效期在“供应商须知前附表”中有明确的规定。供应商如未就此提出异议，则视同接受；如承诺的谈判有效期短于此规定时间的，将被视为非响应性参与谈判而予以拒绝。</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16.2在特殊情况下，采购单位可于原谈判采购有效期满之前，向供应商提出延长谈判采购有效期的要求。供应商同意延长的，应相应延长其谈判保证金的有效期，但不得要求或被允许修改或撤销其谈判响应文件。供应商拒绝延长的，可以书面形式拒绝采购单位的这种要求而不失去其谈判保证金。如在规定的时间内未提出书面意见表示拒绝，将视为同意延长谈判采购有效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16.3在谈判采购有效期内，供应商撤销或修改其谈判响应文件的，应承担责任。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17、谈判响应文件签署</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除特别说明外，本文件要求供应商盖章或者法定代表人签字处，均需加盖供应商签章或者法定代表人签章。被授权人签字的，还需附法定代表人授权委托书。</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6" w:name="_Toc22292"/>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四、谈判响应文件的提交</w:t>
      </w:r>
      <w:bookmarkEnd w:id="3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18、谈判响应文件的标记和装订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18.1</w:t>
      </w:r>
      <w:r>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响应文件(纸质版)正本、副本封面标有“正本”或“ 副本”字样，胶装装订，</w:t>
      </w:r>
      <w:r>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t>文件</w:t>
      </w: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封面加盖公章。</w:t>
      </w:r>
      <w:r>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t>响应文件正本、副本</w:t>
      </w: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密封封装在一个封套内，封套加盖供应商公章及法定代表人签名或盖章（或代理人签名）</w:t>
      </w:r>
      <w:r>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电子版</w:t>
      </w:r>
      <w:r>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t>响应文件（</w:t>
      </w: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U盘</w:t>
      </w:r>
      <w:r>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单独密封在</w:t>
      </w:r>
      <w:r>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t>一个</w:t>
      </w: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封套</w:t>
      </w:r>
      <w:r>
        <w:rPr>
          <w:rFonts w:hint="eastAsia" w:asciiTheme="minorEastAsia" w:hAnsiTheme="minorEastAsia" w:eastAsiaTheme="minorEastAsia" w:cstheme="minorEastAsia"/>
          <w:b/>
          <w:bCs/>
          <w:color w:val="000000" w:themeColor="text1"/>
          <w:spacing w:val="0"/>
          <w:kern w:val="0"/>
          <w:szCs w:val="21"/>
          <w:highlight w:val="none"/>
          <w:lang w:eastAsia="zh-CN"/>
          <w14:textFill>
            <w14:solidFill>
              <w14:schemeClr w14:val="tx1"/>
            </w14:solidFill>
          </w14:textFill>
        </w:rPr>
        <w:t>内，</w:t>
      </w: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封套加盖供应商公章及法定代表人签名或盖章（或代理人签名）。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val="0"/>
          <w:bCs w:val="0"/>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Cs w:val="21"/>
          <w:highlight w:val="none"/>
          <w:lang w:eastAsia="zh-CN"/>
          <w14:textFill>
            <w14:solidFill>
              <w14:schemeClr w14:val="tx1"/>
            </w14:solidFill>
          </w14:textFill>
        </w:rPr>
        <w:t>谈判</w:t>
      </w:r>
      <w:r>
        <w:rPr>
          <w:rFonts w:hint="eastAsia" w:asciiTheme="minorEastAsia" w:hAnsiTheme="minorEastAsia" w:eastAsiaTheme="minorEastAsia" w:cstheme="minorEastAsia"/>
          <w:b w:val="0"/>
          <w:bCs w:val="0"/>
          <w:color w:val="000000" w:themeColor="text1"/>
          <w:spacing w:val="0"/>
          <w:kern w:val="0"/>
          <w:szCs w:val="21"/>
          <w:highlight w:val="none"/>
          <w14:textFill>
            <w14:solidFill>
              <w14:schemeClr w14:val="tx1"/>
            </w14:solidFill>
          </w14:textFill>
        </w:rPr>
        <w:t>响应文件包装袋上必须清楚写明项目的名称、项目编号、包号及包名（如果项目分有多个包）、供应商全称。</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val="0"/>
          <w:bCs w:val="0"/>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Cs w:val="21"/>
          <w:highlight w:val="none"/>
          <w14:textFill>
            <w14:solidFill>
              <w14:schemeClr w14:val="tx1"/>
            </w14:solidFill>
          </w14:textFill>
        </w:rPr>
        <w:t>18.2如果项目分有多个包，供应商可以参与其中的一个或几个包的</w:t>
      </w:r>
      <w:r>
        <w:rPr>
          <w:rFonts w:hint="eastAsia" w:asciiTheme="minorEastAsia" w:hAnsiTheme="minorEastAsia" w:eastAsiaTheme="minorEastAsia" w:cstheme="minorEastAsia"/>
          <w:b w:val="0"/>
          <w:bCs w:val="0"/>
          <w:color w:val="000000" w:themeColor="text1"/>
          <w:spacing w:val="0"/>
          <w:kern w:val="0"/>
          <w:szCs w:val="21"/>
          <w:highlight w:val="none"/>
          <w:lang w:eastAsia="zh-CN"/>
          <w14:textFill>
            <w14:solidFill>
              <w14:schemeClr w14:val="tx1"/>
            </w14:solidFill>
          </w14:textFill>
        </w:rPr>
        <w:t>谈判</w:t>
      </w:r>
      <w:r>
        <w:rPr>
          <w:rFonts w:hint="eastAsia" w:asciiTheme="minorEastAsia" w:hAnsiTheme="minorEastAsia" w:eastAsiaTheme="minorEastAsia" w:cstheme="minorEastAsia"/>
          <w:b w:val="0"/>
          <w:bCs w:val="0"/>
          <w:color w:val="000000" w:themeColor="text1"/>
          <w:spacing w:val="0"/>
          <w:kern w:val="0"/>
          <w:szCs w:val="21"/>
          <w:highlight w:val="none"/>
          <w14:textFill>
            <w14:solidFill>
              <w14:schemeClr w14:val="tx1"/>
            </w14:solidFill>
          </w14:textFill>
        </w:rPr>
        <w:t>，但必须以包为单位分别编写</w:t>
      </w:r>
      <w:r>
        <w:rPr>
          <w:rFonts w:hint="eastAsia" w:asciiTheme="minorEastAsia" w:hAnsiTheme="minorEastAsia" w:eastAsiaTheme="minorEastAsia" w:cstheme="minorEastAsia"/>
          <w:b w:val="0"/>
          <w:bCs w:val="0"/>
          <w:color w:val="000000" w:themeColor="text1"/>
          <w:spacing w:val="0"/>
          <w:kern w:val="0"/>
          <w:szCs w:val="21"/>
          <w:highlight w:val="none"/>
          <w:lang w:eastAsia="zh-CN"/>
          <w14:textFill>
            <w14:solidFill>
              <w14:schemeClr w14:val="tx1"/>
            </w14:solidFill>
          </w14:textFill>
        </w:rPr>
        <w:t>谈判</w:t>
      </w:r>
      <w:r>
        <w:rPr>
          <w:rFonts w:hint="eastAsia" w:asciiTheme="minorEastAsia" w:hAnsiTheme="minorEastAsia" w:eastAsiaTheme="minorEastAsia" w:cstheme="minorEastAsia"/>
          <w:b w:val="0"/>
          <w:bCs w:val="0"/>
          <w:color w:val="000000" w:themeColor="text1"/>
          <w:spacing w:val="0"/>
          <w:kern w:val="0"/>
          <w:szCs w:val="21"/>
          <w:highlight w:val="none"/>
          <w14:textFill>
            <w14:solidFill>
              <w14:schemeClr w14:val="tx1"/>
            </w14:solidFill>
          </w14:textFill>
        </w:rPr>
        <w:t>响应文件，必须以包为单位进行递交。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19、谈判响应文件的提交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19.1供应商应按供应商须知前附表中规定的截止时间前递交谈判响应文件。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19.2供应商递交谈判响应文件的地点：详见供应商须知前附表。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19.3供应商所递交的谈判响应文件在谈判开始后不予退还。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19.4采购单位收到谈判响应文件后，应及时登记并由供应商签字确认。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28.3有下列情形之一的，采购单位将不予受理：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28.3.1逾期送达的或者未送达指定地点的谈判响应文件。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28.3.2未按本文件18.1、18.2条的要求密封和加写标记的谈判响应文件。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20、谈判响应文件的修改和撤回</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20.1 在供应商须知前附表规定的响应文件提交截止时间前，供应商可以修改或撤回已提交的谈判响应文件。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20.2供应商撤回谈判响应文件的，受托人自收到供应商书面撤回通知之日起5个工作日内退还已收取的谈判保证金。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21、联合体参加谈判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由两家或两家以上供应商组成的联合体参与谈判时，应满足以下要求：（本项目无）</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21.1联合体成员除必须满足供应商资格的要求外，如本项目还有其他特定条件的，联合体各方中至少有一方符合特定的条件。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21.2联合体应签订联合参与谈判的协议，明确各方承担的职责和相应的责任，并授权其中的一个成员作为代表，具体进行谈判、签订合同等事务。此协议或授权书应作为谈判响应文件的一部分。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21.3联合体被授权供应商应能全权处理谈判过程中的有关问题。一旦成为成交供应商，该被授权供应商应负责签订合同并负责合同的全面实施，包括合同款项的收付。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21.4联合体各方不得再以自己的名义单独参与同一项目谈判，也不得再组成新的联合体参与同一项目中的谈判。</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7" w:name="_Toc6621"/>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五、谈判与评审</w:t>
      </w:r>
      <w:bookmarkEnd w:id="37"/>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22、谈判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22.1采购单位将在“供应商须知前附表”规定的时间和地点组织谈判。供应商的法定代表人提供身份证明书或其委托的代理人应提供有效的法定代表人的授权委托书。否则将否决其参与谈判。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22.2采购单位按规定组成三人以上的谈判小组。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谈判小组成员有下列情形之一的，应当回避：</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（1）参加采购活动前三年内,与供应商存在劳动关系,或者担任过供应商的董事、监事,或者是供应商的控股股东或实际控制人；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（2）与供应商的法定代表人或者负责人有夫妻、直系血亲、三代以内旁系血亲或者近姻亲关系；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（3）与供应商有其他可能影响政府采购活动公平、公正进行的关系；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另外，谈判小组成员发现本人与参加采购活动的供应商有利害关系的,应当主动提出回避。采购人或者采购代理机构发现评审专家与参加采购活动的供应商有利害关系的,应当要求其回避。</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 xml:space="preserve">22.3谈判小组将首先对谈判响应文件进行评审，了解其与谈判文件要求是否有偏离。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22.4谈判小组会要求供应商就谈判响应文件中含糊不清、错漏的地方或谈判小组提出的其他内容进行澄清，并提出问题，要求供应商就之前提出的问题和澄清内容进行确认（经法定代表人或被授权代表加盖公章）。未通过资格性和符合性评审的供应商，不进入后续谈判程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22.5符合性评审通过后，谈判小组将按顺序，与供应商分别进行谈判。谈判是背靠背进行的。供应商不得与其他参与谈判的供应商相互串通；谈判小组也不得将与某一供应商的谈判情况向其他供应商及其关系人透露。</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22.6谈判采取N轮谈判、N+1报价的方式进行，通常会采用一轮谈判、二次报价的方式进行。最终采取多少轮谈判，由谈判小组视情况而定。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22.7谈判小组将与供应商就其价格构成与高低进行谈判并要求供应商在首次报价（供应商在谈判响应文件价格标中的报价为首次报价）的基础上进行第二次报价。</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谈判小组认为各供应商二次报价远远高于市场价格，可以增加一轮谈判，但每个通过审核的供应商在每轮报价中应获得相同的报价机会。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供应商每次报价都应当在谈判组规定的时间内经法定代表人或被授权代表加盖公章后，提交给谈判小组。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谈判小组规定的报价截止时间到后，谈判小组对供应商的最终报价的有效性进行评审。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除非谈判文件另有规定或经采购人同意支付的，供应商的最终报价不得超出预算价格，否则按无效标处理。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采购需求中的技术、服务要求以及合同草案条款未进行实质性变动的，供应商每次报价应不得超过前一轮报价，否则作无效标处理。在谈判过程中，谈判小组可以根据谈判文件和谈判情况实质性变动采购需求中的技术、服务要求以及合同草案条款，但不得变动谈判文件中的其他内容。实质性变动的内容，须经采购人代表确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23、评审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23.1 谈判小组将依据供应商最终提交的确认件进行评审。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 xml:space="preserve">23.2谈判小组应当从质量和服务均能满足谈判文件实质性响应要求的供应商中，按照最后报价由低到高的顺序（当有两个或两个以上供应商报价相同且为最低报价时，最低报价的供应商均可再次进行报价）确定成交供应商或者推荐成交供应商候选人，并编写评审报告。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23.3 采购人确认成交供应商后，应将结果在指定的网站公告。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小组有权拒绝其报价，不得推荐其为成交供应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24、异常情况处理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24.1谈判时出现以下情况之一的，将重新组织谈判：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1）供应商的最终报价均超过采购预算，且采购人不能支付的；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2）符合专业条件的供应商或对谈判文件作实质响应的供应商不足规定家数的；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3）出现影响采购公正的违法、违规行为的。</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8" w:name="_Toc22778"/>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六、定标和授予合同</w:t>
      </w:r>
      <w:bookmarkEnd w:id="38"/>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25、定标方式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25.1采购人应当在收到评审报告后5个工作日内，从评审报告提出的成交候选人中，根据质量和服务均能满足谈判文件实质性响应要求且最后报价最低的原则确定成交供应商。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26、签订合同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 xml:space="preserve">26.1采购人在成交结果公示期内未接到供应商的质疑和投诉，应当与成交供应商在成交通知书发出之日起三十日内（具体时限本文件有约定的，按约定执行），按照谈判文件确定的合同文本以及采购标的、规格型号、采购金额、采购数量、技术和服务要求等事项签订政府采购合同。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26.2采购人在签订合同时，可以在不改变合同其他条款的前提下变更采购数量，但变更的金额不得超过成交供应商原来总价的10%。</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26.3成交通知书发出后，采购人无正当理由不与成交供应商签订采购合同的，将依据相关规定给予处理。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27、履约保证金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27.1 成交供应商在签订合同前必须按竞争性谈判文件的规定，及时、足额向采购人交纳履约保证金。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39" w:name="_Toc7207"/>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七、质疑与投诉</w:t>
      </w:r>
      <w:bookmarkEnd w:id="39"/>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28、质疑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28.1参与本项目采购活动的供应商（即提交了谈判响应文件的供应商）对成交结果提出质疑的，最迟可以在成交结果公告期限届满之日起七个工作日内，以书面形式向采购人或代理机构提出质疑。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28.2参与本项目采购活动的供应商（即提交了谈判响应文件的供应商）认为采购过程使自己的权益受到损害的，可以在各采购程序环节结束之日起七个工作日内，以书面形式向采购人或代理机构提出质疑。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28.3质疑函的内容应包括《政府采购质疑和投诉办法》（财政部令第94号）第十二条规定的内容。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28.4采购人或代理机构在收到供应商的质疑函后，将审查质疑函的格式、内容以及所附的证明文件是否符合要求。如不符合，退回供应商；如符合要求，则在收到书面质疑后七个工作日内，对质疑内容作出书面答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28.5供应商对同一环节的质疑，应在法定质疑期内一次性提出，采购人或代理机构不再接受同一供应商针对同一环节提出的再次质疑。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29、投诉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29.1质疑人对采购单位的答复不满意，或者采购单位未在规定的时间内答复的，可以在答复期满后十五个工作日内按有关规定，向同级人民政府财政部门进行投诉。</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40" w:name="_Toc19369"/>
      <w:bookmarkStart w:id="41" w:name="_Toc20319"/>
      <w:bookmarkStart w:id="42" w:name="_Toc5402"/>
      <w:bookmarkStart w:id="43" w:name="_Toc27642"/>
      <w:bookmarkStart w:id="44" w:name="_Toc23097"/>
      <w:bookmarkStart w:id="45" w:name="_Toc30584"/>
    </w:p>
    <w:p>
      <w:pPr>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br w:type="page"/>
      </w:r>
    </w:p>
    <w:p>
      <w:pPr>
        <w:pStyle w:val="3"/>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bookmarkStart w:id="46" w:name="_Toc19521"/>
      <w:r>
        <w:rPr>
          <w:rFonts w:hint="eastAsia"/>
          <w:color w:val="000000" w:themeColor="text1"/>
          <w:kern w:val="0"/>
          <w:highlight w:val="none"/>
          <w14:textFill>
            <w14:solidFill>
              <w14:schemeClr w14:val="tx1"/>
            </w14:solidFill>
          </w14:textFill>
        </w:rPr>
        <w:t>第六章 合同格式</w:t>
      </w:r>
      <w:bookmarkEnd w:id="40"/>
      <w:bookmarkEnd w:id="41"/>
      <w:bookmarkEnd w:id="42"/>
      <w:bookmarkEnd w:id="43"/>
      <w:bookmarkEnd w:id="44"/>
      <w:bookmarkEnd w:id="45"/>
      <w:bookmarkEnd w:id="46"/>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lang w:eastAsia="zh-CN"/>
          <w14:textFill>
            <w14:solidFill>
              <w14:schemeClr w14:val="tx1"/>
            </w14:solidFill>
          </w14:textFill>
        </w:rPr>
      </w:pPr>
      <w:bookmarkStart w:id="47" w:name="_Toc27685"/>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项目编号：</w:t>
      </w:r>
      <w:bookmarkEnd w:id="47"/>
    </w:p>
    <w:p>
      <w:pPr>
        <w:keepNext w:val="0"/>
        <w:keepLines w:val="0"/>
        <w:pageBreakBefore w:val="0"/>
        <w:widowControl w:val="0"/>
        <w:kinsoku/>
        <w:wordWrap w:val="0"/>
        <w:overflowPunct/>
        <w:topLinePunct w:val="0"/>
        <w:autoSpaceDE/>
        <w:autoSpaceDN/>
        <w:bidi w:val="0"/>
        <w:adjustRightInd/>
        <w:snapToGrid/>
        <w:spacing w:line="600" w:lineRule="exact"/>
        <w:ind w:left="643"/>
        <w:jc w:val="center"/>
        <w:outlineLvl w:val="2"/>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bookmarkStart w:id="48" w:name="_Toc2673"/>
      <w:bookmarkStart w:id="49" w:name="_Toc7552"/>
      <w:bookmarkStart w:id="50" w:name="_Toc22518"/>
      <w:bookmarkStart w:id="51" w:name="_Toc14000"/>
      <w:bookmarkStart w:id="52" w:name="_Toc20716"/>
      <w:bookmarkStart w:id="53" w:name="_Toc7202"/>
      <w:bookmarkStart w:id="54" w:name="_Toc27378"/>
      <w:r>
        <w:rPr>
          <w:rFonts w:hint="eastAsia" w:asciiTheme="minorEastAsia" w:hAnsiTheme="minorEastAsia" w:eastAsiaTheme="minorEastAsia" w:cstheme="minorEastAsia"/>
          <w:b/>
          <w:color w:val="000000" w:themeColor="text1"/>
          <w:spacing w:val="0"/>
          <w:kern w:val="0"/>
          <w:sz w:val="32"/>
          <w:szCs w:val="32"/>
          <w:highlight w:val="none"/>
          <w14:textFill>
            <w14:solidFill>
              <w14:schemeClr w14:val="tx1"/>
            </w14:solidFill>
          </w14:textFill>
        </w:rPr>
        <w:t>一、合同条款前附表</w:t>
      </w:r>
      <w:bookmarkEnd w:id="48"/>
      <w:bookmarkEnd w:id="49"/>
      <w:bookmarkEnd w:id="50"/>
      <w:bookmarkEnd w:id="51"/>
      <w:bookmarkEnd w:id="52"/>
      <w:bookmarkEnd w:id="53"/>
      <w:bookmarkEnd w:id="5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color w:val="000000" w:themeColor="text1"/>
                <w:kern w:val="0"/>
                <w:highlight w:val="none"/>
                <w14:textFill>
                  <w14:solidFill>
                    <w14:schemeClr w14:val="tx1"/>
                  </w14:solidFill>
                </w14:textFill>
              </w:rPr>
            </w:pPr>
            <w:bookmarkStart w:id="55" w:name="_Hlk450145418"/>
            <w:r>
              <w:rPr>
                <w:rFonts w:hint="eastAsia"/>
                <w:color w:val="000000" w:themeColor="text1"/>
                <w:kern w:val="0"/>
                <w:highlight w:val="none"/>
                <w14:textFill>
                  <w14:solidFill>
                    <w14:schemeClr w14:val="tx1"/>
                  </w14:solidFill>
                </w14:textFill>
              </w:rPr>
              <w:t>序号</w:t>
            </w:r>
            <w:bookmarkEnd w:id="55"/>
          </w:p>
        </w:tc>
        <w:tc>
          <w:tcPr>
            <w:tcW w:w="8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w:t>
            </w:r>
          </w:p>
        </w:tc>
        <w:tc>
          <w:tcPr>
            <w:tcW w:w="8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付款人：</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2</w:t>
            </w:r>
          </w:p>
        </w:tc>
        <w:tc>
          <w:tcPr>
            <w:tcW w:w="8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付款方式：</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全部工程完工</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并提交相关监理资料</w:t>
            </w:r>
            <w:r>
              <w:rPr>
                <w:rFonts w:hint="eastAsia" w:asciiTheme="minorEastAsia" w:hAnsiTheme="minorEastAsia" w:eastAsiaTheme="minorEastAsia" w:cstheme="minorEastAsia"/>
                <w:color w:val="000000" w:themeColor="text1"/>
                <w:spacing w:val="0"/>
                <w:kern w:val="0"/>
                <w:sz w:val="21"/>
                <w:szCs w:val="21"/>
                <w:highlight w:val="none"/>
                <w:lang w:eastAsia="zh-CN"/>
                <w14:textFill>
                  <w14:solidFill>
                    <w14:schemeClr w14:val="tx1"/>
                  </w14:solidFill>
                </w14:textFill>
              </w:rPr>
              <w:t>后付至合同款的80%，竣工验收合格并经审计后付至合同款的100%</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3</w:t>
            </w:r>
          </w:p>
        </w:tc>
        <w:tc>
          <w:tcPr>
            <w:tcW w:w="82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签订合同前向采购人缴纳合同金额</w:t>
            </w:r>
            <w:r>
              <w:rPr>
                <w:rFonts w:hint="eastAsia" w:asciiTheme="minorEastAsia" w:hAnsiTheme="minorEastAsia" w:eastAsiaTheme="minorEastAsia" w:cstheme="minorEastAsia"/>
                <w:color w:val="000000" w:themeColor="text1"/>
                <w:spacing w:val="0"/>
                <w:kern w:val="0"/>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的履约保证金。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1"/>
                <w:szCs w:val="21"/>
                <w:highlight w:val="none"/>
                <w14:textFill>
                  <w14:solidFill>
                    <w14:schemeClr w14:val="tx1"/>
                  </w14:solidFill>
                </w14:textFill>
              </w:rPr>
              <w:t>履约保证金形式： 转账、电汇、保函 。</w:t>
            </w:r>
          </w:p>
        </w:tc>
      </w:tr>
    </w:tbl>
    <w:p>
      <w:pPr>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bookmarkStart w:id="56" w:name="_Toc30944"/>
      <w:bookmarkStart w:id="57" w:name="_Toc2761"/>
      <w:bookmarkStart w:id="58" w:name="_Toc11438"/>
      <w:bookmarkStart w:id="59" w:name="_Toc727"/>
      <w:bookmarkStart w:id="60" w:name="_Toc21863"/>
      <w:bookmarkStart w:id="61" w:name="_Toc1174"/>
    </w:p>
    <w:p>
      <w:pPr>
        <w:keepNext w:val="0"/>
        <w:keepLines w:val="0"/>
        <w:pageBreakBefore w:val="0"/>
        <w:widowControl w:val="0"/>
        <w:kinsoku/>
        <w:wordWrap w:val="0"/>
        <w:overflowPunct/>
        <w:topLinePunct w:val="0"/>
        <w:autoSpaceDE/>
        <w:autoSpaceDN/>
        <w:bidi w:val="0"/>
        <w:adjustRightInd/>
        <w:snapToGrid/>
        <w:jc w:val="center"/>
        <w:outlineLvl w:val="2"/>
        <w:rPr>
          <w:rFonts w:hint="eastAsia" w:asciiTheme="minorEastAsia" w:hAnsiTheme="minorEastAsia" w:eastAsiaTheme="minorEastAsia" w:cstheme="minorEastAsia"/>
          <w:color w:val="000000" w:themeColor="text1"/>
          <w:spacing w:val="0"/>
          <w:kern w:val="0"/>
          <w:sz w:val="32"/>
          <w:szCs w:val="32"/>
          <w:highlight w:val="none"/>
          <w14:textFill>
            <w14:solidFill>
              <w14:schemeClr w14:val="tx1"/>
            </w14:solidFill>
          </w14:textFill>
        </w:rPr>
      </w:pPr>
      <w:bookmarkStart w:id="62" w:name="_Toc22988"/>
      <w:r>
        <w:rPr>
          <w:rFonts w:hint="eastAsia" w:asciiTheme="minorEastAsia" w:hAnsiTheme="minorEastAsia" w:eastAsiaTheme="minorEastAsia" w:cstheme="minorEastAsia"/>
          <w:b/>
          <w:color w:val="000000" w:themeColor="text1"/>
          <w:spacing w:val="0"/>
          <w:kern w:val="0"/>
          <w:sz w:val="32"/>
          <w:szCs w:val="32"/>
          <w:highlight w:val="none"/>
          <w14:textFill>
            <w14:solidFill>
              <w14:schemeClr w14:val="tx1"/>
            </w14:solidFill>
          </w14:textFill>
        </w:rPr>
        <w:t>二、合同条款</w:t>
      </w:r>
      <w:bookmarkEnd w:id="56"/>
      <w:bookmarkEnd w:id="57"/>
      <w:bookmarkEnd w:id="58"/>
      <w:bookmarkEnd w:id="59"/>
      <w:bookmarkEnd w:id="60"/>
      <w:bookmarkEnd w:id="61"/>
      <w:bookmarkEnd w:id="62"/>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1、定义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1.1本合同下列术语应解释为：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（1）“合同”是指委托和受托双方签署的、合同格式中载明的委托和受托双方所达成的协议，包括所有的附件、附录和构成合同的所有文件。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（2）“合同价”是指根据合同规定，成交供应商在正确地完全履行合同义务后采购人应支付给成交供应商的货币数量。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（3）“服务”是指政府采购合同服务清单（同谈判响应文件中开标一览表及其附表，下同）中所规定的服务内容。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（4）“合同条款”是指本章所述全部内容。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（5）“合同特殊条款”是指采购文件正文部分第一章“合同特殊条款”。</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（6）“采购人”是指采购文件正文部分第一章“供应商人须知前附表”中所述购买服务的单位。</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（7）“成交供应商”是指通过采购确定的提供采购文件正文部分第八章“服务需求”中所述服务的成交供应商。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（8）“现场”是指合同规定的履行相关服务的地点。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（9）“验收”是指委托、受托双方依据强制性的国家技术质量规范和合同规定，确认合同项下的服务符合合同规定的活动。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（10）“天”指日历天数（如无特别说明）。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（11）“检验”是指采购人按照合同约定的标准对成交供应商所提供的服务进行的检测与查验。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（12）“检验合格证书”是指检验完成后由采购人和成交供应商共同签署的检验合格确认书。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（13）“政府采购项目验收单”是指采购人根据检验合格证书签署的报同级政府采购监管部门的最终验收确认书。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（14）“第三方”是指合同双方以外的任何中国境内、外的自然人、法人或其他经济组织。</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（15）“法律、法规”是指由中国各级政府及有关部门制定的法律、行政法规、地方性法规、规章及其他规范性文件。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（16）“采购文件”是指由采购代理机构发布的采购文本。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（17）“谈判响应文件”是指成交供应商按照采购代理机构发布的采购文件的要求编制、上传并最终被评审小组接受的谈判响应文本。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2、技术规格</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 采购服务的技术规范应与采购文件规定的技术规范（如果有的话）相一致。若无相应说明，则以国家有关部门最新颁布的相应标准及规范为准。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 采购服务的服务内容应与采购文件规定的服务内容及谈判响应文件中的服务指标响应表一致。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3、知识产权</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成交供应商应保证，采购人在其接受该服务或其任何一部分时不受第三方提出的侵犯专利权、著作权、商标权和工业设计权等的起诉。如果任何第三方提出侵权指控，成交供应商须与第三方交涉并承担由此发生的一切责任、费用和经济赔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4. 完成方式</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成交供应商应按照采购文件规定的时间和地点完成服务。</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5. 付款</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5.1合同以人民币付款。</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5.2 在成交供应商按照合同的规定履行服务后，将按照采购文件正文部分“合同条款前附表”规定的付款方式付款。</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5.3政府采购货物和服务项目不得收取质量保证金以及其他没有法律依据的保证金。（《安徽省财政厅关于进一步优化营商环境的通知》皖财购[2022]556号）</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6. 履约保证金</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6.1成交供应商应在签订合同的同时，提供相当于合同总价</w:t>
      </w:r>
      <w:r>
        <w:rPr>
          <w:rFonts w:hint="eastAsia" w:ascii="宋体" w:hAnsi="宋体" w:cs="宋体"/>
          <w:b w:val="0"/>
          <w:bCs/>
          <w:color w:val="000000" w:themeColor="text1"/>
          <w:kern w:val="0"/>
          <w:sz w:val="21"/>
          <w:szCs w:val="21"/>
          <w:highlight w:val="none"/>
          <w:lang w:val="en-US" w:eastAsia="zh-CN"/>
          <w14:textFill>
            <w14:solidFill>
              <w14:schemeClr w14:val="tx1"/>
            </w14:solidFill>
          </w14:textFill>
        </w:rPr>
        <w:t>2.00</w:t>
      </w:r>
      <w:r>
        <w:rPr>
          <w:rFonts w:hint="eastAsia" w:ascii="宋体" w:hAnsi="宋体" w:eastAsia="宋体" w:cs="宋体"/>
          <w:b w:val="0"/>
          <w:bCs/>
          <w:color w:val="000000" w:themeColor="text1"/>
          <w:kern w:val="0"/>
          <w:sz w:val="21"/>
          <w:szCs w:val="21"/>
          <w:highlight w:val="none"/>
          <w14:textFill>
            <w14:solidFill>
              <w14:schemeClr w14:val="tx1"/>
            </w14:solidFill>
          </w14:textFill>
        </w:rPr>
        <w:t>%的履约保证金或等额金融机构、担保机构出具的保函。</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6.2如成交供应商未能履行其合同规定的义务，采购人有权从履约保证金中取得补偿。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7. 检验和验收</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7.2采购人或其委托的采购代理机构应当根据项目特点制定验收方案,明确履约验收的时间、方式、程序等内容。</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8. 索赔</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8.1 如果服务的质量、数量等与合同不符，或在规定的质量保证期内证实服务存在缺陷（包括潜在的缺陷等），采购人有权根据有资质的质检机构的检验结果向成交供应商提出索赔。</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8.2 在合同规定的验收期和质量保证期内，如果成交供应商对采购人提出的索赔负有责任，成交供应商应按照采购人同意的方式解决索赔事宜。</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8.3 如果成交供应商在合同规定的索赔通知期限内，未对采购人的索赔通知做出答复，则上述索赔应视为已被成交供应商接受。如成交供应商未能在采购人提出的在合同规定的期限内或采购人同意的更长时间内，按照本合同第8.2条确定的方式解决索赔事宜，采购人将从成交供应商的履约保证金或者应支付给成交供应商的合同款项中扣回索赔金额。如果这些金额不足以补偿索赔金额，采购人有权向成交供应商提出不足部分的补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9. 履约延误和误期赔偿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9.1 如成交供应商无正当理由而拖延提供服务，采购人有权提出误期赔偿或解除合同。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9.2 在履行合同过程中，如果成交供应商遇到妨碍按时提供服务的情况时，应及时以书面形式将拖延的事实，可能拖延的期限和理由通知采购人。采购人在收到成交供应商通知后，应尽快对情况进行评价，并确定是否通过修改合同，酌情延长提供服务时间。</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9.3 除本合同条款第10条规定外，如果成交供应商没有按照合同规定的时间提供服务，采购人可要求成交供应商支付违约金。违约金按每周未提供服务费用的0.5%计收，但违约金的最高限额为未提供服务的合同价格的5%。一周按7天计算，不足7天按一周计算。如果达到最高限额，采购人有权解除政府采购合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9.4除合同第10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宋体" w:hAnsi="宋体" w:cs="宋体"/>
          <w:b w:val="0"/>
          <w:bCs/>
          <w:color w:val="000000" w:themeColor="text1"/>
          <w:kern w:val="0"/>
          <w:sz w:val="21"/>
          <w:szCs w:val="21"/>
          <w:highlight w:val="none"/>
          <w:u w:val="single"/>
          <w:lang w:val="en-US" w:eastAsia="zh-CN"/>
          <w14:textFill>
            <w14:solidFill>
              <w14:schemeClr w14:val="tx1"/>
            </w14:solidFill>
          </w14:textFill>
        </w:rPr>
        <w:t xml:space="preserve"> 0.5 </w:t>
      </w:r>
      <w:r>
        <w:rPr>
          <w:rFonts w:hint="eastAsia" w:ascii="宋体" w:hAnsi="宋体" w:eastAsia="宋体" w:cs="宋体"/>
          <w:b w:val="0"/>
          <w:bCs/>
          <w:color w:val="000000" w:themeColor="text1"/>
          <w:kern w:val="0"/>
          <w:sz w:val="21"/>
          <w:szCs w:val="21"/>
          <w:highlight w:val="none"/>
          <w14:textFill>
            <w14:solidFill>
              <w14:schemeClr w14:val="tx1"/>
            </w14:solidFill>
          </w14:textFill>
        </w:rPr>
        <w:t>%给予合理赔偿或者补偿。</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10. 不可抗力</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10.1 尽管有本合同条款第8条和第9条的规定，如果成交供应商因不可抗力而导致合同实施延误或不能履行合同义务的话，在不可抗力影响的范围内成交供应商的履约保证金或者应支付给成交供应商的合同款项不能被没收，也不应该承担违约赔偿或终止合同的责任。</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10.2 本条所述的“不可抗力”是指那些成交供应商无法控制、不可预见的事件，但不包括成交供应商的违约或疏忽。不可抗力事件包括，但不限于：战争、严重火灾、洪水、台风、地震、防疫限制和禁运及其他双方商定的事件。</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10.3 在不可抗力事件发生后，成交供应商应尽快以书面形式将不可抗力的情况和原因通知采购人。除采购人书面另行要求外，成交供应商应尽可能继续履行合同义务，以及寻求采取合理的方案履行不受不可抗力影响的其他事项。如果不可抗力事件影响延续超过120天，双方应通过友好协商在合理的时间内就进一步实施合同达成协议。</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10.4 不可抗力使合同的某些内容有变更必要的，双方应通过协商达成进一步履行合同的协议，因不可抗力致使合同不能履行的，合同终止。</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11. 税费</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11.1中国政府根据现行税法对采购人征收的、与本合同有关的一切税费，均由采购人负担。</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11.2中国政府根据现行税法对成交供应商征收的、与本合同有关的一切税费，均由成交供应商负担。</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12. 仲裁</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根据《中华人民共和国仲裁法》的规定向</w:t>
      </w:r>
      <w:r>
        <w:rPr>
          <w:rFonts w:hint="eastAsia" w:ascii="宋体" w:hAnsi="宋体" w:cs="宋体"/>
          <w:b w:val="0"/>
          <w:bCs/>
          <w:color w:val="000000" w:themeColor="text1"/>
          <w:kern w:val="0"/>
          <w:sz w:val="21"/>
          <w:szCs w:val="21"/>
          <w:highlight w:val="none"/>
          <w:lang w:eastAsia="zh-CN"/>
          <w14:textFill>
            <w14:solidFill>
              <w14:schemeClr w14:val="tx1"/>
            </w14:solidFill>
          </w14:textFill>
        </w:rPr>
        <w:t>宿州</w:t>
      </w:r>
      <w:r>
        <w:rPr>
          <w:rFonts w:hint="eastAsia" w:ascii="宋体" w:hAnsi="宋体" w:eastAsia="宋体" w:cs="宋体"/>
          <w:b w:val="0"/>
          <w:bCs/>
          <w:color w:val="000000" w:themeColor="text1"/>
          <w:kern w:val="0"/>
          <w:sz w:val="21"/>
          <w:szCs w:val="21"/>
          <w:highlight w:val="none"/>
          <w14:textFill>
            <w14:solidFill>
              <w14:schemeClr w14:val="tx1"/>
            </w14:solidFill>
          </w14:textFill>
        </w:rPr>
        <w:t>仲裁委员会申请仲裁。</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12.2在仲裁和诉讼期间，合同应继续履行。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13. 违约终止合同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13.1在采购人对成交供应商违约而采取的任何补救措施不受影响的情况下，采购人可向成交供应商发出终止部分或全部合同的书面通知书。</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（1）如果成交供应商未能按合同规定的期限或采购人同意延长的限期内提供部分或全部服务;</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（2）成交供应商在收到采购人发出的违约通知后20天内，或经采购人书面认可延长的时间内未能纠正其过失;</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（3）如果成交供应商未能履行合同规定的其他义务。</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13.2在采购人根据上述第13.1条规定，终止了全部或部分合同后，采购人可以依其认为适当的条件和方法购买类似未交的服务，成交供应商应对采购人购买类似服务所超出的费用部分负责，并继续执行合同中未终止部分。</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14. 破产终止合同</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如果成交供应商破产或无清偿能力时，采购人经报同级政府采购监督管理部门审批后，可在任何时候以书面形式通知成交供应商，提出终止合同而不给成交供应商补偿。该合同的终止将不损害或影响采购人已经采取或将要采取的任何行动或补救措施的权利。</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15. 转让和分包</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15.1合同不能擅自转让或分包。</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15.2 经采购人和同级政府采购监督管理部门事先书面同意，成交供应商可以将合同项下非主体、非关键性工作分包给他人完成。接受分包的人应当具备相应的资格条件，并不得再次分包。分包后不能终止成交供应商履行合同的责任和义务，接受分包的人与成交供应商共同对采购人连带承担合同的责任和义务。</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16. 合同修改</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采购人和成交供应商都不得擅自变更合同，但继续履行将损害国家和社会公共利益的除外。如必须对合同条款进行修改时，当事人双方须共同签署书面文件，作为合同的补充，并报同级政府采购监督管理部门备案。</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17. 通知</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政府采购合同一方给另一方的通知都应以书面形式发送至规定的对方地址。通知以送达日期或通知书规定的生效日期为生效日期，两者中以晚的一个日期为准。</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18.合同生效</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18.1合同内容的确定应以采购文件和谈判响应文件为基础，不得违背其实质性内容。合同应在买卖双方签字、盖章，并在成交供应商交纳履约保证金后即开始生效。</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18.2本合同一</w:t>
      </w:r>
      <w:r>
        <w:rPr>
          <w:rFonts w:hint="eastAsia" w:ascii="宋体" w:hAnsi="宋体" w:cs="宋体"/>
          <w:b w:val="0"/>
          <w:bCs/>
          <w:color w:val="000000" w:themeColor="text1"/>
          <w:kern w:val="0"/>
          <w:sz w:val="21"/>
          <w:szCs w:val="21"/>
          <w:highlight w:val="none"/>
          <w:lang w:eastAsia="zh-CN"/>
          <w14:textFill>
            <w14:solidFill>
              <w14:schemeClr w14:val="tx1"/>
            </w14:solidFill>
          </w14:textFill>
        </w:rPr>
        <w:t>陆</w:t>
      </w:r>
      <w:r>
        <w:rPr>
          <w:rFonts w:hint="eastAsia" w:ascii="宋体" w:hAnsi="宋体" w:eastAsia="宋体" w:cs="宋体"/>
          <w:b w:val="0"/>
          <w:bCs/>
          <w:color w:val="000000" w:themeColor="text1"/>
          <w:kern w:val="0"/>
          <w:sz w:val="21"/>
          <w:szCs w:val="21"/>
          <w:highlight w:val="none"/>
          <w14:textFill>
            <w14:solidFill>
              <w14:schemeClr w14:val="tx1"/>
            </w14:solidFill>
          </w14:textFill>
        </w:rPr>
        <w:t>份，以中文书就，采购人、成交供应商各执</w:t>
      </w:r>
      <w:r>
        <w:rPr>
          <w:rFonts w:hint="eastAsia" w:ascii="宋体" w:hAnsi="宋体" w:cs="宋体"/>
          <w:b w:val="0"/>
          <w:bCs/>
          <w:color w:val="000000" w:themeColor="text1"/>
          <w:kern w:val="0"/>
          <w:sz w:val="21"/>
          <w:szCs w:val="21"/>
          <w:highlight w:val="none"/>
          <w:lang w:eastAsia="zh-CN"/>
          <w14:textFill>
            <w14:solidFill>
              <w14:schemeClr w14:val="tx1"/>
            </w14:solidFill>
          </w14:textFill>
        </w:rPr>
        <w:t>叁</w:t>
      </w:r>
      <w:r>
        <w:rPr>
          <w:rFonts w:hint="eastAsia" w:ascii="宋体" w:hAnsi="宋体" w:eastAsia="宋体" w:cs="宋体"/>
          <w:b w:val="0"/>
          <w:bCs/>
          <w:color w:val="000000" w:themeColor="text1"/>
          <w:kern w:val="0"/>
          <w:sz w:val="21"/>
          <w:szCs w:val="21"/>
          <w:highlight w:val="none"/>
          <w14:textFill>
            <w14:solidFill>
              <w14:schemeClr w14:val="tx1"/>
            </w14:solidFill>
          </w14:textFill>
        </w:rPr>
        <w:t>份。</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000000" w:themeColor="text1"/>
          <w:kern w:val="0"/>
          <w:sz w:val="21"/>
          <w:szCs w:val="21"/>
          <w:highlight w:val="none"/>
          <w14:textFill>
            <w14:solidFill>
              <w14:schemeClr w14:val="tx1"/>
            </w14:solidFill>
          </w14:textFill>
        </w:rPr>
      </w:pPr>
      <w:r>
        <w:rPr>
          <w:rFonts w:hint="eastAsia" w:ascii="宋体" w:hAnsi="宋体" w:eastAsia="宋体" w:cs="宋体"/>
          <w:b/>
          <w:bCs w:val="0"/>
          <w:color w:val="000000" w:themeColor="text1"/>
          <w:kern w:val="0"/>
          <w:sz w:val="21"/>
          <w:szCs w:val="21"/>
          <w:highlight w:val="none"/>
          <w14:textFill>
            <w14:solidFill>
              <w14:schemeClr w14:val="tx1"/>
            </w14:solidFill>
          </w14:textFill>
        </w:rPr>
        <w:t>19. 补充条款</w:t>
      </w:r>
    </w:p>
    <w:p>
      <w:pPr>
        <w:keepNext w:val="0"/>
        <w:keepLines w:val="0"/>
        <w:pageBreakBefore w:val="0"/>
        <w:widowControl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14:textFill>
            <w14:solidFill>
              <w14:schemeClr w14:val="tx1"/>
            </w14:solidFill>
          </w14:textFill>
        </w:rPr>
        <w:t>如需修改或补充合同内容，经协商，双方可签署书面修改或补充协议，该协议将作为合同的一个组成部分</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b/>
          <w:color w:val="000000" w:themeColor="text1"/>
          <w:spacing w:val="0"/>
          <w:kern w:val="0"/>
          <w:sz w:val="32"/>
          <w:szCs w:val="32"/>
          <w:highlight w:val="none"/>
          <w14:textFill>
            <w14:solidFill>
              <w14:schemeClr w14:val="tx1"/>
            </w14:solidFill>
          </w14:textFill>
        </w:rPr>
      </w:pPr>
      <w:bookmarkStart w:id="63" w:name="_Toc23556"/>
      <w:bookmarkStart w:id="64" w:name="_Toc10758"/>
      <w:r>
        <w:rPr>
          <w:rFonts w:hint="eastAsia" w:asciiTheme="minorEastAsia" w:hAnsiTheme="minorEastAsia" w:eastAsiaTheme="minorEastAsia" w:cstheme="minorEastAsia"/>
          <w:b/>
          <w:color w:val="000000" w:themeColor="text1"/>
          <w:spacing w:val="0"/>
          <w:kern w:val="0"/>
          <w:sz w:val="32"/>
          <w:szCs w:val="32"/>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jc w:val="center"/>
        <w:outlineLvl w:val="2"/>
        <w:rPr>
          <w:rFonts w:hint="eastAsia" w:asciiTheme="minorEastAsia" w:hAnsiTheme="minorEastAsia" w:eastAsiaTheme="minorEastAsia" w:cstheme="minorEastAsia"/>
          <w:b/>
          <w:color w:val="000000" w:themeColor="text1"/>
          <w:spacing w:val="0"/>
          <w:kern w:val="0"/>
          <w:sz w:val="32"/>
          <w:szCs w:val="32"/>
          <w:highlight w:val="none"/>
          <w14:textFill>
            <w14:solidFill>
              <w14:schemeClr w14:val="tx1"/>
            </w14:solidFill>
          </w14:textFill>
        </w:rPr>
      </w:pPr>
      <w:bookmarkStart w:id="65" w:name="_Toc22208"/>
      <w:r>
        <w:rPr>
          <w:rFonts w:hint="eastAsia" w:asciiTheme="minorEastAsia" w:hAnsiTheme="minorEastAsia" w:eastAsiaTheme="minorEastAsia" w:cstheme="minorEastAsia"/>
          <w:b/>
          <w:color w:val="000000" w:themeColor="text1"/>
          <w:spacing w:val="0"/>
          <w:kern w:val="0"/>
          <w:sz w:val="32"/>
          <w:szCs w:val="32"/>
          <w:highlight w:val="none"/>
          <w14:textFill>
            <w14:solidFill>
              <w14:schemeClr w14:val="tx1"/>
            </w14:solidFill>
          </w14:textFill>
        </w:rPr>
        <w:t>三、合同格式</w:t>
      </w:r>
      <w:bookmarkEnd w:id="63"/>
      <w:bookmarkEnd w:id="64"/>
      <w:bookmarkEnd w:id="65"/>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 xml:space="preserve">采  购  人（甲方）： </w:t>
      </w:r>
      <w:r>
        <w:rPr>
          <w:rFonts w:hint="eastAsia" w:asciiTheme="minorEastAsia" w:hAnsiTheme="minorEastAsia" w:eastAsiaTheme="minorEastAsia" w:cstheme="minorEastAsia"/>
          <w:color w:val="000000" w:themeColor="text1"/>
          <w:spacing w:val="0"/>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 xml:space="preserve">成交供应商（乙方）： </w:t>
      </w:r>
      <w:r>
        <w:rPr>
          <w:rFonts w:hint="eastAsia" w:asciiTheme="minorEastAsia" w:hAnsiTheme="minorEastAsia" w:eastAsiaTheme="minorEastAsia" w:cstheme="minorEastAsia"/>
          <w:color w:val="000000" w:themeColor="text1"/>
          <w:spacing w:val="0"/>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lang w:eastAsia="zh-CN"/>
          <w14:textFill>
            <w14:solidFill>
              <w14:schemeClr w14:val="tx1"/>
            </w14:solidFill>
          </w14:textFill>
        </w:rPr>
        <w:t>采购</w:t>
      </w:r>
      <w:r>
        <w:rPr>
          <w:rFonts w:hint="eastAsia" w:ascii="宋体" w:hAnsi="宋体"/>
          <w:snapToGrid w:val="0"/>
          <w:color w:val="000000" w:themeColor="text1"/>
          <w:kern w:val="0"/>
          <w:sz w:val="21"/>
          <w:szCs w:val="21"/>
          <w:highlight w:val="none"/>
          <w14:textFill>
            <w14:solidFill>
              <w14:schemeClr w14:val="tx1"/>
            </w14:solidFill>
          </w14:textFill>
        </w:rPr>
        <w:t>代理机构：</w:t>
      </w:r>
      <w:r>
        <w:rPr>
          <w:rFonts w:hint="eastAsia" w:ascii="宋体" w:hAnsi="宋体"/>
          <w:snapToGrid w:val="0"/>
          <w:color w:val="000000" w:themeColor="text1"/>
          <w:kern w:val="0"/>
          <w:sz w:val="21"/>
          <w:szCs w:val="21"/>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甲方通过</w:t>
      </w:r>
      <w:r>
        <w:rPr>
          <w:rFonts w:hint="eastAsia" w:asciiTheme="minorEastAsia" w:hAnsiTheme="minorEastAsia" w:eastAsiaTheme="minorEastAsia" w:cstheme="minorEastAsia"/>
          <w:color w:val="000000" w:themeColor="text1"/>
          <w:spacing w:val="0"/>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组织的政府采购活动，决定将本项目采购合同授予乙方。为进一步明确双方的责任，确保合同的顺利履行，甲乙双方商定同意按如下条款和条件签订本合同：</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1.合同文件</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下列文件是构成本合同不可分割的部分：</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（1）合同条款及前附表；</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（2）成交供应商提交的谈判响应文件和货物服务报价表；</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（3）成交通知书。</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2.合同范围和条件</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本合同的范围和条件应与上述合同文件的规定相一致。</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3.合同金额</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lang w:eastAsia="zh-CN"/>
          <w14:textFill>
            <w14:solidFill>
              <w14:schemeClr w14:val="tx1"/>
            </w14:solidFill>
          </w14:textFill>
        </w:rPr>
        <w:t>监理费费率</w:t>
      </w:r>
      <w:r>
        <w:rPr>
          <w:rFonts w:hint="eastAsia" w:asciiTheme="minorEastAsia" w:hAnsiTheme="minorEastAsia" w:eastAsiaTheme="minorEastAsia" w:cstheme="minorEastAsia"/>
          <w:color w:val="000000" w:themeColor="text1"/>
          <w:spacing w:val="0"/>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szCs w:val="21"/>
          <w:highlight w:val="none"/>
          <w:u w:val="none"/>
          <w:lang w:val="en-US" w:eastAsia="zh-CN"/>
          <w14:textFill>
            <w14:solidFill>
              <w14:schemeClr w14:val="tx1"/>
            </w14:solidFill>
          </w14:textFill>
        </w:rPr>
        <w:t>%（基数以施工中标金额为准）。</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4.付款条件</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付款条件在合同条款前附表中有明确规定。</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5.交货时间</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lang w:eastAsia="zh-CN"/>
          <w14:textFill>
            <w14:solidFill>
              <w14:schemeClr w14:val="tx1"/>
            </w14:solidFill>
          </w14:textFill>
        </w:rPr>
        <w:t>自合同签订之日起至工程缺陷责任期满为止</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6.合同生效</w:t>
      </w:r>
    </w:p>
    <w:p>
      <w:pPr>
        <w:keepNext w:val="0"/>
        <w:keepLines w:val="0"/>
        <w:pageBreakBefore w:val="0"/>
        <w:widowControl w:val="0"/>
        <w:kinsoku/>
        <w:wordWrap w:val="0"/>
        <w:overflowPunct/>
        <w:topLinePunct w:val="0"/>
        <w:autoSpaceDE/>
        <w:autoSpaceDN/>
        <w:bidi w:val="0"/>
        <w:adjustRightInd/>
        <w:snapToGrid/>
        <w:spacing w:line="600" w:lineRule="auto"/>
        <w:ind w:left="0" w:firstLine="420" w:firstLineChars="200"/>
        <w:textAlignment w:val="auto"/>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本合同经</w:t>
      </w:r>
      <w:r>
        <w:rPr>
          <w:rFonts w:hint="eastAsia" w:asciiTheme="minorEastAsia" w:hAnsiTheme="minorEastAsia" w:eastAsiaTheme="minorEastAsia" w:cstheme="minorEastAsia"/>
          <w:color w:val="000000" w:themeColor="text1"/>
          <w:spacing w:val="0"/>
          <w:kern w:val="0"/>
          <w:szCs w:val="21"/>
          <w:highlight w:val="none"/>
          <w:lang w:eastAsia="zh-CN"/>
          <w14:textFill>
            <w14:solidFill>
              <w14:schemeClr w14:val="tx1"/>
            </w14:solidFill>
          </w14:textFill>
        </w:rPr>
        <w:t>双</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方合法代表签字、单位盖章,并在采购人收到成交供应商提交的履约保证金后生效</w:t>
      </w:r>
      <w:r>
        <w:rPr>
          <w:rFonts w:hint="eastAsia" w:asciiTheme="minorEastAsia" w:hAnsiTheme="minorEastAsia" w:eastAsiaTheme="minorEastAsia" w:cstheme="minorEastAsia"/>
          <w:color w:val="000000" w:themeColor="text1"/>
          <w:spacing w:val="0"/>
          <w:kern w:val="0"/>
          <w:szCs w:val="21"/>
          <w:highlight w:val="none"/>
          <w:lang w:eastAsia="zh-CN"/>
          <w14:textFill>
            <w14:solidFill>
              <w14:schemeClr w14:val="tx1"/>
            </w14:solidFill>
          </w14:textFill>
        </w:rPr>
        <w:t>，本合同一式陆份，甲乙双方各执叁份</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0"/>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980" w:type="dxa"/>
            <w:vAlign w:val="top"/>
          </w:tcPr>
          <w:p>
            <w:pPr>
              <w:keepNext w:val="0"/>
              <w:keepLines w:val="0"/>
              <w:pageBreakBefore w:val="0"/>
              <w:widowControl w:val="0"/>
              <w:kinsoku/>
              <w:wordWrap w:val="0"/>
              <w:overflowPunct/>
              <w:topLinePunct w:val="0"/>
              <w:autoSpaceDE/>
              <w:autoSpaceDN/>
              <w:bidi w:val="0"/>
              <w:adjustRightInd/>
              <w:snapToGrid/>
              <w:spacing w:line="72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采购人（甲方）：</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单位盖章</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或授权人（签字）</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联系电话：</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开户银行: </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帐号: </w:t>
            </w:r>
          </w:p>
          <w:p>
            <w:pPr>
              <w:keepNext w:val="0"/>
              <w:keepLines w:val="0"/>
              <w:pageBreakBefore w:val="0"/>
              <w:widowControl w:val="0"/>
              <w:kinsoku/>
              <w:wordWrap w:val="0"/>
              <w:overflowPunct/>
              <w:topLinePunct w:val="0"/>
              <w:autoSpaceDE/>
              <w:autoSpaceDN/>
              <w:bidi w:val="0"/>
              <w:adjustRightInd/>
              <w:snapToGrid/>
              <w:spacing w:line="720" w:lineRule="auto"/>
              <w:rPr>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日期：    年   月   日</w:t>
            </w:r>
          </w:p>
        </w:tc>
        <w:tc>
          <w:tcPr>
            <w:tcW w:w="4981" w:type="dxa"/>
            <w:vAlign w:val="top"/>
          </w:tcPr>
          <w:p>
            <w:pPr>
              <w:keepNext w:val="0"/>
              <w:keepLines w:val="0"/>
              <w:pageBreakBefore w:val="0"/>
              <w:widowControl w:val="0"/>
              <w:kinsoku/>
              <w:wordWrap w:val="0"/>
              <w:overflowPunct/>
              <w:topLinePunct w:val="0"/>
              <w:autoSpaceDE/>
              <w:autoSpaceDN/>
              <w:bidi w:val="0"/>
              <w:adjustRightInd/>
              <w:snapToGrid/>
              <w:spacing w:line="72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中标供应商（乙方）：</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单位盖章</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法定代表人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或授权人（签字）</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联系电话：</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开户银行: </w:t>
            </w:r>
          </w:p>
          <w:p>
            <w:pPr>
              <w:keepNext w:val="0"/>
              <w:keepLines w:val="0"/>
              <w:pageBreakBefore w:val="0"/>
              <w:widowControl w:val="0"/>
              <w:kinsoku/>
              <w:wordWrap w:val="0"/>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帐号: </w:t>
            </w:r>
          </w:p>
          <w:p>
            <w:pPr>
              <w:keepNext w:val="0"/>
              <w:keepLines w:val="0"/>
              <w:pageBreakBefore w:val="0"/>
              <w:widowControl w:val="0"/>
              <w:kinsoku/>
              <w:wordWrap w:val="0"/>
              <w:overflowPunct/>
              <w:topLinePunct w:val="0"/>
              <w:autoSpaceDE/>
              <w:autoSpaceDN/>
              <w:bidi w:val="0"/>
              <w:adjustRightInd/>
              <w:snapToGrid/>
              <w:spacing w:line="720" w:lineRule="auto"/>
              <w:rPr>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日期：    年   月   日</w:t>
            </w:r>
          </w:p>
        </w:tc>
      </w:tr>
    </w:tbl>
    <w:p>
      <w:pPr>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bookmarkStart w:id="66" w:name="_Toc10561"/>
      <w:bookmarkStart w:id="67" w:name="_Toc5279"/>
      <w:bookmarkStart w:id="68" w:name="_Toc1031"/>
      <w:bookmarkStart w:id="69" w:name="_Toc17547"/>
      <w:bookmarkStart w:id="70" w:name="_Toc2107"/>
      <w:bookmarkStart w:id="71" w:name="_Toc29327"/>
    </w:p>
    <w:p>
      <w:pPr>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jc w:val="center"/>
        <w:outlineLvl w:val="2"/>
        <w:rPr>
          <w:rFonts w:hint="eastAsia" w:asciiTheme="minorEastAsia" w:hAnsiTheme="minorEastAsia" w:eastAsiaTheme="minorEastAsia" w:cstheme="minorEastAsia"/>
          <w:b/>
          <w:color w:val="000000" w:themeColor="text1"/>
          <w:spacing w:val="0"/>
          <w:kern w:val="0"/>
          <w:sz w:val="32"/>
          <w:szCs w:val="32"/>
          <w:highlight w:val="none"/>
          <w14:textFill>
            <w14:solidFill>
              <w14:schemeClr w14:val="tx1"/>
            </w14:solidFill>
          </w14:textFill>
        </w:rPr>
      </w:pPr>
      <w:bookmarkStart w:id="72" w:name="_Toc17545"/>
      <w:r>
        <w:rPr>
          <w:rFonts w:hint="eastAsia" w:asciiTheme="minorEastAsia" w:hAnsiTheme="minorEastAsia" w:eastAsiaTheme="minorEastAsia" w:cstheme="minorEastAsia"/>
          <w:b/>
          <w:color w:val="000000" w:themeColor="text1"/>
          <w:spacing w:val="0"/>
          <w:kern w:val="0"/>
          <w:sz w:val="32"/>
          <w:szCs w:val="32"/>
          <w:highlight w:val="none"/>
          <w14:textFill>
            <w14:solidFill>
              <w14:schemeClr w14:val="tx1"/>
            </w14:solidFill>
          </w14:textFill>
        </w:rPr>
        <w:t>四、合同特殊条款</w:t>
      </w:r>
      <w:bookmarkEnd w:id="66"/>
      <w:bookmarkEnd w:id="67"/>
      <w:bookmarkEnd w:id="68"/>
      <w:bookmarkEnd w:id="69"/>
      <w:bookmarkEnd w:id="70"/>
      <w:bookmarkEnd w:id="71"/>
      <w:bookmarkEnd w:id="72"/>
    </w:p>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Cs w:val="21"/>
          <w:highlight w:val="none"/>
          <w14:textFill>
            <w14:solidFill>
              <w14:schemeClr w14:val="tx1"/>
            </w14:solidFill>
          </w14:textFill>
        </w:rPr>
        <w:t xml:space="preserve"> （如有）</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00" w:lineRule="auto"/>
        <w:ind w:firstLine="420" w:firstLineChars="200"/>
        <w:jc w:val="lef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p>
    <w:p>
      <w:pPr>
        <w:pStyle w:val="3"/>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73" w:name="_Toc7854"/>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第七章 谈判响应文件</w:t>
      </w:r>
      <w:bookmarkEnd w:id="73"/>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30"/>
          <w:szCs w:val="30"/>
          <w:highlight w:val="none"/>
          <w14:textFill>
            <w14:solidFill>
              <w14:schemeClr w14:val="tx1"/>
            </w14:solidFill>
          </w14:textFill>
        </w:rPr>
        <w:t>项目名称：</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30"/>
          <w:szCs w:val="30"/>
          <w:highlight w:val="none"/>
          <w14:textFill>
            <w14:solidFill>
              <w14:schemeClr w14:val="tx1"/>
            </w14:solidFill>
          </w14:textFill>
        </w:rPr>
        <w:t>项目编号：</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30"/>
          <w:szCs w:val="30"/>
          <w:highlight w:val="none"/>
          <w14:textFill>
            <w14:solidFill>
              <w14:schemeClr w14:val="tx1"/>
            </w14:solidFill>
          </w14:textFill>
        </w:rPr>
        <w:t>所投包号：</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谈</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判</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响</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应</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文</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72"/>
          <w:szCs w:val="72"/>
          <w:highlight w:val="none"/>
          <w14:textFill>
            <w14:solidFill>
              <w14:schemeClr w14:val="tx1"/>
            </w14:solidFill>
          </w14:textFill>
        </w:rPr>
        <w:t>件</w:t>
      </w: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30"/>
          <w:szCs w:val="30"/>
          <w:highlight w:val="none"/>
          <w14:textFill>
            <w14:solidFill>
              <w14:schemeClr w14:val="tx1"/>
            </w14:solidFill>
          </w14:textFill>
        </w:rPr>
        <w:t>供应商：</w:t>
      </w:r>
      <w:r>
        <w:rPr>
          <w:rFonts w:hint="eastAsia" w:asciiTheme="minorEastAsia" w:hAnsiTheme="minorEastAsia" w:eastAsiaTheme="minorEastAsia" w:cstheme="minorEastAsia"/>
          <w:b/>
          <w:bCs/>
          <w:color w:val="000000" w:themeColor="text1"/>
          <w:spacing w:val="0"/>
          <w:kern w:val="0"/>
          <w:sz w:val="30"/>
          <w:szCs w:val="30"/>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0"/>
          <w:kern w:val="0"/>
          <w:sz w:val="30"/>
          <w:szCs w:val="30"/>
          <w:highlight w:val="none"/>
          <w14:textFill>
            <w14:solidFill>
              <w14:schemeClr w14:val="tx1"/>
            </w14:solidFill>
          </w14:textFill>
        </w:rPr>
        <w:t>（签章）</w:t>
      </w:r>
    </w:p>
    <w:p>
      <w:pPr>
        <w:keepNext w:val="0"/>
        <w:keepLines w:val="0"/>
        <w:pageBreakBefore w:val="0"/>
        <w:widowControl w:val="0"/>
        <w:kinsoku/>
        <w:wordWrap w:val="0"/>
        <w:overflowPunct/>
        <w:topLinePunct w:val="0"/>
        <w:autoSpaceDE/>
        <w:autoSpaceDN/>
        <w:bidi w:val="0"/>
        <w:adjustRightInd/>
        <w:snapToGrid/>
        <w:spacing w:line="60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30"/>
          <w:szCs w:val="30"/>
          <w:highlight w:val="none"/>
          <w14:textFill>
            <w14:solidFill>
              <w14:schemeClr w14:val="tx1"/>
            </w14:solidFill>
          </w14:textFill>
        </w:rPr>
        <w:t>年</w:t>
      </w:r>
      <w:r>
        <w:rPr>
          <w:rFonts w:hint="eastAsia" w:asciiTheme="minorEastAsia" w:hAnsiTheme="minorEastAsia" w:eastAsiaTheme="minorEastAsia" w:cstheme="minorEastAsia"/>
          <w:b/>
          <w:bCs/>
          <w:color w:val="000000" w:themeColor="text1"/>
          <w:spacing w:val="0"/>
          <w:kern w:val="0"/>
          <w:sz w:val="30"/>
          <w:szCs w:val="3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0"/>
          <w:kern w:val="0"/>
          <w:sz w:val="30"/>
          <w:szCs w:val="30"/>
          <w:highlight w:val="none"/>
          <w14:textFill>
            <w14:solidFill>
              <w14:schemeClr w14:val="tx1"/>
            </w14:solidFill>
          </w14:textFill>
        </w:rPr>
        <w:t>月</w:t>
      </w:r>
      <w:r>
        <w:rPr>
          <w:rFonts w:hint="eastAsia" w:asciiTheme="minorEastAsia" w:hAnsiTheme="minorEastAsia" w:eastAsiaTheme="minorEastAsia" w:cstheme="minorEastAsia"/>
          <w:b/>
          <w:bCs/>
          <w:color w:val="000000" w:themeColor="text1"/>
          <w:spacing w:val="0"/>
          <w:kern w:val="0"/>
          <w:sz w:val="30"/>
          <w:szCs w:val="3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0"/>
          <w:kern w:val="0"/>
          <w:sz w:val="30"/>
          <w:szCs w:val="30"/>
          <w:highlight w:val="none"/>
          <w14:textFill>
            <w14:solidFill>
              <w14:schemeClr w14:val="tx1"/>
            </w14:solidFill>
          </w14:textFill>
        </w:rPr>
        <w:t>日</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bookmarkStart w:id="74" w:name="_Toc29041"/>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一、谈判响应函</w:t>
      </w:r>
      <w:bookmarkEnd w:id="74"/>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（采购人名称）：</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1、根据贵方</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（项目编号）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竞争性谈判公告，我们决定参加贵方组织的</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项目的采购活动。我方授权</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(姓名和职务)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代表我方</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（供应商全称）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全权处理本项目采购的有关事宜。</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2、我方愿意按照竞争性谈判文件规定的各项要求，向采购人提供所需</w:t>
      </w:r>
      <w:r>
        <w:rPr>
          <w:rFonts w:hint="eastAsia" w:asciiTheme="minorEastAsia" w:hAnsiTheme="minorEastAsia" w:eastAsiaTheme="minorEastAsia" w:cstheme="minorEastAsia"/>
          <w:color w:val="000000" w:themeColor="text1"/>
          <w:spacing w:val="0"/>
          <w:kern w:val="0"/>
          <w:highlight w:val="none"/>
          <w:lang w:eastAsia="zh-CN"/>
          <w14:textFill>
            <w14:solidFill>
              <w14:schemeClr w14:val="tx1"/>
            </w14:solidFill>
          </w14:textFill>
        </w:rPr>
        <w:t>监理</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服务，报价</w:t>
      </w:r>
      <w:r>
        <w:rPr>
          <w:rFonts w:hint="eastAsia" w:asciiTheme="minorEastAsia" w:hAnsiTheme="minorEastAsia" w:eastAsiaTheme="minorEastAsia" w:cstheme="minorEastAsia"/>
          <w:color w:val="000000" w:themeColor="text1"/>
          <w:spacing w:val="0"/>
          <w:kern w:val="0"/>
          <w:highlight w:val="none"/>
          <w:lang w:eastAsia="zh-CN"/>
          <w14:textFill>
            <w14:solidFill>
              <w14:schemeClr w14:val="tx1"/>
            </w14:solidFill>
          </w14:textFill>
        </w:rPr>
        <w:t>费率</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3、一旦我方中标，我方将严格履行合同规定的责任和义务，</w:t>
      </w:r>
      <w:r>
        <w:rPr>
          <w:rFonts w:hint="eastAsia" w:asciiTheme="minorEastAsia" w:hAnsiTheme="minorEastAsia" w:eastAsiaTheme="minorEastAsia" w:cstheme="minorEastAsia"/>
          <w:color w:val="000000" w:themeColor="text1"/>
          <w:spacing w:val="0"/>
          <w:kern w:val="0"/>
          <w:highlight w:val="none"/>
          <w:lang w:eastAsia="zh-CN"/>
          <w14:textFill>
            <w14:solidFill>
              <w14:schemeClr w14:val="tx1"/>
            </w14:solidFill>
          </w14:textFill>
        </w:rPr>
        <w:t>监理服务期限为</w:t>
      </w:r>
      <w:r>
        <w:rPr>
          <w:rFonts w:hint="eastAsia" w:asciiTheme="minorEastAsia" w:hAnsiTheme="minorEastAsia" w:eastAsiaTheme="minorEastAsia" w:cstheme="minorEastAsia"/>
          <w:color w:val="000000" w:themeColor="text1"/>
          <w:spacing w:val="0"/>
          <w:kern w:val="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4、我方同意按照竞争性谈判采购文件的要求，向贵方提交金额为人民币（大写）</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的谈判响应保证金。并且承诺，在采购有效期内如果我方撤回谈判响应文件或成交后拒绝签订合同，我方将放弃要求贵方退还该谈判响应保证金的权利。</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5、我方愿意提供贵方可能另外要求的、与谈判有关的文件资料，并保证我方已提供和将要提供的文件是真实的、准确的。</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6、我方提供以下开户行、账号，供结算货款（如果成交）：</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户名（全称）：</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开户行：</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账号（请填写完整）：</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（签章）</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法定代表人（签章）：</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网址：</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传真：</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75" w:name="_Toc12942"/>
      <w:bookmarkStart w:id="76" w:name="_Toc16286"/>
      <w:bookmarkStart w:id="77" w:name="_Toc21201"/>
      <w:bookmarkStart w:id="78" w:name="_Toc27469"/>
      <w:bookmarkStart w:id="79" w:name="_Toc5471"/>
      <w:bookmarkStart w:id="80" w:name="_Toc21050"/>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p>
    <w:bookmarkEnd w:id="75"/>
    <w:bookmarkEnd w:id="76"/>
    <w:bookmarkEnd w:id="77"/>
    <w:bookmarkEnd w:id="78"/>
    <w:bookmarkEnd w:id="79"/>
    <w:bookmarkEnd w:id="80"/>
    <w:p>
      <w:pPr>
        <w:pStyle w:val="4"/>
        <w:bidi w:val="0"/>
        <w:rPr>
          <w:rFonts w:hint="eastAsia"/>
          <w:color w:val="000000" w:themeColor="text1"/>
          <w:kern w:val="0"/>
          <w:highlight w:val="none"/>
          <w14:textFill>
            <w14:solidFill>
              <w14:schemeClr w14:val="tx1"/>
            </w14:solidFill>
          </w14:textFill>
        </w:rPr>
      </w:pPr>
      <w:bookmarkStart w:id="81" w:name="_Toc9489"/>
      <w:bookmarkStart w:id="82" w:name="_Toc12176"/>
      <w:bookmarkStart w:id="83" w:name="_Toc20605"/>
      <w:bookmarkStart w:id="84" w:name="_Toc29779"/>
      <w:bookmarkStart w:id="85" w:name="_Toc10510"/>
      <w:bookmarkStart w:id="86" w:name="_Toc31625"/>
      <w:bookmarkStart w:id="87" w:name="_Toc561"/>
      <w:bookmarkStart w:id="88" w:name="_Toc12930"/>
      <w:bookmarkStart w:id="89" w:name="_Toc12489"/>
      <w:bookmarkStart w:id="90" w:name="_Toc16505"/>
      <w:bookmarkStart w:id="91" w:name="_Toc15408"/>
      <w:r>
        <w:rPr>
          <w:rFonts w:hint="eastAsia"/>
          <w:color w:val="000000" w:themeColor="text1"/>
          <w:kern w:val="0"/>
          <w:highlight w:val="none"/>
          <w14:textFill>
            <w14:solidFill>
              <w14:schemeClr w14:val="tx1"/>
            </w14:solidFill>
          </w14:textFill>
        </w:rPr>
        <w:t>二、</w:t>
      </w:r>
      <w:bookmarkEnd w:id="81"/>
      <w:bookmarkEnd w:id="82"/>
      <w:bookmarkEnd w:id="83"/>
      <w:bookmarkEnd w:id="84"/>
      <w:bookmarkEnd w:id="85"/>
      <w:bookmarkEnd w:id="86"/>
      <w:bookmarkEnd w:id="87"/>
      <w:r>
        <w:rPr>
          <w:rFonts w:hint="eastAsia"/>
          <w:color w:val="000000" w:themeColor="text1"/>
          <w:kern w:val="0"/>
          <w:highlight w:val="none"/>
          <w14:textFill>
            <w14:solidFill>
              <w14:schemeClr w14:val="tx1"/>
            </w14:solidFill>
          </w14:textFill>
        </w:rPr>
        <w:t>服务分项报价表</w:t>
      </w:r>
      <w:bookmarkEnd w:id="88"/>
    </w:p>
    <w:p>
      <w:pPr>
        <w:ind w:firstLine="420"/>
        <w:rPr>
          <w:rFonts w:hint="eastAsia"/>
          <w:color w:val="000000" w:themeColor="text1"/>
          <w:kern w:val="0"/>
          <w:highlight w:val="none"/>
          <w:lang w:val="en-US" w:eastAsia="zh-CN"/>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 xml:space="preserve">    </w:t>
      </w:r>
    </w:p>
    <w:tbl>
      <w:tblPr>
        <w:tblStyle w:val="10"/>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5932"/>
        <w:gridCol w:w="1765"/>
        <w:gridCol w:w="1445"/>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815" w:type="dxa"/>
            <w:tcBorders>
              <w:top w:val="double" w:color="auto" w:sz="2"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932" w:type="dxa"/>
            <w:tcBorders>
              <w:top w:val="double" w:color="auto" w:sz="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内容</w:t>
            </w:r>
          </w:p>
        </w:tc>
        <w:tc>
          <w:tcPr>
            <w:tcW w:w="1765" w:type="dxa"/>
            <w:tcBorders>
              <w:top w:val="double" w:color="auto" w:sz="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费率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tc>
        <w:tc>
          <w:tcPr>
            <w:tcW w:w="1445" w:type="dxa"/>
            <w:tcBorders>
              <w:top w:val="double" w:color="auto" w:sz="2" w:space="0"/>
              <w:left w:val="single" w:color="auto" w:sz="4" w:space="0"/>
              <w:bottom w:val="single" w:color="auto" w:sz="4" w:space="0"/>
              <w:right w:val="double" w:color="auto" w:sz="2"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restart"/>
            <w:tcBorders>
              <w:top w:val="single" w:color="auto" w:sz="4" w:space="0"/>
              <w:left w:val="single" w:color="auto" w:sz="4" w:space="0"/>
              <w:bottom w:val="single" w:color="auto" w:sz="4" w:space="0"/>
              <w:right w:val="double" w:color="auto" w:sz="2"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5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5" w:type="dxa"/>
            <w:tcBorders>
              <w:top w:val="single" w:color="auto" w:sz="4" w:space="0"/>
              <w:left w:val="double" w:color="auto" w:sz="2" w:space="0"/>
              <w:bottom w:val="double" w:color="auto" w:sz="2" w:space="0"/>
              <w:right w:val="single" w:color="auto" w:sz="4"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合计</w:t>
            </w:r>
          </w:p>
        </w:tc>
        <w:tc>
          <w:tcPr>
            <w:tcW w:w="5932" w:type="dxa"/>
            <w:tcBorders>
              <w:top w:val="single" w:color="auto" w:sz="4" w:space="0"/>
              <w:left w:val="single" w:color="auto" w:sz="4" w:space="0"/>
              <w:bottom w:val="double" w:color="auto" w:sz="2" w:space="0"/>
              <w:right w:val="single" w:color="auto" w:sz="4"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p>
        </w:tc>
        <w:tc>
          <w:tcPr>
            <w:tcW w:w="1765" w:type="dxa"/>
            <w:tcBorders>
              <w:top w:val="single" w:color="auto" w:sz="4" w:space="0"/>
              <w:left w:val="single" w:color="auto" w:sz="4" w:space="0"/>
              <w:bottom w:val="double" w:color="auto" w:sz="2" w:space="0"/>
              <w:right w:val="single" w:color="auto" w:sz="4" w:space="0"/>
            </w:tcBorders>
            <w:noWrap w:val="0"/>
            <w:vAlign w:val="center"/>
          </w:tcPr>
          <w:p>
            <w:pPr>
              <w:jc w:val="center"/>
              <w:rPr>
                <w:rFonts w:hint="eastAsia" w:ascii="宋体" w:hAnsi="宋体" w:eastAsia="宋体" w:cs="宋体"/>
                <w:b/>
                <w:bCs/>
                <w:color w:val="000000" w:themeColor="text1"/>
                <w:sz w:val="24"/>
                <w:szCs w:val="24"/>
                <w14:textFill>
                  <w14:solidFill>
                    <w14:schemeClr w14:val="tx1"/>
                  </w14:solidFill>
                </w14:textFill>
              </w:rPr>
            </w:pPr>
          </w:p>
        </w:tc>
        <w:tc>
          <w:tcPr>
            <w:tcW w:w="1445" w:type="dxa"/>
            <w:vMerge w:val="continue"/>
            <w:tcBorders>
              <w:top w:val="single" w:color="auto" w:sz="4" w:space="0"/>
              <w:left w:val="single" w:color="auto" w:sz="4" w:space="0"/>
              <w:bottom w:val="single" w:color="auto" w:sz="4" w:space="0"/>
              <w:right w:val="double" w:color="auto" w:sz="2" w:space="0"/>
            </w:tcBorders>
            <w:noWrap w:val="0"/>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bl>
    <w:p>
      <w:pPr>
        <w:rPr>
          <w:rFonts w:hint="eastAsia"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 xml:space="preserve">     </w:t>
      </w:r>
    </w:p>
    <w:p>
      <w:pPr>
        <w:pStyle w:val="24"/>
        <w:bidi w:val="0"/>
        <w:rPr>
          <w:rFonts w:hint="eastAsia"/>
          <w:color w:val="000000" w:themeColor="text1"/>
          <w:kern w:val="0"/>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注：本表应清楚地标明供应商拟提供的服务或工程费用等内容，其合计价格应与开标一览表中的总报价保持一致</w:t>
      </w:r>
      <w:r>
        <w:rPr>
          <w:rFonts w:hint="eastAsia"/>
          <w:color w:val="000000" w:themeColor="text1"/>
          <w:kern w:val="0"/>
          <w:sz w:val="21"/>
          <w:szCs w:val="21"/>
          <w:highlight w:val="none"/>
          <w:lang w:val="en-US" w:eastAsia="zh-CN"/>
          <w14:textFill>
            <w14:solidFill>
              <w14:schemeClr w14:val="tx1"/>
            </w14:solidFill>
          </w14:textFill>
        </w:rPr>
        <w:t>。</w:t>
      </w:r>
      <w:r>
        <w:rPr>
          <w:rFonts w:hint="eastAsia"/>
          <w:color w:val="000000" w:themeColor="text1"/>
          <w:kern w:val="0"/>
          <w:highlight w:val="none"/>
          <w14:textFill>
            <w14:solidFill>
              <w14:schemeClr w14:val="tx1"/>
            </w14:solidFill>
          </w14:textFill>
        </w:rPr>
        <w:br w:type="page"/>
      </w:r>
    </w:p>
    <w:p>
      <w:pPr>
        <w:pStyle w:val="4"/>
        <w:bidi w:val="0"/>
        <w:rPr>
          <w:color w:val="000000" w:themeColor="text1"/>
          <w:kern w:val="0"/>
          <w:highlight w:val="none"/>
          <w14:textFill>
            <w14:solidFill>
              <w14:schemeClr w14:val="tx1"/>
            </w14:solidFill>
          </w14:textFill>
        </w:rPr>
      </w:pPr>
      <w:bookmarkStart w:id="92" w:name="_Toc10672"/>
      <w:bookmarkStart w:id="93" w:name="_Toc27765"/>
      <w:r>
        <w:rPr>
          <w:rFonts w:hint="eastAsia"/>
          <w:color w:val="000000" w:themeColor="text1"/>
          <w:kern w:val="0"/>
          <w:highlight w:val="none"/>
          <w:lang w:eastAsia="zh-CN"/>
          <w14:textFill>
            <w14:solidFill>
              <w14:schemeClr w14:val="tx1"/>
            </w14:solidFill>
          </w14:textFill>
        </w:rPr>
        <w:t>三</w:t>
      </w:r>
      <w:r>
        <w:rPr>
          <w:rFonts w:hint="eastAsia"/>
          <w:color w:val="000000" w:themeColor="text1"/>
          <w:kern w:val="0"/>
          <w:highlight w:val="none"/>
          <w14:textFill>
            <w14:solidFill>
              <w14:schemeClr w14:val="tx1"/>
            </w14:solidFill>
          </w14:textFill>
        </w:rPr>
        <w:t>、</w:t>
      </w:r>
      <w:bookmarkEnd w:id="89"/>
      <w:bookmarkEnd w:id="90"/>
      <w:bookmarkEnd w:id="91"/>
      <w:bookmarkEnd w:id="92"/>
      <w:r>
        <w:rPr>
          <w:rFonts w:hint="eastAsia"/>
          <w:color w:val="000000" w:themeColor="text1"/>
          <w:kern w:val="0"/>
          <w:highlight w:val="none"/>
          <w14:textFill>
            <w14:solidFill>
              <w14:schemeClr w14:val="tx1"/>
            </w14:solidFill>
          </w14:textFill>
        </w:rPr>
        <w:t>项目要求响应情况表</w:t>
      </w:r>
      <w:bookmarkEnd w:id="93"/>
    </w:p>
    <w:p>
      <w:pPr>
        <w:keepNext w:val="0"/>
        <w:keepLines w:val="0"/>
        <w:pageBreakBefore w:val="0"/>
        <w:widowControl w:val="0"/>
        <w:kinsoku/>
        <w:wordWrap w:val="0"/>
        <w:overflowPunct/>
        <w:topLinePunct w:val="0"/>
        <w:autoSpaceDE/>
        <w:autoSpaceDN/>
        <w:bidi w:val="0"/>
        <w:adjustRightInd/>
        <w:snapToGrid/>
        <w:textAlignment w:val="auto"/>
        <w:rPr>
          <w:color w:val="000000" w:themeColor="text1"/>
          <w:kern w:val="0"/>
          <w:highlight w:val="none"/>
          <w14:textFill>
            <w14:solidFill>
              <w14:schemeClr w14:val="tx1"/>
            </w14:solidFill>
          </w14:textFill>
        </w:rPr>
      </w:pP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3535"/>
        <w:gridCol w:w="2921"/>
        <w:gridCol w:w="13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15" w:type="dxa"/>
            <w:noWrap w:val="0"/>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序号</w:t>
            </w:r>
          </w:p>
        </w:tc>
        <w:tc>
          <w:tcPr>
            <w:tcW w:w="3535" w:type="dxa"/>
            <w:noWrap w:val="0"/>
            <w:vAlign w:val="center"/>
          </w:tcPr>
          <w:p>
            <w:pPr>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谈判文件要求</w:t>
            </w:r>
          </w:p>
        </w:tc>
        <w:tc>
          <w:tcPr>
            <w:tcW w:w="2921" w:type="dxa"/>
            <w:noWrap w:val="0"/>
            <w:vAlign w:val="center"/>
          </w:tcPr>
          <w:p>
            <w:pPr>
              <w:ind w:firstLine="630" w:firstLineChars="3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供应商填写</w:t>
            </w:r>
          </w:p>
        </w:tc>
        <w:tc>
          <w:tcPr>
            <w:tcW w:w="1382" w:type="dxa"/>
            <w:noWrap w:val="0"/>
            <w:vAlign w:val="center"/>
          </w:tcPr>
          <w:p>
            <w:pPr>
              <w:ind w:firstLine="105" w:firstLineChars="5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15" w:type="dxa"/>
            <w:noWrap w:val="0"/>
            <w:vAlign w:val="center"/>
          </w:tcPr>
          <w:p>
            <w:pPr>
              <w:rPr>
                <w:rFonts w:ascii="宋体" w:hAnsi="宋体" w:cs="Arial"/>
                <w:color w:val="000000" w:themeColor="text1"/>
                <w:szCs w:val="21"/>
                <w14:textFill>
                  <w14:solidFill>
                    <w14:schemeClr w14:val="tx1"/>
                  </w14:solidFill>
                </w14:textFill>
              </w:rPr>
            </w:pPr>
          </w:p>
        </w:tc>
        <w:tc>
          <w:tcPr>
            <w:tcW w:w="3535" w:type="dxa"/>
            <w:noWrap w:val="0"/>
            <w:vAlign w:val="center"/>
          </w:tcPr>
          <w:p>
            <w:pPr>
              <w:rPr>
                <w:rFonts w:ascii="宋体" w:hAnsi="宋体" w:cs="Arial"/>
                <w:color w:val="000000" w:themeColor="text1"/>
                <w:szCs w:val="21"/>
                <w14:textFill>
                  <w14:solidFill>
                    <w14:schemeClr w14:val="tx1"/>
                  </w14:solidFill>
                </w14:textFill>
              </w:rPr>
            </w:pPr>
          </w:p>
        </w:tc>
        <w:tc>
          <w:tcPr>
            <w:tcW w:w="2921" w:type="dxa"/>
            <w:noWrap w:val="0"/>
            <w:vAlign w:val="top"/>
          </w:tcPr>
          <w:p>
            <w:pPr>
              <w:rPr>
                <w:rFonts w:ascii="宋体" w:hAnsi="宋体" w:cs="Arial"/>
                <w:color w:val="000000" w:themeColor="text1"/>
                <w:szCs w:val="21"/>
                <w14:textFill>
                  <w14:solidFill>
                    <w14:schemeClr w14:val="tx1"/>
                  </w14:solidFill>
                </w14:textFill>
              </w:rPr>
            </w:pPr>
          </w:p>
        </w:tc>
        <w:tc>
          <w:tcPr>
            <w:tcW w:w="1382" w:type="dxa"/>
            <w:noWrap w:val="0"/>
            <w:vAlign w:val="top"/>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15" w:type="dxa"/>
            <w:noWrap w:val="0"/>
            <w:vAlign w:val="center"/>
          </w:tcPr>
          <w:p>
            <w:pPr>
              <w:jc w:val="center"/>
              <w:rPr>
                <w:rFonts w:ascii="宋体" w:hAnsi="宋体" w:cs="Arial"/>
                <w:color w:val="000000" w:themeColor="text1"/>
                <w:szCs w:val="21"/>
                <w14:textFill>
                  <w14:solidFill>
                    <w14:schemeClr w14:val="tx1"/>
                  </w14:solidFill>
                </w14:textFill>
              </w:rPr>
            </w:pPr>
          </w:p>
        </w:tc>
        <w:tc>
          <w:tcPr>
            <w:tcW w:w="3535" w:type="dxa"/>
            <w:noWrap w:val="0"/>
            <w:vAlign w:val="center"/>
          </w:tcPr>
          <w:p>
            <w:pPr>
              <w:rPr>
                <w:rFonts w:ascii="宋体" w:hAnsi="宋体" w:cs="Arial"/>
                <w:color w:val="000000" w:themeColor="text1"/>
                <w:szCs w:val="21"/>
                <w14:textFill>
                  <w14:solidFill>
                    <w14:schemeClr w14:val="tx1"/>
                  </w14:solidFill>
                </w14:textFill>
              </w:rPr>
            </w:pPr>
          </w:p>
        </w:tc>
        <w:tc>
          <w:tcPr>
            <w:tcW w:w="2921" w:type="dxa"/>
            <w:noWrap w:val="0"/>
            <w:vAlign w:val="top"/>
          </w:tcPr>
          <w:p>
            <w:pPr>
              <w:rPr>
                <w:rFonts w:ascii="宋体" w:hAnsi="宋体" w:cs="Arial"/>
                <w:color w:val="000000" w:themeColor="text1"/>
                <w:szCs w:val="21"/>
                <w14:textFill>
                  <w14:solidFill>
                    <w14:schemeClr w14:val="tx1"/>
                  </w14:solidFill>
                </w14:textFill>
              </w:rPr>
            </w:pPr>
          </w:p>
        </w:tc>
        <w:tc>
          <w:tcPr>
            <w:tcW w:w="1382" w:type="dxa"/>
            <w:noWrap w:val="0"/>
            <w:vAlign w:val="top"/>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15" w:type="dxa"/>
            <w:noWrap w:val="0"/>
            <w:vAlign w:val="center"/>
          </w:tcPr>
          <w:p>
            <w:pPr>
              <w:rPr>
                <w:rFonts w:ascii="宋体" w:hAnsi="宋体" w:cs="Arial"/>
                <w:color w:val="000000" w:themeColor="text1"/>
                <w:szCs w:val="21"/>
                <w14:textFill>
                  <w14:solidFill>
                    <w14:schemeClr w14:val="tx1"/>
                  </w14:solidFill>
                </w14:textFill>
              </w:rPr>
            </w:pPr>
          </w:p>
        </w:tc>
        <w:tc>
          <w:tcPr>
            <w:tcW w:w="3535" w:type="dxa"/>
            <w:noWrap w:val="0"/>
            <w:vAlign w:val="center"/>
          </w:tcPr>
          <w:p>
            <w:pPr>
              <w:rPr>
                <w:rFonts w:ascii="宋体" w:hAnsi="宋体" w:cs="Arial"/>
                <w:color w:val="000000" w:themeColor="text1"/>
                <w:szCs w:val="21"/>
                <w14:textFill>
                  <w14:solidFill>
                    <w14:schemeClr w14:val="tx1"/>
                  </w14:solidFill>
                </w14:textFill>
              </w:rPr>
            </w:pPr>
          </w:p>
        </w:tc>
        <w:tc>
          <w:tcPr>
            <w:tcW w:w="2921" w:type="dxa"/>
            <w:noWrap w:val="0"/>
            <w:vAlign w:val="top"/>
          </w:tcPr>
          <w:p>
            <w:pPr>
              <w:rPr>
                <w:rFonts w:ascii="宋体" w:hAnsi="宋体" w:cs="Arial"/>
                <w:color w:val="000000" w:themeColor="text1"/>
                <w:szCs w:val="21"/>
                <w14:textFill>
                  <w14:solidFill>
                    <w14:schemeClr w14:val="tx1"/>
                  </w14:solidFill>
                </w14:textFill>
              </w:rPr>
            </w:pPr>
          </w:p>
        </w:tc>
        <w:tc>
          <w:tcPr>
            <w:tcW w:w="1382" w:type="dxa"/>
            <w:noWrap w:val="0"/>
            <w:vAlign w:val="top"/>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15" w:type="dxa"/>
            <w:noWrap w:val="0"/>
            <w:vAlign w:val="center"/>
          </w:tcPr>
          <w:p>
            <w:pPr>
              <w:jc w:val="center"/>
              <w:rPr>
                <w:rFonts w:ascii="宋体" w:hAnsi="宋体" w:cs="Arial"/>
                <w:color w:val="000000" w:themeColor="text1"/>
                <w:szCs w:val="21"/>
                <w14:textFill>
                  <w14:solidFill>
                    <w14:schemeClr w14:val="tx1"/>
                  </w14:solidFill>
                </w14:textFill>
              </w:rPr>
            </w:pPr>
          </w:p>
        </w:tc>
        <w:tc>
          <w:tcPr>
            <w:tcW w:w="3535" w:type="dxa"/>
            <w:noWrap w:val="0"/>
            <w:vAlign w:val="center"/>
          </w:tcPr>
          <w:p>
            <w:pPr>
              <w:rPr>
                <w:rFonts w:ascii="宋体" w:hAnsi="宋体" w:cs="Arial"/>
                <w:color w:val="000000" w:themeColor="text1"/>
                <w:szCs w:val="21"/>
                <w14:textFill>
                  <w14:solidFill>
                    <w14:schemeClr w14:val="tx1"/>
                  </w14:solidFill>
                </w14:textFill>
              </w:rPr>
            </w:pPr>
          </w:p>
        </w:tc>
        <w:tc>
          <w:tcPr>
            <w:tcW w:w="2921" w:type="dxa"/>
            <w:noWrap w:val="0"/>
            <w:vAlign w:val="top"/>
          </w:tcPr>
          <w:p>
            <w:pPr>
              <w:rPr>
                <w:rFonts w:ascii="宋体" w:hAnsi="宋体" w:cs="Arial"/>
                <w:color w:val="000000" w:themeColor="text1"/>
                <w:szCs w:val="21"/>
                <w14:textFill>
                  <w14:solidFill>
                    <w14:schemeClr w14:val="tx1"/>
                  </w14:solidFill>
                </w14:textFill>
              </w:rPr>
            </w:pPr>
          </w:p>
        </w:tc>
        <w:tc>
          <w:tcPr>
            <w:tcW w:w="1382" w:type="dxa"/>
            <w:noWrap w:val="0"/>
            <w:vAlign w:val="top"/>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15" w:type="dxa"/>
            <w:noWrap w:val="0"/>
            <w:vAlign w:val="center"/>
          </w:tcPr>
          <w:p>
            <w:pPr>
              <w:jc w:val="center"/>
              <w:rPr>
                <w:rFonts w:ascii="宋体" w:hAnsi="宋体" w:cs="Arial"/>
                <w:color w:val="000000" w:themeColor="text1"/>
                <w:szCs w:val="21"/>
                <w14:textFill>
                  <w14:solidFill>
                    <w14:schemeClr w14:val="tx1"/>
                  </w14:solidFill>
                </w14:textFill>
              </w:rPr>
            </w:pPr>
          </w:p>
        </w:tc>
        <w:tc>
          <w:tcPr>
            <w:tcW w:w="3535" w:type="dxa"/>
            <w:noWrap w:val="0"/>
            <w:vAlign w:val="center"/>
          </w:tcPr>
          <w:p>
            <w:pPr>
              <w:rPr>
                <w:rFonts w:ascii="宋体" w:hAnsi="宋体" w:cs="Arial"/>
                <w:color w:val="000000" w:themeColor="text1"/>
                <w:szCs w:val="21"/>
                <w14:textFill>
                  <w14:solidFill>
                    <w14:schemeClr w14:val="tx1"/>
                  </w14:solidFill>
                </w14:textFill>
              </w:rPr>
            </w:pPr>
          </w:p>
        </w:tc>
        <w:tc>
          <w:tcPr>
            <w:tcW w:w="2921" w:type="dxa"/>
            <w:noWrap w:val="0"/>
            <w:vAlign w:val="top"/>
          </w:tcPr>
          <w:p>
            <w:pPr>
              <w:rPr>
                <w:rFonts w:ascii="宋体" w:hAnsi="宋体" w:cs="Arial"/>
                <w:color w:val="000000" w:themeColor="text1"/>
                <w:szCs w:val="21"/>
                <w14:textFill>
                  <w14:solidFill>
                    <w14:schemeClr w14:val="tx1"/>
                  </w14:solidFill>
                </w14:textFill>
              </w:rPr>
            </w:pPr>
          </w:p>
        </w:tc>
        <w:tc>
          <w:tcPr>
            <w:tcW w:w="1382" w:type="dxa"/>
            <w:noWrap w:val="0"/>
            <w:vAlign w:val="top"/>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15" w:type="dxa"/>
            <w:noWrap w:val="0"/>
            <w:vAlign w:val="center"/>
          </w:tcPr>
          <w:p>
            <w:pPr>
              <w:jc w:val="center"/>
              <w:rPr>
                <w:rFonts w:ascii="宋体" w:hAnsi="宋体" w:cs="Arial"/>
                <w:color w:val="000000" w:themeColor="text1"/>
                <w:szCs w:val="21"/>
                <w14:textFill>
                  <w14:solidFill>
                    <w14:schemeClr w14:val="tx1"/>
                  </w14:solidFill>
                </w14:textFill>
              </w:rPr>
            </w:pPr>
          </w:p>
        </w:tc>
        <w:tc>
          <w:tcPr>
            <w:tcW w:w="3535" w:type="dxa"/>
            <w:noWrap w:val="0"/>
            <w:vAlign w:val="center"/>
          </w:tcPr>
          <w:p>
            <w:pPr>
              <w:rPr>
                <w:rFonts w:ascii="宋体" w:hAnsi="宋体" w:cs="Arial"/>
                <w:color w:val="000000" w:themeColor="text1"/>
                <w:szCs w:val="21"/>
                <w14:textFill>
                  <w14:solidFill>
                    <w14:schemeClr w14:val="tx1"/>
                  </w14:solidFill>
                </w14:textFill>
              </w:rPr>
            </w:pPr>
          </w:p>
        </w:tc>
        <w:tc>
          <w:tcPr>
            <w:tcW w:w="2921" w:type="dxa"/>
            <w:noWrap w:val="0"/>
            <w:vAlign w:val="top"/>
          </w:tcPr>
          <w:p>
            <w:pPr>
              <w:rPr>
                <w:rFonts w:ascii="宋体" w:hAnsi="宋体" w:cs="Arial"/>
                <w:color w:val="000000" w:themeColor="text1"/>
                <w:szCs w:val="21"/>
                <w14:textFill>
                  <w14:solidFill>
                    <w14:schemeClr w14:val="tx1"/>
                  </w14:solidFill>
                </w14:textFill>
              </w:rPr>
            </w:pPr>
          </w:p>
        </w:tc>
        <w:tc>
          <w:tcPr>
            <w:tcW w:w="1382" w:type="dxa"/>
            <w:noWrap w:val="0"/>
            <w:vAlign w:val="top"/>
          </w:tcPr>
          <w:p>
            <w:pP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115" w:type="dxa"/>
            <w:noWrap w:val="0"/>
            <w:vAlign w:val="center"/>
          </w:tcPr>
          <w:p>
            <w:pPr>
              <w:jc w:val="center"/>
              <w:rPr>
                <w:rFonts w:ascii="宋体" w:hAnsi="宋体" w:cs="Arial"/>
                <w:color w:val="000000" w:themeColor="text1"/>
                <w:szCs w:val="21"/>
                <w14:textFill>
                  <w14:solidFill>
                    <w14:schemeClr w14:val="tx1"/>
                  </w14:solidFill>
                </w14:textFill>
              </w:rPr>
            </w:pPr>
          </w:p>
        </w:tc>
        <w:tc>
          <w:tcPr>
            <w:tcW w:w="3535" w:type="dxa"/>
            <w:noWrap w:val="0"/>
            <w:vAlign w:val="center"/>
          </w:tcPr>
          <w:p>
            <w:pPr>
              <w:rPr>
                <w:rFonts w:ascii="宋体" w:hAnsi="宋体" w:cs="Arial"/>
                <w:color w:val="000000" w:themeColor="text1"/>
                <w:szCs w:val="21"/>
                <w14:textFill>
                  <w14:solidFill>
                    <w14:schemeClr w14:val="tx1"/>
                  </w14:solidFill>
                </w14:textFill>
              </w:rPr>
            </w:pPr>
          </w:p>
        </w:tc>
        <w:tc>
          <w:tcPr>
            <w:tcW w:w="2921" w:type="dxa"/>
            <w:noWrap w:val="0"/>
            <w:vAlign w:val="top"/>
          </w:tcPr>
          <w:p>
            <w:pPr>
              <w:rPr>
                <w:rFonts w:ascii="宋体" w:hAnsi="宋体" w:cs="Arial"/>
                <w:color w:val="000000" w:themeColor="text1"/>
                <w:szCs w:val="21"/>
                <w14:textFill>
                  <w14:solidFill>
                    <w14:schemeClr w14:val="tx1"/>
                  </w14:solidFill>
                </w14:textFill>
              </w:rPr>
            </w:pPr>
          </w:p>
        </w:tc>
        <w:tc>
          <w:tcPr>
            <w:tcW w:w="1382" w:type="dxa"/>
            <w:noWrap w:val="0"/>
            <w:vAlign w:val="top"/>
          </w:tcPr>
          <w:p>
            <w:pPr>
              <w:rPr>
                <w:rFonts w:ascii="宋体" w:hAnsi="宋体" w:cs="Arial"/>
                <w:color w:val="000000" w:themeColor="text1"/>
                <w:szCs w:val="21"/>
                <w14:textFill>
                  <w14:solidFill>
                    <w14:schemeClr w14:val="tx1"/>
                  </w14:solidFill>
                </w14:textFill>
              </w:rPr>
            </w:pPr>
          </w:p>
        </w:tc>
      </w:tr>
    </w:tbl>
    <w:p>
      <w:pPr>
        <w:keepNext w:val="0"/>
        <w:keepLines w:val="0"/>
        <w:pageBreakBefore w:val="0"/>
        <w:widowControl w:val="0"/>
        <w:kinsoku/>
        <w:wordWrap w:val="0"/>
        <w:overflowPunct/>
        <w:topLinePunct w:val="0"/>
        <w:autoSpaceDE/>
        <w:autoSpaceDN/>
        <w:bidi w:val="0"/>
        <w:adjustRightInd/>
        <w:snapToGrid/>
        <w:textAlignment w:val="auto"/>
        <w:rPr>
          <w:rFonts w:ascii="宋体" w:hAnsi="宋体" w:cs="Arial"/>
          <w:b/>
          <w:bCs/>
          <w:color w:val="000000" w:themeColor="text1"/>
          <w:kern w:val="0"/>
          <w:highlight w:val="none"/>
          <w14:textFill>
            <w14:solidFill>
              <w14:schemeClr w14:val="tx1"/>
            </w14:solidFill>
          </w14:textFill>
        </w:rPr>
      </w:pPr>
    </w:p>
    <w:p>
      <w:pPr>
        <w:pStyle w:val="24"/>
        <w:keepNext w:val="0"/>
        <w:keepLines w:val="0"/>
        <w:pageBreakBefore w:val="0"/>
        <w:widowControl w:val="0"/>
        <w:kinsoku/>
        <w:wordWrap w:val="0"/>
        <w:overflowPunct/>
        <w:topLinePunct w:val="0"/>
        <w:autoSpaceDE/>
        <w:autoSpaceDN/>
        <w:bidi w:val="0"/>
        <w:adjustRightInd/>
        <w:snapToGrid/>
        <w:ind w:firstLine="480"/>
        <w:textAlignment w:val="auto"/>
        <w:rPr>
          <w:b/>
          <w:bCs/>
          <w:color w:val="000000" w:themeColor="text1"/>
          <w:kern w:val="0"/>
          <w:sz w:val="21"/>
          <w:szCs w:val="21"/>
          <w:highlight w:val="none"/>
          <w14:textFill>
            <w14:solidFill>
              <w14:schemeClr w14:val="tx1"/>
            </w14:solidFill>
          </w14:textFill>
        </w:rPr>
      </w:pPr>
      <w:r>
        <w:rPr>
          <w:rFonts w:hint="eastAsia"/>
          <w:b/>
          <w:bCs/>
          <w:color w:val="000000" w:themeColor="text1"/>
          <w:kern w:val="0"/>
          <w:sz w:val="21"/>
          <w:szCs w:val="21"/>
          <w:highlight w:val="none"/>
          <w14:textFill>
            <w14:solidFill>
              <w14:schemeClr w14:val="tx1"/>
            </w14:solidFill>
          </w14:textFill>
        </w:rPr>
        <w:t>注意：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1、供应商必须将自己的服务真实、准确地填入“供应商响应情况”中，不得以“同左”或“同上”形式填写。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2、供应商必须根据自己所提供的施工或者服务与“谈判文件要求”的差异情况，实事求是地填写“响应情况”（优于、满足、不满足），并将这些差异内容用加粗的字体显示出来，不得出现通过改动谈判文件要求而使自已满足要求的情况。</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3、如果供应商没有按前述要求去做，在项目评审中将可能被认为是未对谈判文件作出实质上的响应，或被视作不诚信供应商而拒绝对其做进一步的评审。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4、本表填报顺序需按谈判文件“第三章第一大项”中的顺序填写</w:t>
      </w: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br w:type="page"/>
      </w:r>
    </w:p>
    <w:p>
      <w:pPr>
        <w:pStyle w:val="4"/>
        <w:bidi w:val="0"/>
        <w:rPr>
          <w:rFonts w:hint="eastAsia"/>
          <w:color w:val="000000" w:themeColor="text1"/>
          <w:kern w:val="0"/>
          <w:highlight w:val="none"/>
          <w14:textFill>
            <w14:solidFill>
              <w14:schemeClr w14:val="tx1"/>
            </w14:solidFill>
          </w14:textFill>
        </w:rPr>
      </w:pPr>
      <w:bookmarkStart w:id="94" w:name="_Toc2968"/>
      <w:bookmarkStart w:id="95" w:name="_Toc13725"/>
      <w:r>
        <w:rPr>
          <w:rFonts w:hint="eastAsia"/>
          <w:color w:val="000000" w:themeColor="text1"/>
          <w:kern w:val="0"/>
          <w:highlight w:val="none"/>
          <w14:textFill>
            <w14:solidFill>
              <w14:schemeClr w14:val="tx1"/>
            </w14:solidFill>
          </w14:textFill>
        </w:rPr>
        <w:t>四、商务要求响应情况表</w:t>
      </w:r>
      <w:bookmarkEnd w:id="94"/>
      <w:bookmarkEnd w:id="95"/>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 xml:space="preserve"> </w:t>
      </w:r>
    </w:p>
    <w:tbl>
      <w:tblPr>
        <w:tblStyle w:val="10"/>
        <w:tblW w:w="0" w:type="auto"/>
        <w:jc w:val="center"/>
        <w:tblLayout w:type="autofit"/>
        <w:tblCellMar>
          <w:top w:w="0" w:type="dxa"/>
          <w:left w:w="0" w:type="dxa"/>
          <w:bottom w:w="0" w:type="dxa"/>
          <w:right w:w="0" w:type="dxa"/>
        </w:tblCellMar>
      </w:tblPr>
      <w:tblGrid>
        <w:gridCol w:w="1069"/>
        <w:gridCol w:w="3814"/>
        <w:gridCol w:w="3595"/>
        <w:gridCol w:w="1293"/>
      </w:tblGrid>
      <w:tr>
        <w:tblPrEx>
          <w:tblCellMar>
            <w:top w:w="0" w:type="dxa"/>
            <w:left w:w="0" w:type="dxa"/>
            <w:bottom w:w="0" w:type="dxa"/>
            <w:right w:w="0" w:type="dxa"/>
          </w:tblCellMar>
        </w:tblPrEx>
        <w:trPr>
          <w:trHeight w:val="630" w:hRule="atLeast"/>
          <w:jc w:val="center"/>
        </w:trPr>
        <w:tc>
          <w:tcPr>
            <w:tcW w:w="1069" w:type="dxa"/>
            <w:tcBorders>
              <w:top w:val="double" w:color="000000" w:sz="4"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序号</w:t>
            </w:r>
          </w:p>
        </w:tc>
        <w:tc>
          <w:tcPr>
            <w:tcW w:w="3814" w:type="dxa"/>
            <w:tcBorders>
              <w:top w:val="double" w:color="000000" w:sz="4"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谈判文件要求</w:t>
            </w:r>
          </w:p>
        </w:tc>
        <w:tc>
          <w:tcPr>
            <w:tcW w:w="3595" w:type="dxa"/>
            <w:tcBorders>
              <w:top w:val="double" w:color="000000" w:sz="4"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ind w:firstLine="630" w:firstLineChars="300"/>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供应商填写</w:t>
            </w:r>
          </w:p>
        </w:tc>
        <w:tc>
          <w:tcPr>
            <w:tcW w:w="1293" w:type="dxa"/>
            <w:tcBorders>
              <w:top w:val="double" w:color="000000" w:sz="4"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响应情况</w:t>
            </w: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78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single" w:color="000000" w:sz="8" w:space="0"/>
              <w:right w:val="double" w:color="000000" w:sz="4"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570" w:hRule="atLeast"/>
          <w:jc w:val="center"/>
        </w:trPr>
        <w:tc>
          <w:tcPr>
            <w:tcW w:w="1069" w:type="dxa"/>
            <w:tcBorders>
              <w:top w:val="single" w:color="000000" w:sz="8" w:space="0"/>
              <w:left w:val="double" w:color="000000" w:sz="4" w:space="0"/>
              <w:bottom w:val="double" w:color="000000" w:sz="4"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814" w:type="dxa"/>
            <w:tcBorders>
              <w:top w:val="single" w:color="000000" w:sz="8" w:space="0"/>
              <w:left w:val="single" w:color="000000" w:sz="8" w:space="0"/>
              <w:bottom w:val="double" w:color="000000" w:sz="4"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3595" w:type="dxa"/>
            <w:tcBorders>
              <w:top w:val="single" w:color="000000" w:sz="8" w:space="0"/>
              <w:left w:val="single" w:color="000000" w:sz="8" w:space="0"/>
              <w:bottom w:val="double" w:color="000000" w:sz="4"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p>
        </w:tc>
        <w:tc>
          <w:tcPr>
            <w:tcW w:w="1293" w:type="dxa"/>
            <w:tcBorders>
              <w:top w:val="single" w:color="000000" w:sz="8" w:space="0"/>
              <w:left w:val="single" w:color="000000" w:sz="8" w:space="0"/>
              <w:bottom w:val="double" w:color="000000" w:sz="4" w:space="0"/>
              <w:right w:val="double" w:color="000000" w:sz="4" w:space="0"/>
            </w:tcBorders>
            <w:noWrap/>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rPr>
                <w:rFonts w:hint="eastAsia" w:asciiTheme="minorEastAsia" w:hAnsiTheme="minorEastAsia" w:eastAsiaTheme="minorEastAsia" w:cstheme="minorEastAsia"/>
                <w:color w:val="000000" w:themeColor="text1"/>
                <w:spacing w:val="0"/>
                <w:kern w:val="0"/>
                <w:sz w:val="24"/>
                <w:highlight w:val="none"/>
                <w14:textFill>
                  <w14:solidFill>
                    <w14:schemeClr w14:val="tx1"/>
                  </w14:solidFill>
                </w14:textFill>
              </w:rPr>
            </w:pP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注意：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1、供应商必须将自己的服务真实、准确地填入“供应商响应情况”中，不得以“同左”或“同上”形式填写。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2、供应商必须根据自己所投服务与“谈判文件要求”的差异情况，实事求是地填写“响应情况”（优于、满足、不满足），并将这些差异内容用加粗的字体显示出来，不得出现通过改动谈判文件要求而使自已的产品满足要求的情况。</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3、如果供应商没有按前述要求去做，在项目评审中将可能被认为是未对谈判文件作出实质上的响应，或被视作不诚信供应商而拒绝对其做进一步的评审。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4、本表填报顺序需按谈判文件“第三章第二大项”中的顺序填写。</w:t>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bookmarkStart w:id="96" w:name="_Toc8965"/>
      <w:bookmarkStart w:id="97" w:name="_Toc14825"/>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五、本项目实施方案</w:t>
      </w:r>
      <w:bookmarkEnd w:id="96"/>
      <w:bookmarkEnd w:id="97"/>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（一）供应商或生产企业简介</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（不超过1000字）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（二）本项目详细实施方案、售后方案等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（详细说明）</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p>
    <w:p>
      <w:pPr>
        <w:pStyle w:val="4"/>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bookmarkStart w:id="98" w:name="_Toc7668"/>
      <w:bookmarkStart w:id="99" w:name="_Toc29626"/>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六、资格证明文件及其他重要资料</w:t>
      </w:r>
      <w:bookmarkEnd w:id="98"/>
      <w:bookmarkEnd w:id="99"/>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供应商必须提供下列合格性文件：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（一）营业执照</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（二）税务登记证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（三）法定代表人授权委托书</w:t>
      </w:r>
    </w:p>
    <w:p>
      <w:pPr>
        <w:keepNext w:val="0"/>
        <w:keepLines w:val="0"/>
        <w:pageBreakBefore w:val="0"/>
        <w:widowControl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（采购人名称）：</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系</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（供应商名称）</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的法定代表人，现委托</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（姓名、职务）</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为我方代理人。代理人根据授权，以我方名义签署、澄清、说明、补正、提交、撤回、修改</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（项目名称、项目编号）</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谈判响应文件文件、签订合同和处理有关事宜，其法律后果由我方承担。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代理人无转委托权。</w:t>
      </w:r>
    </w:p>
    <w:p>
      <w:pPr>
        <w:keepNext w:val="0"/>
        <w:keepLines w:val="0"/>
        <w:pageBreakBefore w:val="0"/>
        <w:widowControl w:val="0"/>
        <w:kinsoku/>
        <w:wordWrap w:val="0"/>
        <w:overflowPunct/>
        <w:topLinePunct w:val="0"/>
        <w:autoSpaceDE/>
        <w:autoSpaceDN/>
        <w:bidi w:val="0"/>
        <w:adjustRightInd/>
        <w:snapToGrid/>
        <w:jc w:val="righ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法定代表人签章：</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代理人（被授权人）：</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（签章）</w:t>
      </w:r>
    </w:p>
    <w:p>
      <w:pPr>
        <w:keepNext w:val="0"/>
        <w:keepLines w:val="0"/>
        <w:pageBreakBefore w:val="0"/>
        <w:widowControl w:val="0"/>
        <w:kinsoku/>
        <w:wordWrap w:val="0"/>
        <w:overflowPunct/>
        <w:topLinePunct w:val="0"/>
        <w:autoSpaceDE/>
        <w:autoSpaceDN/>
        <w:bidi w:val="0"/>
        <w:adjustRightInd/>
        <w:snapToGrid/>
        <w:spacing w:line="480" w:lineRule="auto"/>
        <w:jc w:val="right"/>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（需附供应商法定代表人、被授权代表人身份证正反面扫描件）</w:t>
      </w:r>
    </w:p>
    <w:tbl>
      <w:tblPr>
        <w:tblStyle w:val="10"/>
        <w:tblW w:w="0" w:type="auto"/>
        <w:tblInd w:w="750" w:type="dxa"/>
        <w:tblLayout w:type="autofit"/>
        <w:tblCellMar>
          <w:top w:w="0" w:type="dxa"/>
          <w:left w:w="0" w:type="dxa"/>
          <w:bottom w:w="0" w:type="dxa"/>
          <w:right w:w="0" w:type="dxa"/>
        </w:tblCellMar>
      </w:tblPr>
      <w:tblGrid>
        <w:gridCol w:w="4178"/>
        <w:gridCol w:w="4178"/>
      </w:tblGrid>
      <w:tr>
        <w:tblPrEx>
          <w:tblCellMar>
            <w:top w:w="0" w:type="dxa"/>
            <w:left w:w="0" w:type="dxa"/>
            <w:bottom w:w="0" w:type="dxa"/>
            <w:right w:w="0" w:type="dxa"/>
          </w:tblCellMar>
        </w:tblPrEx>
        <w:trPr>
          <w:trHeight w:val="2225" w:hRule="atLeast"/>
        </w:trPr>
        <w:tc>
          <w:tcPr>
            <w:tcW w:w="417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被授权代表人身份证正面扫描件</w:t>
            </w:r>
          </w:p>
        </w:tc>
        <w:tc>
          <w:tcPr>
            <w:tcW w:w="417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被授权代表人身份证反面扫描件</w:t>
            </w:r>
          </w:p>
        </w:tc>
      </w:tr>
      <w:tr>
        <w:tblPrEx>
          <w:tblCellMar>
            <w:top w:w="0" w:type="dxa"/>
            <w:left w:w="0" w:type="dxa"/>
            <w:bottom w:w="0" w:type="dxa"/>
            <w:right w:w="0" w:type="dxa"/>
          </w:tblCellMar>
        </w:tblPrEx>
        <w:trPr>
          <w:trHeight w:val="2225" w:hRule="atLeast"/>
        </w:trPr>
        <w:tc>
          <w:tcPr>
            <w:tcW w:w="417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法定代表人身份证正面扫描件</w:t>
            </w:r>
          </w:p>
        </w:tc>
        <w:tc>
          <w:tcPr>
            <w:tcW w:w="4178"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jc w:val="center"/>
              <w:textAlignment w:val="cente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szCs w:val="21"/>
                <w:highlight w:val="none"/>
                <w14:textFill>
                  <w14:solidFill>
                    <w14:schemeClr w14:val="tx1"/>
                  </w14:solidFill>
                </w14:textFill>
              </w:rPr>
              <w:t>法定代表人身份证反面扫描件</w:t>
            </w:r>
          </w:p>
        </w:tc>
      </w:tr>
    </w:tbl>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（四）法定代表人身份证明书</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供应商纳税人识别号：</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职务：</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80" w:lineRule="auto"/>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系</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（供应商名称）的法定代表人。</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特此证明。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righ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（签章）</w:t>
      </w:r>
    </w:p>
    <w:p>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right"/>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年    月    日</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（五）财务状况报告</w:t>
      </w:r>
    </w:p>
    <w:p>
      <w:pPr>
        <w:keepNext w:val="0"/>
        <w:keepLines w:val="0"/>
        <w:pageBreakBefore w:val="0"/>
        <w:widowControl w:val="0"/>
        <w:kinsoku/>
        <w:wordWrap w:val="0"/>
        <w:overflowPunct/>
        <w:topLinePunct w:val="0"/>
        <w:autoSpaceDE/>
        <w:autoSpaceDN/>
        <w:bidi w:val="0"/>
        <w:adjustRightInd/>
        <w:snapToGrid/>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（投标人自行出具财务状况声明函并加盖投标人公章，格式自拟）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（六）近期纳税相关材料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highlight w:val="none"/>
          <w14:textFill>
            <w14:solidFill>
              <w14:schemeClr w14:val="tx1"/>
            </w14:solidFill>
          </w14:textFill>
        </w:rPr>
        <w:t>（投标人自行出具依法缴纳税收的声明函并加盖投标人公章，格式自拟）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（七）近期缴纳社保相关材料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center"/>
        <w:rPr>
          <w:rFonts w:hint="eastAsia" w:asciiTheme="minorEastAsia" w:hAnsiTheme="minorEastAsia" w:eastAsiaTheme="minorEastAsia" w:cstheme="minorEastAsia"/>
          <w:b w:val="0"/>
          <w:bCs w:val="0"/>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highlight w:val="none"/>
          <w14:textFill>
            <w14:solidFill>
              <w14:schemeClr w14:val="tx1"/>
            </w14:solidFill>
          </w14:textFill>
        </w:rPr>
        <w:t>（投标人自行出具依法缴纳社会保障资金的声明函并加盖投标人公章，格式自拟）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（八）具备履行合同所必须的设备和专业技术能力的证明材料（如场所照片或技术人员名单）</w:t>
      </w:r>
    </w:p>
    <w:p>
      <w:pPr>
        <w:keepNext w:val="0"/>
        <w:keepLines w:val="0"/>
        <w:pageBreakBefore w:val="0"/>
        <w:widowControl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val="0"/>
          <w:bCs w:val="0"/>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highlight w:val="none"/>
          <w14:textFill>
            <w14:solidFill>
              <w14:schemeClr w14:val="tx1"/>
            </w14:solidFill>
          </w14:textFill>
        </w:rPr>
        <w:t>（投标人自行出具具备履行合同所必须的设备和专业技术能力声明函并加盖投标人公章，格式自拟）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（九）书面声明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t>参加政府采购活动前3年内在经营活动中没有重大违法记录或因违法经营被禁止在一定期限内参加政府采购活动但期限已届满的书面声明（投标人自行出具并加盖投标人公章，格式自拟）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highlight w:val="none"/>
          <w14:textFill>
            <w14:solidFill>
              <w14:schemeClr w14:val="tx1"/>
            </w14:solidFill>
          </w14:textFill>
        </w:rPr>
        <w:t>（十）谈判文件规定的其他材料</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b/>
          <w:bCs/>
          <w:color w:val="000000" w:themeColor="text1"/>
          <w:spacing w:val="0"/>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14:textFill>
            <w14:solidFill>
              <w14:schemeClr w14:val="tx1"/>
            </w14:solidFill>
          </w14:textFill>
        </w:rPr>
        <w:t>附件1：</w:t>
      </w:r>
      <w:r>
        <w:rPr>
          <w:rFonts w:hint="eastAsia" w:asciiTheme="minorEastAsia" w:hAnsiTheme="minorEastAsia" w:eastAsiaTheme="minorEastAsia" w:cstheme="minorEastAsia"/>
          <w:b/>
          <w:bCs/>
          <w:color w:val="000000" w:themeColor="text1"/>
          <w:spacing w:val="0"/>
          <w:kern w:val="0"/>
          <w:sz w:val="24"/>
          <w:szCs w:val="24"/>
          <w:highlight w:val="none"/>
          <w14:textFill>
            <w14:solidFill>
              <w14:schemeClr w14:val="tx1"/>
            </w14:solidFill>
          </w14:textFill>
        </w:rPr>
        <w:t>中小企业声明函</w:t>
      </w:r>
      <w:r>
        <w:rPr>
          <w:rFonts w:hint="eastAsia" w:asciiTheme="minorEastAsia" w:hAnsiTheme="minorEastAsia" w:eastAsiaTheme="minorEastAsia" w:cstheme="minorEastAsia"/>
          <w:b/>
          <w:bCs/>
          <w:color w:val="000000" w:themeColor="text1"/>
          <w:spacing w:val="0"/>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0"/>
          <w:kern w:val="0"/>
          <w:sz w:val="24"/>
          <w:szCs w:val="24"/>
          <w:highlight w:val="none"/>
          <w14:textFill>
            <w14:solidFill>
              <w14:schemeClr w14:val="tx1"/>
            </w14:solidFill>
          </w14:textFill>
        </w:rPr>
        <w:t>如有</w:t>
      </w:r>
      <w:r>
        <w:rPr>
          <w:rFonts w:hint="eastAsia" w:asciiTheme="minorEastAsia" w:hAnsiTheme="minorEastAsia" w:eastAsiaTheme="minorEastAsia" w:cstheme="minorEastAsia"/>
          <w:b/>
          <w:bCs/>
          <w:color w:val="000000" w:themeColor="text1"/>
          <w:spacing w:val="0"/>
          <w:kern w:val="0"/>
          <w:sz w:val="24"/>
          <w:szCs w:val="24"/>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before="0" w:line="720" w:lineRule="auto"/>
        <w:ind w:left="0" w:leftChars="0" w:right="0" w:rightChars="0" w:firstLine="0" w:firstLineChars="0"/>
        <w:jc w:val="center"/>
        <w:textAlignment w:val="auto"/>
        <w:rPr>
          <w:rFonts w:hint="eastAsia" w:asciiTheme="minorEastAsia" w:hAnsiTheme="minorEastAsia" w:eastAsiaTheme="minorEastAsia" w:cstheme="minorEastAsia"/>
          <w:b/>
          <w:color w:val="000000" w:themeColor="text1"/>
          <w:spacing w:val="0"/>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0"/>
          <w:kern w:val="0"/>
          <w:sz w:val="28"/>
          <w:szCs w:val="28"/>
          <w:highlight w:val="none"/>
          <w14:textFill>
            <w14:solidFill>
              <w14:schemeClr w14:val="tx1"/>
            </w14:solidFill>
          </w14:textFill>
        </w:rPr>
        <w:t>中小企业声明函</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0"/>
          <w:kern w:val="0"/>
          <w:sz w:val="24"/>
          <w:szCs w:val="24"/>
          <w:highlight w:val="none"/>
          <w14:textFill>
            <w14:solidFill>
              <w14:schemeClr w14:val="tx1"/>
            </w14:solidFill>
          </w14:textFill>
        </w:rPr>
        <w:t>的</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（项目名称）</w:t>
      </w:r>
      <w:r>
        <w:rPr>
          <w:rFonts w:hint="eastAsia" w:ascii="宋体" w:hAnsi="宋体" w:eastAsia="宋体" w:cs="宋体"/>
          <w:color w:val="000000" w:themeColor="text1"/>
          <w:spacing w:val="0"/>
          <w:kern w:val="0"/>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 的具体情况如下：</w:t>
      </w:r>
    </w:p>
    <w:p>
      <w:pPr>
        <w:keepNext w:val="0"/>
        <w:keepLines w:val="0"/>
        <w:pageBreakBefore w:val="0"/>
        <w:widowControl w:val="0"/>
        <w:tabs>
          <w:tab w:val="left" w:pos="2618"/>
        </w:tabs>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1.</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（标的名称）</w:t>
      </w:r>
      <w:r>
        <w:rPr>
          <w:rFonts w:hint="eastAsia" w:ascii="宋体" w:hAnsi="宋体" w:eastAsia="宋体" w:cs="宋体"/>
          <w:color w:val="000000" w:themeColor="text1"/>
          <w:spacing w:val="0"/>
          <w:kern w:val="0"/>
          <w:sz w:val="24"/>
          <w:szCs w:val="24"/>
          <w:highlight w:val="none"/>
          <w14:textFill>
            <w14:solidFill>
              <w14:schemeClr w14:val="tx1"/>
            </w14:solidFill>
          </w14:textFill>
        </w:rPr>
        <w:t xml:space="preserve"> ，属于</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kern w:val="0"/>
          <w:sz w:val="24"/>
          <w:szCs w:val="24"/>
          <w:highlight w:val="none"/>
          <w14:textFill>
            <w14:solidFill>
              <w14:schemeClr w14:val="tx1"/>
            </w14:solidFill>
          </w14:textFill>
        </w:rPr>
        <w:t>行业；制造商为</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ker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14:textFill>
            <w14:solidFill>
              <w14:schemeClr w14:val="tx1"/>
            </w14:solidFill>
          </w14:textFill>
        </w:rPr>
        <w:t>万元 ，属于</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p>
    <w:p>
      <w:pPr>
        <w:keepNext w:val="0"/>
        <w:keepLines w:val="0"/>
        <w:pageBreakBefore w:val="0"/>
        <w:widowControl w:val="0"/>
        <w:tabs>
          <w:tab w:val="left" w:pos="2618"/>
        </w:tabs>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cs="宋体"/>
          <w:color w:val="000000" w:themeColor="text1"/>
          <w:spacing w:val="0"/>
          <w:kern w:val="0"/>
          <w:sz w:val="24"/>
          <w:szCs w:val="24"/>
          <w:highlight w:val="none"/>
          <w:lang w:val="en-US" w:eastAsia="zh-CN"/>
          <w14:textFill>
            <w14:solidFill>
              <w14:schemeClr w14:val="tx1"/>
            </w14:solidFill>
          </w14:textFill>
        </w:rPr>
        <w:t>2</w:t>
      </w:r>
      <w:r>
        <w:rPr>
          <w:rFonts w:hint="eastAsia" w:ascii="宋体" w:hAnsi="宋体" w:cs="宋体"/>
          <w:color w:val="000000" w:themeColor="text1"/>
          <w:spacing w:val="0"/>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（标的名称）</w:t>
      </w:r>
      <w:r>
        <w:rPr>
          <w:rFonts w:hint="eastAsia" w:ascii="宋体" w:hAnsi="宋体" w:eastAsia="宋体" w:cs="宋体"/>
          <w:color w:val="000000" w:themeColor="text1"/>
          <w:spacing w:val="0"/>
          <w:kern w:val="0"/>
          <w:sz w:val="24"/>
          <w:szCs w:val="24"/>
          <w:highlight w:val="none"/>
          <w14:textFill>
            <w14:solidFill>
              <w14:schemeClr w14:val="tx1"/>
            </w14:solidFill>
          </w14:textFill>
        </w:rPr>
        <w:t xml:space="preserve"> ，属于</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0"/>
          <w:kern w:val="0"/>
          <w:sz w:val="24"/>
          <w:szCs w:val="24"/>
          <w:highlight w:val="none"/>
          <w14:textFill>
            <w14:solidFill>
              <w14:schemeClr w14:val="tx1"/>
            </w14:solidFill>
          </w14:textFill>
        </w:rPr>
        <w:t>行业；制造商为</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ker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kern w:val="0"/>
          <w:sz w:val="24"/>
          <w:szCs w:val="24"/>
          <w:highlight w:val="none"/>
          <w14:textFill>
            <w14:solidFill>
              <w14:schemeClr w14:val="tx1"/>
            </w14:solidFill>
          </w14:textFill>
        </w:rPr>
        <w:t>万元 ，属于</w:t>
      </w:r>
      <w:r>
        <w:rPr>
          <w:rFonts w:hint="eastAsia" w:ascii="宋体" w:hAnsi="宋体" w:eastAsia="宋体" w:cs="宋体"/>
          <w:color w:val="000000" w:themeColor="text1"/>
          <w:spacing w:val="0"/>
          <w:kern w:val="0"/>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before="0" w:line="600" w:lineRule="auto"/>
        <w:ind w:left="0" w:right="0" w:firstLine="480" w:firstLineChars="200"/>
        <w:jc w:val="right"/>
        <w:textAlignment w:val="auto"/>
        <w:rPr>
          <w:rFonts w:hint="default" w:ascii="宋体" w:hAnsi="宋体" w:eastAsia="宋体" w:cs="宋体"/>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企业名称（盖章）：</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 xml:space="preserve">          </w:t>
      </w:r>
      <w:r>
        <w:rPr>
          <w:rFonts w:hint="eastAsia" w:cs="宋体"/>
          <w:color w:val="000000" w:themeColor="text1"/>
          <w:spacing w:val="0"/>
          <w:kern w:val="0"/>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before="0" w:line="600" w:lineRule="auto"/>
        <w:ind w:left="0" w:right="0" w:firstLine="480" w:firstLineChars="200"/>
        <w:jc w:val="right"/>
        <w:textAlignment w:val="auto"/>
        <w:rPr>
          <w:rFonts w:hint="default" w:ascii="宋体" w:hAnsi="宋体" w:eastAsia="宋体" w:cs="宋体"/>
          <w:color w:val="000000" w:themeColor="text1"/>
          <w:spacing w:val="0"/>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日期：</w:t>
      </w:r>
      <w:r>
        <w:rPr>
          <w:rFonts w:hint="eastAsia" w:cs="宋体"/>
          <w:color w:val="000000" w:themeColor="text1"/>
          <w:spacing w:val="0"/>
          <w:kern w:val="0"/>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注：从业人员、营业收入、资产总额填报上一年度数据，无上一年度  数据的新成立企业可不填</w:t>
      </w:r>
      <w:r>
        <w:rPr>
          <w:rFonts w:hint="eastAsia" w:ascii="宋体" w:hAnsi="宋体" w:eastAsia="宋体" w:cs="宋体"/>
          <w:snapToGrid w:val="0"/>
          <w:color w:val="000000" w:themeColor="text1"/>
          <w:kern w:val="0"/>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br w:type="page"/>
      </w:r>
    </w:p>
    <w:p>
      <w:pPr>
        <w:keepNext w:val="0"/>
        <w:keepLines w:val="0"/>
        <w:pageBreakBefore w:val="0"/>
        <w:widowControl w:val="0"/>
        <w:kinsoku/>
        <w:wordWrap w:val="0"/>
        <w:overflowPunct/>
        <w:topLinePunct w:val="0"/>
        <w:autoSpaceDE/>
        <w:autoSpaceDN/>
        <w:bidi w:val="0"/>
        <w:adjustRightInd/>
        <w:snapToGrid/>
        <w:spacing w:line="720" w:lineRule="auto"/>
        <w:ind w:left="0" w:leftChars="0" w:right="0" w:rightChars="0" w:firstLine="0" w:firstLineChars="0"/>
        <w:jc w:val="center"/>
        <w:textAlignment w:val="auto"/>
        <w:rPr>
          <w:rFonts w:hint="eastAsia" w:ascii="宋体" w:hAnsi="宋体" w:eastAsia="宋体" w:cs="宋体"/>
          <w:b/>
          <w:bCs/>
          <w:color w:val="000000" w:themeColor="text1"/>
          <w:kern w:val="0"/>
          <w:sz w:val="32"/>
          <w:szCs w:val="22"/>
          <w:highlight w:val="none"/>
          <w:lang w:eastAsia="zh-CN"/>
          <w14:textFill>
            <w14:solidFill>
              <w14:schemeClr w14:val="tx1"/>
            </w14:solidFill>
          </w14:textFill>
        </w:rPr>
      </w:pPr>
      <w:r>
        <w:rPr>
          <w:rFonts w:hint="eastAsia" w:ascii="宋体" w:hAnsi="宋体" w:eastAsia="宋体" w:cs="宋体"/>
          <w:b/>
          <w:bCs/>
          <w:color w:val="000000" w:themeColor="text1"/>
          <w:kern w:val="0"/>
          <w:sz w:val="32"/>
          <w:szCs w:val="22"/>
          <w:highlight w:val="none"/>
          <w:u w:val="none"/>
          <w:lang w:val="en-US" w:eastAsia="zh-CN"/>
          <w14:textFill>
            <w14:solidFill>
              <w14:schemeClr w14:val="tx1"/>
            </w14:solidFill>
          </w14:textFill>
        </w:rPr>
        <w:t>最终</w:t>
      </w:r>
      <w:r>
        <w:rPr>
          <w:rFonts w:hint="eastAsia" w:ascii="宋体" w:hAnsi="宋体" w:eastAsia="宋体" w:cs="宋体"/>
          <w:b/>
          <w:bCs/>
          <w:color w:val="000000" w:themeColor="text1"/>
          <w:kern w:val="0"/>
          <w:sz w:val="32"/>
          <w:szCs w:val="22"/>
          <w:highlight w:val="none"/>
          <w14:textFill>
            <w14:solidFill>
              <w14:schemeClr w14:val="tx1"/>
            </w14:solidFill>
          </w14:textFill>
        </w:rPr>
        <w:t>报价</w:t>
      </w:r>
      <w:r>
        <w:rPr>
          <w:rFonts w:hint="eastAsia" w:ascii="宋体" w:hAnsi="宋体" w:eastAsia="宋体" w:cs="宋体"/>
          <w:b/>
          <w:bCs/>
          <w:color w:val="000000" w:themeColor="text1"/>
          <w:kern w:val="0"/>
          <w:sz w:val="32"/>
          <w:szCs w:val="22"/>
          <w:highlight w:val="none"/>
          <w:lang w:eastAsia="zh-CN"/>
          <w14:textFill>
            <w14:solidFill>
              <w14:schemeClr w14:val="tx1"/>
            </w14:solidFill>
          </w14:textFill>
        </w:rPr>
        <w:t>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74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p>
        </w:tc>
        <w:tc>
          <w:tcPr>
            <w:tcW w:w="720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皖北卫生职业学院操场看台项目、原校区消防改造项目、室内体育馆维修改造项目等监理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740" w:type="dxa"/>
            <w:tcBorders>
              <w:top w:val="nil"/>
            </w:tcBorders>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供应商全称</w:t>
            </w:r>
          </w:p>
        </w:tc>
        <w:tc>
          <w:tcPr>
            <w:tcW w:w="7201" w:type="dxa"/>
            <w:tcBorders>
              <w:top w:val="nil"/>
            </w:tcBorders>
            <w:vAlign w:val="center"/>
          </w:tcPr>
          <w:p>
            <w:pPr>
              <w:keepNext w:val="0"/>
              <w:keepLines w:val="0"/>
              <w:pageBreakBefore w:val="0"/>
              <w:widowControl w:val="0"/>
              <w:kinsoku/>
              <w:wordWrap w:val="0"/>
              <w:overflowPunct/>
              <w:topLinePunct w:val="0"/>
              <w:autoSpaceDE/>
              <w:autoSpaceDN/>
              <w:bidi w:val="0"/>
              <w:adjustRightInd/>
              <w:snapToGrid/>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740" w:type="dxa"/>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0"/>
                <w:sz w:val="24"/>
                <w:szCs w:val="24"/>
                <w:highlight w:val="none"/>
                <w14:textFill>
                  <w14:solidFill>
                    <w14:schemeClr w14:val="tx1"/>
                  </w14:solidFill>
                </w14:textFill>
              </w:rPr>
              <w:t>范围</w:t>
            </w:r>
          </w:p>
        </w:tc>
        <w:tc>
          <w:tcPr>
            <w:tcW w:w="7201" w:type="dxa"/>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谈判文件范围内所有内容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740" w:type="dxa"/>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0"/>
                <w:sz w:val="24"/>
                <w:szCs w:val="24"/>
                <w:highlight w:val="none"/>
                <w14:textFill>
                  <w14:solidFill>
                    <w14:schemeClr w14:val="tx1"/>
                  </w14:solidFill>
                </w14:textFill>
              </w:rPr>
              <w:t>报价（</w:t>
            </w:r>
            <w:r>
              <w:rPr>
                <w:rFonts w:hint="eastAsia" w:ascii="宋体" w:hAnsi="宋体" w:cs="宋体"/>
                <w:color w:val="000000" w:themeColor="text1"/>
                <w:kern w:val="0"/>
                <w:sz w:val="24"/>
                <w:szCs w:val="24"/>
                <w:highlight w:val="none"/>
                <w:lang w:eastAsia="zh-CN"/>
                <w14:textFill>
                  <w14:solidFill>
                    <w14:schemeClr w14:val="tx1"/>
                  </w14:solidFill>
                </w14:textFill>
              </w:rPr>
              <w:t>费率</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7201" w:type="dxa"/>
            <w:vAlign w:val="center"/>
          </w:tcPr>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费率为</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740" w:type="dxa"/>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是否响应</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0"/>
                <w:sz w:val="24"/>
                <w:szCs w:val="24"/>
                <w:highlight w:val="none"/>
                <w14:textFill>
                  <w14:solidFill>
                    <w14:schemeClr w14:val="tx1"/>
                  </w14:solidFill>
                </w14:textFill>
              </w:rPr>
              <w:t>文件的要求</w:t>
            </w:r>
          </w:p>
        </w:tc>
        <w:tc>
          <w:tcPr>
            <w:tcW w:w="7201" w:type="dxa"/>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740" w:type="dxa"/>
            <w:vAlign w:val="center"/>
          </w:tcPr>
          <w:p>
            <w:pPr>
              <w:keepNext w:val="0"/>
              <w:keepLines w:val="0"/>
              <w:pageBreakBefore w:val="0"/>
              <w:widowControl w:val="0"/>
              <w:kinsoku/>
              <w:wordWrap w:val="0"/>
              <w:overflowPunct/>
              <w:topLinePunct w:val="0"/>
              <w:autoSpaceDE/>
              <w:autoSpaceDN/>
              <w:bidi w:val="0"/>
              <w:adjustRightInd/>
              <w:snapToGrid/>
              <w:ind w:left="0" w:leftChars="0" w:right="0" w:rightChars="0"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w:t>
            </w:r>
          </w:p>
        </w:tc>
        <w:tc>
          <w:tcPr>
            <w:tcW w:w="7201" w:type="dxa"/>
            <w:vAlign w:val="center"/>
          </w:tcPr>
          <w:p>
            <w:pPr>
              <w:keepNext w:val="0"/>
              <w:keepLines w:val="0"/>
              <w:pageBreakBefore w:val="0"/>
              <w:widowControl w:val="0"/>
              <w:kinsoku/>
              <w:wordWrap w:val="0"/>
              <w:overflowPunct/>
              <w:topLinePunct w:val="0"/>
              <w:autoSpaceDE/>
              <w:autoSpaceDN/>
              <w:bidi w:val="0"/>
              <w:adjustRightInd/>
              <w:snapToGrid/>
              <w:rPr>
                <w:rFonts w:hint="eastAsia" w:ascii="宋体" w:hAnsi="宋体" w:eastAsia="宋体" w:cs="宋体"/>
                <w:color w:val="000000" w:themeColor="text1"/>
                <w:kern w:val="0"/>
                <w:sz w:val="24"/>
                <w:szCs w:val="24"/>
                <w:highlight w:val="none"/>
                <w14:textFill>
                  <w14:solidFill>
                    <w14:schemeClr w14:val="tx1"/>
                  </w14:solidFill>
                </w14:textFill>
              </w:rPr>
            </w:pPr>
          </w:p>
        </w:tc>
      </w:tr>
    </w:tbl>
    <w:p>
      <w:pPr>
        <w:keepNext w:val="0"/>
        <w:keepLines w:val="0"/>
        <w:pageBreakBefore w:val="0"/>
        <w:widowControl w:val="0"/>
        <w:kinsoku/>
        <w:wordWrap w:val="0"/>
        <w:overflowPunct/>
        <w:topLinePunct w:val="0"/>
        <w:autoSpaceDE/>
        <w:autoSpaceDN/>
        <w:bidi w:val="0"/>
        <w:adjustRightInd/>
        <w:snapToGrid/>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72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（盖章）</w:t>
      </w:r>
    </w:p>
    <w:p>
      <w:pPr>
        <w:keepNext w:val="0"/>
        <w:keepLines w:val="0"/>
        <w:pageBreakBefore w:val="0"/>
        <w:widowControl w:val="0"/>
        <w:kinsoku/>
        <w:wordWrap w:val="0"/>
        <w:overflowPunct/>
        <w:topLinePunct w:val="0"/>
        <w:autoSpaceDE/>
        <w:autoSpaceDN/>
        <w:bidi w:val="0"/>
        <w:adjustRightInd/>
        <w:snapToGrid/>
        <w:spacing w:line="72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法定代表人或授权委托人：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（签字或盖章）</w:t>
      </w:r>
    </w:p>
    <w:p>
      <w:pPr>
        <w:keepNext w:val="0"/>
        <w:keepLines w:val="0"/>
        <w:pageBreakBefore w:val="0"/>
        <w:widowControl w:val="0"/>
        <w:kinsoku/>
        <w:wordWrap w:val="0"/>
        <w:overflowPunct/>
        <w:topLinePunct w:val="0"/>
        <w:autoSpaceDE/>
        <w:autoSpaceDN/>
        <w:bidi w:val="0"/>
        <w:adjustRightInd/>
        <w:snapToGrid/>
        <w:spacing w:line="72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日期：</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val="0"/>
          <w:color w:val="000000" w:themeColor="text1"/>
          <w:kern w:val="0"/>
          <w:sz w:val="24"/>
          <w:szCs w:val="24"/>
          <w:highlight w:val="none"/>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本表不需编制在响应文件中，请各供应商</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手持空白表格，</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在开标会报价环节填写报价信息</w:t>
      </w:r>
      <w:r>
        <w:rPr>
          <w:rFonts w:hint="eastAsia" w:ascii="宋体" w:hAnsi="宋体" w:cs="宋体"/>
          <w:b/>
          <w:bCs/>
          <w:snapToGrid w:val="0"/>
          <w:color w:val="000000" w:themeColor="text1"/>
          <w:kern w:val="0"/>
          <w:sz w:val="24"/>
          <w:szCs w:val="24"/>
          <w:highlight w:val="none"/>
          <w:lang w:eastAsia="zh-CN"/>
          <w14:textFill>
            <w14:solidFill>
              <w14:schemeClr w14:val="tx1"/>
            </w14:solidFill>
          </w14:textFill>
        </w:rPr>
        <w:t>，</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并</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签字、盖章</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后递交给代理机构。打印表格时，请删除本括号内容</w:t>
      </w:r>
      <w:r>
        <w:rPr>
          <w:rFonts w:hint="eastAsia" w:ascii="宋体" w:hAnsi="宋体" w:eastAsia="宋体" w:cs="宋体"/>
          <w:b/>
          <w:bCs/>
          <w:snapToGrid w:val="0"/>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rPr>
          <w:rFonts w:hint="eastAsia" w:asciiTheme="minorEastAsia" w:hAnsiTheme="minorEastAsia" w:eastAsiaTheme="minorEastAsia" w:cstheme="minorEastAsia"/>
          <w:color w:val="000000" w:themeColor="text1"/>
          <w:spacing w:val="0"/>
          <w:kern w:val="0"/>
          <w:highlight w:val="non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rPr>
          <w:rFonts w:hint="eastAsia"/>
          <w:color w:val="000000" w:themeColor="text1"/>
          <w:kern w:val="0"/>
          <w:highlight w:val="none"/>
          <w14:textFill>
            <w14:solidFill>
              <w14:schemeClr w14:val="tx1"/>
            </w14:solidFill>
          </w14:textFill>
        </w:rPr>
      </w:pPr>
    </w:p>
    <w:bookmarkEnd w:id="100"/>
    <w:sectPr>
      <w:footerReference r:id="rId6" w:type="first"/>
      <w:footerReference r:id="rId5" w:type="default"/>
      <w:pgSz w:w="11905" w:h="16838"/>
      <w:pgMar w:top="1440" w:right="1080" w:bottom="1440" w:left="1080" w:header="850" w:footer="850" w:gutter="0"/>
      <w:pgNumType w:fmt="decimal" w:start="1"/>
      <w:cols w:space="0" w:num="1"/>
      <w:titlePg/>
      <w:rtlGutter w:val="0"/>
      <w:docGrid w:type="linesAndChar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8cQA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Z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fHEA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2JpgyAgAAY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3Ymm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dit="trackedChanges" w:enforcement="0"/>
  <w:defaultTabStop w:val="420"/>
  <w:drawingGridHorizontalSpacing w:val="21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2734de48-ff01-4f46-9e08-dab642371b16"/>
  </w:docVars>
  <w:rsids>
    <w:rsidRoot w:val="008D70FE"/>
    <w:rsid w:val="00094FA5"/>
    <w:rsid w:val="000D0A76"/>
    <w:rsid w:val="001024A8"/>
    <w:rsid w:val="0010407D"/>
    <w:rsid w:val="001B2A9B"/>
    <w:rsid w:val="001B7A68"/>
    <w:rsid w:val="002750F1"/>
    <w:rsid w:val="00282325"/>
    <w:rsid w:val="00323E35"/>
    <w:rsid w:val="004567A1"/>
    <w:rsid w:val="00484BA1"/>
    <w:rsid w:val="005A1C7F"/>
    <w:rsid w:val="006B3912"/>
    <w:rsid w:val="0072489C"/>
    <w:rsid w:val="007E321C"/>
    <w:rsid w:val="00806FC0"/>
    <w:rsid w:val="008D70FE"/>
    <w:rsid w:val="00924BE1"/>
    <w:rsid w:val="00A5158F"/>
    <w:rsid w:val="00AD3E1D"/>
    <w:rsid w:val="00B8089A"/>
    <w:rsid w:val="00BB7006"/>
    <w:rsid w:val="00BE092C"/>
    <w:rsid w:val="00D5452D"/>
    <w:rsid w:val="00D71DC4"/>
    <w:rsid w:val="00E67DE8"/>
    <w:rsid w:val="00EC0441"/>
    <w:rsid w:val="02A97FD3"/>
    <w:rsid w:val="03A61711"/>
    <w:rsid w:val="04EB48D3"/>
    <w:rsid w:val="05806C57"/>
    <w:rsid w:val="05902284"/>
    <w:rsid w:val="05A67658"/>
    <w:rsid w:val="06BC5B43"/>
    <w:rsid w:val="06E2772D"/>
    <w:rsid w:val="06EB355B"/>
    <w:rsid w:val="07141DAF"/>
    <w:rsid w:val="080026D6"/>
    <w:rsid w:val="091909E8"/>
    <w:rsid w:val="0A523BD0"/>
    <w:rsid w:val="0A9A4202"/>
    <w:rsid w:val="0B2F172C"/>
    <w:rsid w:val="0B9220CC"/>
    <w:rsid w:val="113D5D06"/>
    <w:rsid w:val="1142587A"/>
    <w:rsid w:val="11BA70DB"/>
    <w:rsid w:val="12D93381"/>
    <w:rsid w:val="12E54542"/>
    <w:rsid w:val="15E6326E"/>
    <w:rsid w:val="163D046E"/>
    <w:rsid w:val="16DE4EB6"/>
    <w:rsid w:val="17650216"/>
    <w:rsid w:val="18A07D70"/>
    <w:rsid w:val="1AD559B1"/>
    <w:rsid w:val="1B4E2623"/>
    <w:rsid w:val="1C156519"/>
    <w:rsid w:val="1C4A5755"/>
    <w:rsid w:val="1E392745"/>
    <w:rsid w:val="1E3A2EC3"/>
    <w:rsid w:val="2169763F"/>
    <w:rsid w:val="21D07537"/>
    <w:rsid w:val="236B3EE7"/>
    <w:rsid w:val="23F3043E"/>
    <w:rsid w:val="26AA51BE"/>
    <w:rsid w:val="270C6603"/>
    <w:rsid w:val="27EF069B"/>
    <w:rsid w:val="27F602D8"/>
    <w:rsid w:val="29054652"/>
    <w:rsid w:val="298D6998"/>
    <w:rsid w:val="2B586314"/>
    <w:rsid w:val="2B6B5C14"/>
    <w:rsid w:val="2B9A3887"/>
    <w:rsid w:val="2C573995"/>
    <w:rsid w:val="2CA8075D"/>
    <w:rsid w:val="2CB543DB"/>
    <w:rsid w:val="2CCA2611"/>
    <w:rsid w:val="2D20303D"/>
    <w:rsid w:val="2D7B7D5A"/>
    <w:rsid w:val="2EBB5530"/>
    <w:rsid w:val="2EDF1C78"/>
    <w:rsid w:val="310D6E8F"/>
    <w:rsid w:val="322E3B9E"/>
    <w:rsid w:val="328310F3"/>
    <w:rsid w:val="32CE4D68"/>
    <w:rsid w:val="341D3C67"/>
    <w:rsid w:val="348F59C4"/>
    <w:rsid w:val="3492167D"/>
    <w:rsid w:val="37305C47"/>
    <w:rsid w:val="37DC5A39"/>
    <w:rsid w:val="39454445"/>
    <w:rsid w:val="3A2E002F"/>
    <w:rsid w:val="3B205439"/>
    <w:rsid w:val="3B7E1FE1"/>
    <w:rsid w:val="3BA6197B"/>
    <w:rsid w:val="3C066F8D"/>
    <w:rsid w:val="3DB63495"/>
    <w:rsid w:val="3DF168E4"/>
    <w:rsid w:val="3FC9351D"/>
    <w:rsid w:val="40751AEA"/>
    <w:rsid w:val="40CD0E16"/>
    <w:rsid w:val="40D5594E"/>
    <w:rsid w:val="41850217"/>
    <w:rsid w:val="41D92ADD"/>
    <w:rsid w:val="427E49AF"/>
    <w:rsid w:val="42C10BA5"/>
    <w:rsid w:val="449F3BC4"/>
    <w:rsid w:val="459152BA"/>
    <w:rsid w:val="47490A0A"/>
    <w:rsid w:val="475278BE"/>
    <w:rsid w:val="475C224E"/>
    <w:rsid w:val="481114FF"/>
    <w:rsid w:val="48C753D7"/>
    <w:rsid w:val="490040D2"/>
    <w:rsid w:val="49464F44"/>
    <w:rsid w:val="49E15BDD"/>
    <w:rsid w:val="4AA71817"/>
    <w:rsid w:val="4C0A3C5F"/>
    <w:rsid w:val="4CAA7931"/>
    <w:rsid w:val="4DD60A26"/>
    <w:rsid w:val="4E332D12"/>
    <w:rsid w:val="4E9859B3"/>
    <w:rsid w:val="4F1607E6"/>
    <w:rsid w:val="50345657"/>
    <w:rsid w:val="50BA6601"/>
    <w:rsid w:val="510920FE"/>
    <w:rsid w:val="5158387D"/>
    <w:rsid w:val="51EC79E3"/>
    <w:rsid w:val="52CC7D2F"/>
    <w:rsid w:val="54A83312"/>
    <w:rsid w:val="58617038"/>
    <w:rsid w:val="59D56AF7"/>
    <w:rsid w:val="5AA75D1B"/>
    <w:rsid w:val="5B4B0853"/>
    <w:rsid w:val="5BFF120C"/>
    <w:rsid w:val="5C3F065A"/>
    <w:rsid w:val="5EE832F7"/>
    <w:rsid w:val="5EED1904"/>
    <w:rsid w:val="5F945873"/>
    <w:rsid w:val="5FB84D4A"/>
    <w:rsid w:val="608E4AC8"/>
    <w:rsid w:val="60923536"/>
    <w:rsid w:val="61785739"/>
    <w:rsid w:val="618F2418"/>
    <w:rsid w:val="62027731"/>
    <w:rsid w:val="633F1597"/>
    <w:rsid w:val="63A92E55"/>
    <w:rsid w:val="64167E7F"/>
    <w:rsid w:val="64A439AF"/>
    <w:rsid w:val="64A4578F"/>
    <w:rsid w:val="67E23635"/>
    <w:rsid w:val="688753EF"/>
    <w:rsid w:val="688A02DE"/>
    <w:rsid w:val="69A67873"/>
    <w:rsid w:val="6AD83BDE"/>
    <w:rsid w:val="6B921483"/>
    <w:rsid w:val="706C1F1A"/>
    <w:rsid w:val="709E3A60"/>
    <w:rsid w:val="70C76378"/>
    <w:rsid w:val="70EE21FF"/>
    <w:rsid w:val="712978CD"/>
    <w:rsid w:val="714070C5"/>
    <w:rsid w:val="7149305B"/>
    <w:rsid w:val="73BC5F3C"/>
    <w:rsid w:val="76410402"/>
    <w:rsid w:val="788A3D8A"/>
    <w:rsid w:val="78AA7245"/>
    <w:rsid w:val="79D64517"/>
    <w:rsid w:val="7A6F71F6"/>
    <w:rsid w:val="7AB21ABD"/>
    <w:rsid w:val="7DD6409E"/>
    <w:rsid w:val="7EAE39C5"/>
    <w:rsid w:val="7FBA2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left"/>
      <w:outlineLvl w:val="0"/>
    </w:pPr>
    <w:rPr>
      <w:rFonts w:ascii="宋体" w:hAnsi="宋体" w:cs="宋体"/>
      <w:b/>
      <w:bCs/>
      <w:kern w:val="44"/>
      <w:sz w:val="32"/>
      <w:szCs w:val="32"/>
    </w:rPr>
  </w:style>
  <w:style w:type="paragraph" w:styleId="3">
    <w:name w:val="heading 2"/>
    <w:basedOn w:val="1"/>
    <w:next w:val="1"/>
    <w:unhideWhenUsed/>
    <w:qFormat/>
    <w:uiPriority w:val="0"/>
    <w:pPr>
      <w:keepNext/>
      <w:keepLines/>
      <w:spacing w:line="360" w:lineRule="auto"/>
      <w:jc w:val="center"/>
      <w:outlineLvl w:val="1"/>
    </w:pPr>
    <w:rPr>
      <w:rFonts w:ascii="宋体" w:hAnsi="宋体" w:cs="宋体"/>
      <w:b/>
      <w:bCs/>
      <w:sz w:val="30"/>
      <w:szCs w:val="30"/>
    </w:rPr>
  </w:style>
  <w:style w:type="paragraph" w:styleId="4">
    <w:name w:val="heading 3"/>
    <w:basedOn w:val="1"/>
    <w:next w:val="1"/>
    <w:link w:val="23"/>
    <w:unhideWhenUsed/>
    <w:qFormat/>
    <w:uiPriority w:val="0"/>
    <w:pPr>
      <w:keepNext/>
      <w:keepLines/>
      <w:spacing w:line="360" w:lineRule="auto"/>
      <w:jc w:val="center"/>
      <w:outlineLvl w:val="2"/>
    </w:pPr>
    <w:rPr>
      <w:rFonts w:ascii="宋体" w:hAnsi="宋体" w:eastAsia="宋体" w:cs="宋体"/>
      <w:b/>
      <w:bCs/>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spacing w:line="360" w:lineRule="auto"/>
      <w:ind w:firstLine="1767" w:firstLineChars="400"/>
      <w:jc w:val="left"/>
    </w:pPr>
    <w:rPr>
      <w:rFonts w:ascii="宋体" w:hAnsi="宋体" w:cs="宋体"/>
      <w:sz w:val="24"/>
    </w:rPr>
  </w:style>
  <w:style w:type="paragraph" w:styleId="6">
    <w:name w:val="footer"/>
    <w:basedOn w:val="1"/>
    <w:qFormat/>
    <w:uiPriority w:val="0"/>
    <w:pPr>
      <w:tabs>
        <w:tab w:val="center" w:pos="4153"/>
        <w:tab w:val="right" w:pos="8306"/>
      </w:tabs>
      <w:snapToGrid w:val="0"/>
      <w:jc w:val="left"/>
    </w:pPr>
    <w:rPr>
      <w:rFonts w:eastAsia="宋体"/>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360" w:lineRule="auto"/>
    </w:pPr>
    <w:rPr>
      <w:rFonts w:ascii="宋体" w:hAnsi="宋体" w:cs="宋体"/>
      <w:b/>
      <w:bCs/>
      <w:sz w:val="28"/>
      <w:szCs w:val="28"/>
    </w:rPr>
  </w:style>
  <w:style w:type="paragraph" w:styleId="9">
    <w:name w:val="toc 2"/>
    <w:basedOn w:val="1"/>
    <w:next w:val="1"/>
    <w:qFormat/>
    <w:uiPriority w:val="0"/>
    <w:pPr>
      <w:spacing w:line="360" w:lineRule="auto"/>
      <w:ind w:firstLine="883" w:firstLineChars="200"/>
    </w:pPr>
    <w:rPr>
      <w:rFonts w:ascii="宋体" w:hAnsi="宋体" w:cs="宋体"/>
      <w:b/>
      <w:bCs/>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333333"/>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uiPriority w:val="0"/>
    <w:rPr>
      <w:color w:val="333333"/>
      <w:u w:val="none"/>
    </w:rPr>
  </w:style>
  <w:style w:type="character" w:styleId="19">
    <w:name w:val="HTML Code"/>
    <w:basedOn w:val="12"/>
    <w:qFormat/>
    <w:uiPriority w:val="0"/>
    <w:rPr>
      <w:rFonts w:ascii="monospace" w:hAnsi="monospace" w:eastAsia="monospace" w:cs="monospace"/>
      <w:sz w:val="20"/>
    </w:rPr>
  </w:style>
  <w:style w:type="character" w:styleId="20">
    <w:name w:val="HTML Cite"/>
    <w:basedOn w:val="12"/>
    <w:qFormat/>
    <w:uiPriority w:val="0"/>
  </w:style>
  <w:style w:type="character" w:styleId="21">
    <w:name w:val="HTML Keyboard"/>
    <w:basedOn w:val="12"/>
    <w:uiPriority w:val="0"/>
    <w:rPr>
      <w:rFonts w:hint="default"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character" w:customStyle="1" w:styleId="23">
    <w:name w:val="标题 3 Char"/>
    <w:link w:val="4"/>
    <w:qFormat/>
    <w:uiPriority w:val="0"/>
    <w:rPr>
      <w:rFonts w:ascii="宋体" w:hAnsi="宋体" w:eastAsia="宋体" w:cs="宋体"/>
      <w:b/>
      <w:bCs/>
      <w:sz w:val="28"/>
    </w:rPr>
  </w:style>
  <w:style w:type="paragraph" w:customStyle="1" w:styleId="24">
    <w:name w:val="CG 正文 小四"/>
    <w:basedOn w:val="1"/>
    <w:next w:val="1"/>
    <w:qFormat/>
    <w:uiPriority w:val="0"/>
    <w:pPr>
      <w:spacing w:line="360" w:lineRule="auto"/>
      <w:ind w:firstLine="723" w:firstLineChars="200"/>
      <w:jc w:val="left"/>
    </w:pPr>
    <w:rPr>
      <w:rFonts w:ascii="宋体" w:hAnsi="宋体" w:cs="宋体"/>
      <w:color w:val="000000" w:themeColor="text1"/>
      <w:sz w:val="24"/>
      <w:szCs w:val="24"/>
      <w:lang w:val="zh-CN" w:bidi="zh-CN"/>
      <w14:textFill>
        <w14:solidFill>
          <w14:schemeClr w14:val="tx1"/>
        </w14:solidFill>
      </w14:textFill>
    </w:rPr>
  </w:style>
  <w:style w:type="paragraph" w:customStyle="1" w:styleId="25">
    <w:name w:val="婵"/>
    <w:qFormat/>
    <w:uiPriority w:val="0"/>
    <w:pPr>
      <w:wordWrap w:val="0"/>
      <w:spacing w:line="360" w:lineRule="auto"/>
      <w:ind w:firstLine="720" w:firstLineChars="200"/>
    </w:pPr>
    <w:rPr>
      <w:rFonts w:ascii="宋体" w:hAnsi="宋体" w:cs="宋体" w:eastAsiaTheme="minorEastAsia"/>
      <w:kern w:val="2"/>
      <w:sz w:val="24"/>
      <w:szCs w:val="24"/>
      <w:lang w:val="en-US" w:bidi="ar-SA"/>
    </w:rPr>
  </w:style>
  <w:style w:type="paragraph" w:customStyle="1" w:styleId="26">
    <w:name w:val="CG 正文 四号"/>
    <w:basedOn w:val="1"/>
    <w:next w:val="1"/>
    <w:qFormat/>
    <w:uiPriority w:val="0"/>
    <w:pPr>
      <w:spacing w:line="360" w:lineRule="auto"/>
      <w:ind w:firstLine="420" w:firstLineChars="200"/>
      <w:jc w:val="left"/>
    </w:pPr>
    <w:rPr>
      <w:rFonts w:ascii="宋体" w:hAnsi="宋体" w:cs="宋体"/>
      <w:color w:val="000000" w:themeColor="text1"/>
      <w:sz w:val="28"/>
      <w:szCs w:val="28"/>
      <w14:textFill>
        <w14:solidFill>
          <w14:schemeClr w14:val="tx1"/>
        </w14:solidFill>
      </w14:textFill>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last-child2"/>
    <w:basedOn w:val="12"/>
    <w:qFormat/>
    <w:uiPriority w:val="0"/>
  </w:style>
  <w:style w:type="character" w:customStyle="1" w:styleId="29">
    <w:name w:val="layui-this4"/>
    <w:basedOn w:val="12"/>
    <w:qFormat/>
    <w:uiPriority w:val="0"/>
    <w:rPr>
      <w:bdr w:val="single" w:color="EEEEEE" w:sz="6" w:space="0"/>
      <w:shd w:val="clear" w:fill="FFFFFF"/>
    </w:rPr>
  </w:style>
  <w:style w:type="character" w:customStyle="1" w:styleId="30">
    <w:name w:val="hover13"/>
    <w:basedOn w:val="12"/>
    <w:qFormat/>
    <w:uiPriority w:val="0"/>
    <w:rPr>
      <w:color w:val="5FB878"/>
    </w:rPr>
  </w:style>
  <w:style w:type="character" w:customStyle="1" w:styleId="31">
    <w:name w:val="hover14"/>
    <w:basedOn w:val="12"/>
    <w:autoRedefine/>
    <w:qFormat/>
    <w:uiPriority w:val="0"/>
    <w:rPr>
      <w:color w:val="5FB878"/>
    </w:rPr>
  </w:style>
  <w:style w:type="character" w:customStyle="1" w:styleId="32">
    <w:name w:val="hover15"/>
    <w:basedOn w:val="12"/>
    <w:qFormat/>
    <w:uiPriority w:val="0"/>
    <w:rPr>
      <w:color w:val="FFFFFF"/>
    </w:rPr>
  </w:style>
  <w:style w:type="character" w:customStyle="1" w:styleId="33">
    <w:name w:val="layui-laypage-curr"/>
    <w:basedOn w:val="12"/>
    <w:qFormat/>
    <w:uiPriority w:val="0"/>
  </w:style>
  <w:style w:type="character" w:customStyle="1" w:styleId="34">
    <w:name w:val="layui-laydate-preview"/>
    <w:basedOn w:val="12"/>
    <w:autoRedefine/>
    <w:qFormat/>
    <w:uiPriority w:val="0"/>
  </w:style>
  <w:style w:type="character" w:customStyle="1" w:styleId="35">
    <w:name w:val="first-child1"/>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19762</Words>
  <Characters>20707</Characters>
  <TotalTime>14</TotalTime>
  <ScaleCrop>false</ScaleCrop>
  <LinksUpToDate>false</LinksUpToDate>
  <CharactersWithSpaces>22050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2025-07-23T16:10:00Z</dcterms:created>
  <dc:creator>admin</dc:creator>
  <cp:lastModifiedBy>二丁目</cp:lastModifiedBy>
  <dcterms:modified xsi:type="dcterms:W3CDTF">2025-07-23T09:34:29Z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eyJoZGlkIjoiMmFiMmIyZGI5ZDQ5NzBmNWJmODE5OTM1MDg1NGUxMTUiLCJ1c2VySWQiOiI2MTAyMjY4NDAifQ==</vt:lpwstr>
  </property>
  <property fmtid="{D5CDD505-2E9C-101B-9397-08002B2CF9AE}" pid="3" name="KSOProductBuildVer">
    <vt:lpwstr>2052-12.1.0.16120</vt:lpwstr>
  </property>
  <property fmtid="{D5CDD505-2E9C-101B-9397-08002B2CF9AE}" pid="4" name="ICV">
    <vt:lpwstr>BC8F9DF26AA246A89B8249CA9FB44801_12</vt:lpwstr>
  </property>
</Properties>
</file>