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C2227">
      <w:pPr>
        <w:pStyle w:val="8"/>
        <w:spacing w:line="245" w:lineRule="auto"/>
        <w:jc w:val="both"/>
        <w:rPr>
          <w:rFonts w:hint="eastAsia" w:ascii="宋体" w:hAnsi="宋体" w:eastAsia="宋体" w:cs="宋体"/>
          <w:b/>
          <w:bCs/>
          <w:snapToGrid w:val="0"/>
          <w:color w:val="auto"/>
          <w:spacing w:val="-18"/>
          <w:kern w:val="0"/>
          <w:sz w:val="52"/>
          <w:szCs w:val="52"/>
          <w:lang w:val="en-US" w:eastAsia="zh-CN" w:bidi="ar-SA"/>
        </w:rPr>
      </w:pPr>
    </w:p>
    <w:p w14:paraId="019144C0">
      <w:pPr>
        <w:pStyle w:val="8"/>
        <w:spacing w:line="245" w:lineRule="auto"/>
        <w:jc w:val="both"/>
        <w:rPr>
          <w:rFonts w:hint="eastAsia" w:ascii="宋体" w:hAnsi="宋体" w:eastAsia="宋体" w:cs="宋体"/>
          <w:b/>
          <w:bCs/>
          <w:snapToGrid w:val="0"/>
          <w:color w:val="auto"/>
          <w:spacing w:val="-18"/>
          <w:kern w:val="0"/>
          <w:sz w:val="52"/>
          <w:szCs w:val="52"/>
          <w:lang w:val="en-US" w:eastAsia="zh-CN" w:bidi="ar-SA"/>
        </w:rPr>
      </w:pPr>
      <w:r>
        <w:rPr>
          <w:rFonts w:hint="eastAsia" w:ascii="宋体" w:hAnsi="宋体" w:eastAsia="宋体" w:cs="宋体"/>
          <w:b/>
          <w:bCs/>
          <w:snapToGrid w:val="0"/>
          <w:color w:val="auto"/>
          <w:spacing w:val="-18"/>
          <w:kern w:val="0"/>
          <w:sz w:val="52"/>
          <w:szCs w:val="52"/>
          <w:lang w:val="en-US" w:eastAsia="zh-CN" w:bidi="ar-SA"/>
        </w:rPr>
        <w:t>皖北卫生职业学院小报告厅改造项目</w:t>
      </w:r>
    </w:p>
    <w:p w14:paraId="2C2174F3">
      <w:pPr>
        <w:pStyle w:val="8"/>
        <w:spacing w:line="245" w:lineRule="auto"/>
        <w:jc w:val="center"/>
        <w:rPr>
          <w:rFonts w:hint="eastAsia" w:ascii="宋体" w:hAnsi="宋体" w:eastAsia="宋体" w:cs="宋体"/>
          <w:b w:val="0"/>
          <w:bCs w:val="0"/>
          <w:snapToGrid w:val="0"/>
          <w:color w:val="auto"/>
          <w:spacing w:val="0"/>
          <w:kern w:val="0"/>
          <w:sz w:val="32"/>
          <w:szCs w:val="32"/>
          <w:lang w:val="en-US" w:eastAsia="zh-CN" w:bidi="ar-SA"/>
        </w:rPr>
      </w:pPr>
    </w:p>
    <w:p w14:paraId="0B2074CB">
      <w:pPr>
        <w:pStyle w:val="8"/>
        <w:spacing w:line="245" w:lineRule="auto"/>
        <w:jc w:val="center"/>
        <w:rPr>
          <w:rFonts w:hint="eastAsia" w:ascii="宋体" w:hAnsi="宋体" w:eastAsia="宋体" w:cs="宋体"/>
          <w:color w:val="auto"/>
          <w:sz w:val="22"/>
          <w:szCs w:val="22"/>
        </w:rPr>
      </w:pPr>
      <w:r>
        <w:rPr>
          <w:rFonts w:hint="eastAsia" w:ascii="宋体" w:hAnsi="宋体" w:eastAsia="宋体" w:cs="宋体"/>
          <w:b w:val="0"/>
          <w:bCs w:val="0"/>
          <w:snapToGrid w:val="0"/>
          <w:color w:val="auto"/>
          <w:spacing w:val="0"/>
          <w:kern w:val="0"/>
          <w:sz w:val="32"/>
          <w:szCs w:val="32"/>
          <w:lang w:val="en-US" w:eastAsia="zh-CN" w:bidi="ar-SA"/>
        </w:rPr>
        <w:t>项目编号：</w:t>
      </w:r>
      <w:r>
        <w:rPr>
          <w:rFonts w:hint="eastAsia" w:ascii="宋体" w:hAnsi="宋体"/>
          <w:sz w:val="28"/>
          <w:szCs w:val="28"/>
          <w:lang w:val="en-US" w:eastAsia="zh-CN"/>
        </w:rPr>
        <w:t>AHJC-2025042</w:t>
      </w:r>
    </w:p>
    <w:p w14:paraId="02859207">
      <w:pPr>
        <w:pStyle w:val="8"/>
        <w:spacing w:line="245" w:lineRule="auto"/>
        <w:rPr>
          <w:rFonts w:hint="eastAsia" w:ascii="宋体" w:hAnsi="宋体" w:eastAsia="宋体" w:cs="宋体"/>
          <w:color w:val="auto"/>
          <w:sz w:val="22"/>
          <w:szCs w:val="22"/>
        </w:rPr>
      </w:pPr>
    </w:p>
    <w:p w14:paraId="70C754D2">
      <w:pPr>
        <w:pStyle w:val="8"/>
        <w:spacing w:line="245" w:lineRule="auto"/>
        <w:rPr>
          <w:rFonts w:hint="eastAsia" w:ascii="宋体" w:hAnsi="宋体" w:eastAsia="宋体" w:cs="宋体"/>
          <w:color w:val="auto"/>
          <w:sz w:val="22"/>
          <w:szCs w:val="22"/>
        </w:rPr>
      </w:pPr>
    </w:p>
    <w:p w14:paraId="75C516ED">
      <w:pPr>
        <w:pStyle w:val="8"/>
        <w:spacing w:line="245" w:lineRule="auto"/>
        <w:rPr>
          <w:rFonts w:hint="eastAsia" w:ascii="宋体" w:hAnsi="宋体" w:eastAsia="宋体" w:cs="宋体"/>
          <w:color w:val="auto"/>
          <w:sz w:val="22"/>
          <w:szCs w:val="22"/>
        </w:rPr>
      </w:pPr>
    </w:p>
    <w:p w14:paraId="7894D70C">
      <w:pPr>
        <w:pStyle w:val="8"/>
        <w:spacing w:line="245" w:lineRule="auto"/>
        <w:rPr>
          <w:rFonts w:hint="eastAsia" w:ascii="宋体" w:hAnsi="宋体" w:eastAsia="宋体" w:cs="宋体"/>
          <w:color w:val="auto"/>
          <w:sz w:val="22"/>
          <w:szCs w:val="22"/>
        </w:rPr>
      </w:pPr>
    </w:p>
    <w:p w14:paraId="77E02A81">
      <w:pPr>
        <w:spacing w:before="351" w:line="207" w:lineRule="auto"/>
        <w:ind w:firstLine="555" w:firstLineChars="300"/>
        <w:outlineLvl w:val="0"/>
        <w:rPr>
          <w:rFonts w:hint="eastAsia" w:ascii="宋体" w:hAnsi="宋体" w:eastAsia="宋体" w:cs="宋体"/>
          <w:b/>
          <w:bCs/>
          <w:color w:val="auto"/>
          <w:spacing w:val="-18"/>
          <w:sz w:val="22"/>
          <w:szCs w:val="22"/>
        </w:rPr>
      </w:pPr>
      <w:bookmarkStart w:id="0" w:name="_Toc29061"/>
      <w:bookmarkStart w:id="1" w:name="_Toc13381"/>
      <w:bookmarkStart w:id="2" w:name="_Toc8779"/>
    </w:p>
    <w:p w14:paraId="4B37F475">
      <w:pPr>
        <w:pStyle w:val="3"/>
        <w:rPr>
          <w:rFonts w:hint="eastAsia" w:ascii="宋体" w:hAnsi="宋体" w:eastAsia="宋体" w:cs="宋体"/>
          <w:color w:val="auto"/>
        </w:rPr>
      </w:pPr>
    </w:p>
    <w:p w14:paraId="69A1186F">
      <w:pPr>
        <w:spacing w:before="351" w:line="207" w:lineRule="auto"/>
        <w:jc w:val="center"/>
        <w:outlineLvl w:val="9"/>
        <w:rPr>
          <w:rFonts w:hint="eastAsia" w:ascii="宋体" w:hAnsi="宋体" w:eastAsia="宋体" w:cs="宋体"/>
          <w:color w:val="auto"/>
          <w:sz w:val="52"/>
          <w:szCs w:val="52"/>
        </w:rPr>
      </w:pPr>
      <w:r>
        <w:rPr>
          <w:rFonts w:hint="eastAsia" w:ascii="宋体" w:hAnsi="宋体" w:eastAsia="宋体" w:cs="宋体"/>
          <w:b/>
          <w:bCs/>
          <w:color w:val="auto"/>
          <w:spacing w:val="-18"/>
          <w:sz w:val="52"/>
          <w:szCs w:val="52"/>
        </w:rPr>
        <w:t>询比釆购文件</w:t>
      </w:r>
      <w:bookmarkEnd w:id="0"/>
      <w:bookmarkEnd w:id="1"/>
      <w:bookmarkEnd w:id="2"/>
    </w:p>
    <w:p w14:paraId="0C083B45">
      <w:pPr>
        <w:pStyle w:val="8"/>
        <w:spacing w:line="241" w:lineRule="auto"/>
        <w:rPr>
          <w:rFonts w:hint="eastAsia" w:ascii="宋体" w:hAnsi="宋体" w:eastAsia="宋体" w:cs="宋体"/>
          <w:color w:val="auto"/>
          <w:sz w:val="22"/>
          <w:szCs w:val="22"/>
        </w:rPr>
      </w:pPr>
    </w:p>
    <w:p w14:paraId="6BF2A822">
      <w:pPr>
        <w:pStyle w:val="8"/>
        <w:spacing w:line="241" w:lineRule="auto"/>
        <w:rPr>
          <w:rFonts w:hint="eastAsia" w:ascii="宋体" w:hAnsi="宋体" w:eastAsia="宋体" w:cs="宋体"/>
          <w:color w:val="auto"/>
          <w:sz w:val="22"/>
          <w:szCs w:val="22"/>
        </w:rPr>
      </w:pPr>
    </w:p>
    <w:p w14:paraId="7427D719">
      <w:pPr>
        <w:pStyle w:val="8"/>
        <w:spacing w:line="241" w:lineRule="auto"/>
        <w:rPr>
          <w:rFonts w:hint="eastAsia" w:ascii="宋体" w:hAnsi="宋体" w:eastAsia="宋体" w:cs="宋体"/>
          <w:color w:val="auto"/>
          <w:sz w:val="22"/>
          <w:szCs w:val="22"/>
        </w:rPr>
      </w:pPr>
    </w:p>
    <w:p w14:paraId="0EA2E754">
      <w:pPr>
        <w:pStyle w:val="8"/>
        <w:spacing w:line="241" w:lineRule="auto"/>
        <w:rPr>
          <w:rFonts w:hint="eastAsia" w:ascii="宋体" w:hAnsi="宋体" w:eastAsia="宋体" w:cs="宋体"/>
          <w:color w:val="auto"/>
          <w:sz w:val="22"/>
          <w:szCs w:val="22"/>
        </w:rPr>
      </w:pPr>
    </w:p>
    <w:p w14:paraId="726B1E3A">
      <w:pPr>
        <w:pStyle w:val="8"/>
        <w:spacing w:line="241" w:lineRule="auto"/>
        <w:rPr>
          <w:rFonts w:hint="eastAsia" w:ascii="宋体" w:hAnsi="宋体" w:eastAsia="宋体" w:cs="宋体"/>
          <w:color w:val="auto"/>
          <w:sz w:val="22"/>
          <w:szCs w:val="22"/>
        </w:rPr>
      </w:pPr>
    </w:p>
    <w:p w14:paraId="42861487">
      <w:pPr>
        <w:pStyle w:val="8"/>
        <w:spacing w:line="241" w:lineRule="auto"/>
        <w:rPr>
          <w:rFonts w:hint="eastAsia" w:ascii="宋体" w:hAnsi="宋体" w:eastAsia="宋体" w:cs="宋体"/>
          <w:color w:val="auto"/>
          <w:sz w:val="22"/>
          <w:szCs w:val="22"/>
        </w:rPr>
      </w:pPr>
    </w:p>
    <w:p w14:paraId="756EE046">
      <w:pPr>
        <w:pStyle w:val="8"/>
        <w:spacing w:line="241" w:lineRule="auto"/>
        <w:rPr>
          <w:rFonts w:hint="eastAsia" w:ascii="宋体" w:hAnsi="宋体" w:eastAsia="宋体" w:cs="宋体"/>
          <w:color w:val="auto"/>
          <w:sz w:val="22"/>
          <w:szCs w:val="22"/>
        </w:rPr>
      </w:pPr>
    </w:p>
    <w:p w14:paraId="2AFB7DB2">
      <w:pPr>
        <w:pStyle w:val="8"/>
        <w:spacing w:line="241" w:lineRule="auto"/>
        <w:rPr>
          <w:rFonts w:hint="eastAsia" w:ascii="宋体" w:hAnsi="宋体" w:eastAsia="宋体" w:cs="宋体"/>
          <w:color w:val="auto"/>
          <w:sz w:val="22"/>
          <w:szCs w:val="22"/>
        </w:rPr>
      </w:pPr>
    </w:p>
    <w:p w14:paraId="4EAAA142">
      <w:pPr>
        <w:pStyle w:val="8"/>
        <w:spacing w:line="241" w:lineRule="auto"/>
        <w:rPr>
          <w:rFonts w:hint="eastAsia" w:ascii="宋体" w:hAnsi="宋体" w:eastAsia="宋体" w:cs="宋体"/>
          <w:color w:val="auto"/>
          <w:sz w:val="22"/>
          <w:szCs w:val="22"/>
        </w:rPr>
      </w:pPr>
    </w:p>
    <w:p w14:paraId="50FD0509">
      <w:pPr>
        <w:pStyle w:val="8"/>
        <w:spacing w:line="241" w:lineRule="auto"/>
        <w:rPr>
          <w:rFonts w:hint="eastAsia" w:ascii="宋体" w:hAnsi="宋体" w:eastAsia="宋体" w:cs="宋体"/>
          <w:color w:val="auto"/>
          <w:sz w:val="22"/>
          <w:szCs w:val="22"/>
        </w:rPr>
      </w:pPr>
    </w:p>
    <w:p w14:paraId="6E98602E">
      <w:pPr>
        <w:pStyle w:val="8"/>
        <w:spacing w:line="241" w:lineRule="auto"/>
        <w:rPr>
          <w:rFonts w:hint="eastAsia" w:ascii="宋体" w:hAnsi="宋体" w:eastAsia="宋体" w:cs="宋体"/>
          <w:color w:val="auto"/>
          <w:sz w:val="22"/>
          <w:szCs w:val="22"/>
        </w:rPr>
      </w:pPr>
    </w:p>
    <w:p w14:paraId="2422ADC8">
      <w:pPr>
        <w:pStyle w:val="8"/>
        <w:spacing w:line="241" w:lineRule="auto"/>
        <w:rPr>
          <w:rFonts w:hint="eastAsia" w:ascii="宋体" w:hAnsi="宋体" w:eastAsia="宋体" w:cs="宋体"/>
          <w:color w:val="auto"/>
          <w:sz w:val="22"/>
          <w:szCs w:val="22"/>
        </w:rPr>
      </w:pPr>
    </w:p>
    <w:p w14:paraId="0F144CB1">
      <w:pPr>
        <w:pStyle w:val="8"/>
        <w:spacing w:line="241" w:lineRule="auto"/>
        <w:rPr>
          <w:rFonts w:hint="eastAsia" w:ascii="宋体" w:hAnsi="宋体" w:eastAsia="宋体" w:cs="宋体"/>
          <w:color w:val="auto"/>
          <w:sz w:val="22"/>
          <w:szCs w:val="22"/>
        </w:rPr>
      </w:pPr>
    </w:p>
    <w:p w14:paraId="55511A75">
      <w:pPr>
        <w:pStyle w:val="8"/>
        <w:spacing w:line="241" w:lineRule="auto"/>
        <w:rPr>
          <w:rFonts w:hint="eastAsia" w:ascii="宋体" w:hAnsi="宋体" w:eastAsia="宋体" w:cs="宋体"/>
          <w:color w:val="auto"/>
          <w:sz w:val="22"/>
          <w:szCs w:val="22"/>
        </w:rPr>
      </w:pPr>
    </w:p>
    <w:p w14:paraId="7585942A">
      <w:pPr>
        <w:pStyle w:val="8"/>
        <w:spacing w:line="241" w:lineRule="auto"/>
        <w:jc w:val="center"/>
        <w:rPr>
          <w:rFonts w:hint="eastAsia" w:ascii="宋体" w:hAnsi="宋体" w:eastAsia="宋体" w:cs="宋体"/>
          <w:color w:val="auto"/>
          <w:sz w:val="22"/>
          <w:szCs w:val="22"/>
        </w:rPr>
      </w:pPr>
    </w:p>
    <w:p w14:paraId="1BF5BBA5">
      <w:pPr>
        <w:pStyle w:val="21"/>
        <w:ind w:left="0" w:leftChars="0" w:firstLine="0" w:firstLineChars="0"/>
        <w:jc w:val="center"/>
        <w:rPr>
          <w:rFonts w:hint="eastAsia" w:ascii="黑体" w:hAnsi="宋体" w:eastAsia="黑体"/>
          <w:color w:val="auto"/>
          <w:sz w:val="28"/>
          <w:szCs w:val="28"/>
          <w:lang w:val="en-US" w:eastAsia="zh-CN"/>
        </w:rPr>
      </w:pPr>
      <w:r>
        <w:rPr>
          <w:rFonts w:hint="eastAsia" w:ascii="黑体" w:hAnsi="宋体" w:eastAsia="黑体"/>
          <w:color w:val="auto"/>
          <w:sz w:val="28"/>
          <w:szCs w:val="28"/>
          <w:lang w:eastAsia="zh-CN"/>
        </w:rPr>
        <w:t>采购人：皖北卫生职业学院（</w:t>
      </w:r>
      <w:r>
        <w:rPr>
          <w:rFonts w:hint="eastAsia" w:ascii="黑体" w:hAnsi="宋体" w:eastAsia="黑体"/>
          <w:color w:val="auto"/>
          <w:sz w:val="28"/>
          <w:szCs w:val="28"/>
          <w:lang w:val="en-US" w:eastAsia="zh-CN"/>
        </w:rPr>
        <w:t>盖章</w:t>
      </w:r>
      <w:r>
        <w:rPr>
          <w:rFonts w:hint="eastAsia" w:ascii="黑体" w:hAnsi="宋体" w:eastAsia="黑体"/>
          <w:color w:val="auto"/>
          <w:sz w:val="28"/>
          <w:szCs w:val="28"/>
          <w:lang w:eastAsia="zh-CN"/>
        </w:rPr>
        <w:t>）</w:t>
      </w:r>
    </w:p>
    <w:p w14:paraId="01FAF7E3">
      <w:pPr>
        <w:pStyle w:val="21"/>
        <w:ind w:left="0" w:leftChars="0" w:firstLine="0" w:firstLineChars="0"/>
        <w:jc w:val="center"/>
        <w:rPr>
          <w:rFonts w:hint="eastAsia" w:ascii="黑体" w:hAnsi="宋体" w:eastAsia="黑体"/>
          <w:color w:val="auto"/>
          <w:sz w:val="28"/>
          <w:szCs w:val="28"/>
          <w:lang w:eastAsia="zh-CN"/>
        </w:rPr>
      </w:pPr>
    </w:p>
    <w:p w14:paraId="43CEC2D6">
      <w:pPr>
        <w:pStyle w:val="21"/>
        <w:ind w:left="0" w:leftChars="0" w:firstLine="0" w:firstLineChars="0"/>
        <w:jc w:val="center"/>
        <w:rPr>
          <w:rFonts w:hint="eastAsia" w:ascii="黑体" w:hAnsi="宋体" w:eastAsia="黑体"/>
          <w:color w:val="auto"/>
          <w:sz w:val="28"/>
          <w:szCs w:val="28"/>
          <w:lang w:val="en-US" w:eastAsia="zh-CN"/>
        </w:rPr>
      </w:pPr>
      <w:r>
        <w:rPr>
          <w:rFonts w:hint="eastAsia" w:ascii="黑体" w:hAnsi="宋体" w:eastAsia="黑体"/>
          <w:color w:val="auto"/>
          <w:sz w:val="28"/>
          <w:szCs w:val="28"/>
          <w:lang w:eastAsia="zh-CN"/>
        </w:rPr>
        <w:t>采购代理机构：安徽建城工程管理有限公司（</w:t>
      </w:r>
      <w:r>
        <w:rPr>
          <w:rFonts w:hint="eastAsia" w:ascii="黑体" w:hAnsi="宋体" w:eastAsia="黑体"/>
          <w:color w:val="auto"/>
          <w:sz w:val="28"/>
          <w:szCs w:val="28"/>
          <w:lang w:val="en-US" w:eastAsia="zh-CN"/>
        </w:rPr>
        <w:t>盖章</w:t>
      </w:r>
      <w:r>
        <w:rPr>
          <w:rFonts w:hint="eastAsia" w:ascii="黑体" w:hAnsi="宋体" w:eastAsia="黑体"/>
          <w:color w:val="auto"/>
          <w:sz w:val="28"/>
          <w:szCs w:val="28"/>
          <w:lang w:eastAsia="zh-CN"/>
        </w:rPr>
        <w:t>）</w:t>
      </w:r>
    </w:p>
    <w:p w14:paraId="22A703AD">
      <w:pPr>
        <w:spacing w:before="136" w:line="208" w:lineRule="auto"/>
        <w:jc w:val="center"/>
        <w:rPr>
          <w:rFonts w:hint="eastAsia" w:ascii="黑体" w:hAnsi="宋体" w:eastAsia="黑体" w:cs="Arial"/>
          <w:snapToGrid w:val="0"/>
          <w:color w:val="auto"/>
          <w:kern w:val="0"/>
          <w:sz w:val="28"/>
          <w:szCs w:val="28"/>
          <w:lang w:val="en-US" w:eastAsia="zh-CN" w:bidi="ar-SA"/>
        </w:rPr>
      </w:pPr>
    </w:p>
    <w:p w14:paraId="0AF3EF42">
      <w:pPr>
        <w:spacing w:before="136" w:line="208" w:lineRule="auto"/>
        <w:jc w:val="center"/>
        <w:rPr>
          <w:rFonts w:hint="eastAsia" w:ascii="黑体" w:hAnsi="宋体" w:eastAsia="黑体" w:cs="Arial"/>
          <w:snapToGrid w:val="0"/>
          <w:color w:val="auto"/>
          <w:kern w:val="0"/>
          <w:sz w:val="28"/>
          <w:szCs w:val="28"/>
          <w:lang w:val="en-US" w:eastAsia="zh-CN" w:bidi="ar-SA"/>
        </w:rPr>
        <w:sectPr>
          <w:pgSz w:w="11906" w:h="16838"/>
          <w:pgMar w:top="1440" w:right="1800" w:bottom="1440" w:left="1800" w:header="0" w:footer="0" w:gutter="0"/>
          <w:pgNumType w:fmt="decimal"/>
          <w:cols w:space="720" w:num="1"/>
        </w:sectPr>
      </w:pPr>
      <w:r>
        <w:rPr>
          <w:rFonts w:hint="eastAsia" w:ascii="黑体" w:hAnsi="宋体" w:eastAsia="黑体" w:cs="Arial"/>
          <w:snapToGrid w:val="0"/>
          <w:color w:val="auto"/>
          <w:kern w:val="0"/>
          <w:sz w:val="28"/>
          <w:szCs w:val="28"/>
          <w:lang w:val="en-US" w:eastAsia="zh-CN" w:bidi="ar-SA"/>
        </w:rPr>
        <w:t>2025年5月</w:t>
      </w:r>
    </w:p>
    <w:sdt>
      <w:sdtPr>
        <w:rPr>
          <w:rFonts w:ascii="宋体" w:hAnsi="宋体" w:eastAsia="宋体" w:cs="Arial"/>
          <w:b/>
          <w:bCs/>
          <w:snapToGrid w:val="0"/>
          <w:color w:val="000000"/>
          <w:kern w:val="0"/>
          <w:sz w:val="36"/>
          <w:szCs w:val="36"/>
          <w:lang w:val="en-US" w:eastAsia="en-US" w:bidi="ar-SA"/>
        </w:rPr>
        <w:id w:val="147464577"/>
        <w15:color w:val="DBDBDB"/>
        <w:docPartObj>
          <w:docPartGallery w:val="Table of Contents"/>
          <w:docPartUnique/>
        </w:docPartObj>
      </w:sdtPr>
      <w:sdtEndPr>
        <w:rPr>
          <w:rFonts w:hint="eastAsia" w:ascii="宋体" w:hAnsi="宋体" w:eastAsia="宋体" w:cs="宋体"/>
          <w:b/>
          <w:bCs/>
          <w:snapToGrid w:val="0"/>
          <w:color w:val="auto"/>
          <w:kern w:val="0"/>
          <w:sz w:val="21"/>
          <w:szCs w:val="22"/>
          <w:lang w:val="en-US" w:eastAsia="en-US" w:bidi="ar-SA"/>
        </w:rPr>
      </w:sdtEndPr>
      <w:sdtContent>
        <w:p w14:paraId="7D4DCC92">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14:paraId="369AD18B">
          <w:pPr>
            <w:pStyle w:val="16"/>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color w:val="auto"/>
              <w:sz w:val="24"/>
              <w:szCs w:val="24"/>
              <w:lang w:val="en-US" w:eastAsia="en-US"/>
            </w:rPr>
            <w:instrText xml:space="preserve">TOC \o "1-2" \h \u </w:instrText>
          </w:r>
          <w:r>
            <w:rPr>
              <w:rFonts w:hint="eastAsia" w:ascii="宋体" w:hAnsi="宋体" w:eastAsia="宋体" w:cs="宋体"/>
              <w:b w:val="0"/>
              <w:bCs w:val="0"/>
              <w:color w:val="auto"/>
              <w:sz w:val="24"/>
              <w:szCs w:val="24"/>
              <w:lang w:val="en-US" w:eastAsia="en-US"/>
            </w:rPr>
            <w:fldChar w:fldCharType="separate"/>
          </w:r>
          <w:r>
            <w:rPr>
              <w:rFonts w:hint="eastAsia" w:ascii="宋体" w:hAnsi="宋体" w:eastAsia="宋体" w:cs="宋体"/>
              <w:b/>
              <w:bCs/>
              <w:color w:val="auto"/>
              <w:sz w:val="24"/>
              <w:szCs w:val="24"/>
              <w:lang w:val="en-US" w:eastAsia="en-US"/>
            </w:rPr>
            <w:fldChar w:fldCharType="begin"/>
          </w:r>
          <w:r>
            <w:rPr>
              <w:rFonts w:hint="eastAsia" w:ascii="宋体" w:hAnsi="宋体" w:eastAsia="宋体" w:cs="宋体"/>
              <w:b/>
              <w:bCs/>
              <w:sz w:val="24"/>
              <w:szCs w:val="24"/>
              <w:lang w:val="en-US" w:eastAsia="en-US"/>
            </w:rPr>
            <w:instrText xml:space="preserve"> HYPERLINK \l _Toc2773 </w:instrText>
          </w:r>
          <w:r>
            <w:rPr>
              <w:rFonts w:hint="eastAsia" w:ascii="宋体" w:hAnsi="宋体" w:eastAsia="宋体" w:cs="宋体"/>
              <w:b/>
              <w:bCs/>
              <w:sz w:val="24"/>
              <w:szCs w:val="24"/>
              <w:lang w:val="en-US" w:eastAsia="en-US"/>
            </w:rPr>
            <w:fldChar w:fldCharType="separate"/>
          </w:r>
          <w:r>
            <w:rPr>
              <w:rFonts w:hint="eastAsia" w:ascii="宋体" w:hAnsi="宋体" w:eastAsia="宋体" w:cs="宋体"/>
              <w:b/>
              <w:bCs/>
              <w:spacing w:val="-20"/>
              <w:sz w:val="24"/>
              <w:szCs w:val="24"/>
              <w:lang w:val="en-US" w:eastAsia="zh-CN"/>
            </w:rPr>
            <w:t xml:space="preserve">第一章     </w:t>
          </w:r>
          <w:r>
            <w:rPr>
              <w:rFonts w:hint="eastAsia" w:ascii="宋体" w:hAnsi="宋体" w:eastAsia="宋体" w:cs="宋体"/>
              <w:b/>
              <w:bCs/>
              <w:spacing w:val="0"/>
              <w:sz w:val="24"/>
              <w:szCs w:val="24"/>
            </w:rPr>
            <w:t>询比采购公告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_Toc2773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lang w:val="en-US" w:eastAsia="en-US"/>
            </w:rPr>
            <w:fldChar w:fldCharType="end"/>
          </w:r>
        </w:p>
        <w:p w14:paraId="765B890A">
          <w:pPr>
            <w:pStyle w:val="16"/>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color w:val="auto"/>
              <w:sz w:val="24"/>
              <w:szCs w:val="24"/>
              <w:lang w:val="en-US" w:eastAsia="en-US"/>
            </w:rPr>
            <w:fldChar w:fldCharType="begin"/>
          </w:r>
          <w:r>
            <w:rPr>
              <w:rFonts w:hint="eastAsia" w:ascii="宋体" w:hAnsi="宋体" w:eastAsia="宋体" w:cs="宋体"/>
              <w:b/>
              <w:bCs/>
              <w:sz w:val="24"/>
              <w:szCs w:val="24"/>
              <w:lang w:val="en-US" w:eastAsia="en-US"/>
            </w:rPr>
            <w:instrText xml:space="preserve"> HYPERLINK \l _Toc21011 </w:instrText>
          </w:r>
          <w:r>
            <w:rPr>
              <w:rFonts w:hint="eastAsia" w:ascii="宋体" w:hAnsi="宋体" w:eastAsia="宋体" w:cs="宋体"/>
              <w:b/>
              <w:bCs/>
              <w:sz w:val="24"/>
              <w:szCs w:val="24"/>
              <w:lang w:val="en-US" w:eastAsia="en-US"/>
            </w:rPr>
            <w:fldChar w:fldCharType="separate"/>
          </w:r>
          <w:r>
            <w:rPr>
              <w:rFonts w:hint="eastAsia" w:ascii="宋体" w:hAnsi="宋体" w:eastAsia="宋体" w:cs="宋体"/>
              <w:b/>
              <w:bCs/>
              <w:spacing w:val="-20"/>
              <w:sz w:val="24"/>
              <w:szCs w:val="24"/>
              <w:lang w:val="en-US" w:eastAsia="zh-CN"/>
            </w:rPr>
            <w:t>第二章、供应商须知前附表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_Toc21011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lang w:val="en-US" w:eastAsia="en-US"/>
            </w:rPr>
            <w:fldChar w:fldCharType="end"/>
          </w:r>
        </w:p>
        <w:p w14:paraId="1DA9CA37">
          <w:pPr>
            <w:pStyle w:val="16"/>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color w:val="auto"/>
              <w:sz w:val="24"/>
              <w:szCs w:val="24"/>
              <w:lang w:val="en-US" w:eastAsia="en-US"/>
            </w:rPr>
            <w:fldChar w:fldCharType="begin"/>
          </w:r>
          <w:r>
            <w:rPr>
              <w:rFonts w:hint="eastAsia" w:ascii="宋体" w:hAnsi="宋体" w:eastAsia="宋体" w:cs="宋体"/>
              <w:b/>
              <w:bCs/>
              <w:sz w:val="24"/>
              <w:szCs w:val="24"/>
              <w:lang w:val="en-US" w:eastAsia="en-US"/>
            </w:rPr>
            <w:instrText xml:space="preserve"> HYPERLINK \l _Toc9002 </w:instrText>
          </w:r>
          <w:r>
            <w:rPr>
              <w:rFonts w:hint="eastAsia" w:ascii="宋体" w:hAnsi="宋体" w:eastAsia="宋体" w:cs="宋体"/>
              <w:b/>
              <w:bCs/>
              <w:sz w:val="24"/>
              <w:szCs w:val="24"/>
              <w:lang w:val="en-US" w:eastAsia="en-US"/>
            </w:rPr>
            <w:fldChar w:fldCharType="separate"/>
          </w:r>
          <w:r>
            <w:rPr>
              <w:rFonts w:hint="eastAsia" w:ascii="宋体" w:hAnsi="宋体" w:eastAsia="宋体" w:cs="宋体"/>
              <w:b/>
              <w:bCs/>
              <w:spacing w:val="-2"/>
              <w:sz w:val="24"/>
              <w:szCs w:val="24"/>
            </w:rPr>
            <w:t>第三章  评审办法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_Toc9002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22</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lang w:val="en-US" w:eastAsia="en-US"/>
            </w:rPr>
            <w:fldChar w:fldCharType="end"/>
          </w:r>
        </w:p>
        <w:p w14:paraId="1435D949">
          <w:pPr>
            <w:pStyle w:val="16"/>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color w:val="auto"/>
              <w:sz w:val="24"/>
              <w:szCs w:val="24"/>
              <w:lang w:val="en-US" w:eastAsia="en-US"/>
            </w:rPr>
            <w:fldChar w:fldCharType="begin"/>
          </w:r>
          <w:r>
            <w:rPr>
              <w:rFonts w:hint="eastAsia" w:ascii="宋体" w:hAnsi="宋体" w:eastAsia="宋体" w:cs="宋体"/>
              <w:b/>
              <w:bCs/>
              <w:sz w:val="24"/>
              <w:szCs w:val="24"/>
              <w:lang w:val="en-US" w:eastAsia="en-US"/>
            </w:rPr>
            <w:instrText xml:space="preserve"> HYPERLINK \l _Toc7526 </w:instrText>
          </w:r>
          <w:r>
            <w:rPr>
              <w:rFonts w:hint="eastAsia" w:ascii="宋体" w:hAnsi="宋体" w:eastAsia="宋体" w:cs="宋体"/>
              <w:b/>
              <w:bCs/>
              <w:sz w:val="24"/>
              <w:szCs w:val="24"/>
              <w:lang w:val="en-US" w:eastAsia="en-US"/>
            </w:rPr>
            <w:fldChar w:fldCharType="separate"/>
          </w:r>
          <w:r>
            <w:rPr>
              <w:rFonts w:hint="eastAsia" w:ascii="宋体" w:hAnsi="宋体" w:eastAsia="宋体" w:cs="宋体"/>
              <w:b/>
              <w:bCs/>
              <w:sz w:val="24"/>
              <w:szCs w:val="24"/>
              <w:lang w:val="en-US" w:eastAsia="zh-CN"/>
            </w:rPr>
            <w:t>第四章  合同条款及格式（工程类供参考）</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_Toc7526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31</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lang w:val="en-US" w:eastAsia="en-US"/>
            </w:rPr>
            <w:fldChar w:fldCharType="end"/>
          </w:r>
        </w:p>
        <w:p w14:paraId="6530417E">
          <w:pPr>
            <w:pStyle w:val="16"/>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color w:val="auto"/>
              <w:sz w:val="24"/>
              <w:szCs w:val="24"/>
              <w:lang w:val="en-US" w:eastAsia="en-US"/>
            </w:rPr>
            <w:fldChar w:fldCharType="begin"/>
          </w:r>
          <w:r>
            <w:rPr>
              <w:rFonts w:hint="eastAsia" w:ascii="宋体" w:hAnsi="宋体" w:eastAsia="宋体" w:cs="宋体"/>
              <w:b/>
              <w:bCs/>
              <w:sz w:val="24"/>
              <w:szCs w:val="24"/>
              <w:lang w:val="en-US" w:eastAsia="en-US"/>
            </w:rPr>
            <w:instrText xml:space="preserve"> HYPERLINK \l _Toc95 </w:instrText>
          </w:r>
          <w:r>
            <w:rPr>
              <w:rFonts w:hint="eastAsia" w:ascii="宋体" w:hAnsi="宋体" w:eastAsia="宋体" w:cs="宋体"/>
              <w:b/>
              <w:bCs/>
              <w:sz w:val="24"/>
              <w:szCs w:val="24"/>
              <w:lang w:val="en-US" w:eastAsia="en-US"/>
            </w:rPr>
            <w:fldChar w:fldCharType="separate"/>
          </w:r>
          <w:r>
            <w:rPr>
              <w:rFonts w:hint="eastAsia" w:ascii="宋体" w:hAnsi="宋体" w:eastAsia="宋体" w:cs="宋体"/>
              <w:b/>
              <w:bCs/>
              <w:spacing w:val="-7"/>
              <w:sz w:val="24"/>
              <w:szCs w:val="24"/>
              <w:lang w:val="en-US" w:eastAsia="zh-CN"/>
            </w:rPr>
            <w:t>第五章  采购需求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_Toc95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41</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lang w:val="en-US" w:eastAsia="en-US"/>
            </w:rPr>
            <w:fldChar w:fldCharType="end"/>
          </w:r>
        </w:p>
        <w:p w14:paraId="750B324C">
          <w:pPr>
            <w:pStyle w:val="16"/>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bCs/>
              <w:color w:val="auto"/>
              <w:sz w:val="24"/>
              <w:szCs w:val="24"/>
              <w:lang w:val="en-US" w:eastAsia="en-US"/>
            </w:rPr>
            <w:fldChar w:fldCharType="begin"/>
          </w:r>
          <w:r>
            <w:rPr>
              <w:rFonts w:hint="eastAsia" w:ascii="宋体" w:hAnsi="宋体" w:eastAsia="宋体" w:cs="宋体"/>
              <w:b/>
              <w:bCs/>
              <w:sz w:val="24"/>
              <w:szCs w:val="24"/>
              <w:lang w:val="en-US" w:eastAsia="en-US"/>
            </w:rPr>
            <w:instrText xml:space="preserve"> HYPERLINK \l _Toc21465 </w:instrText>
          </w:r>
          <w:r>
            <w:rPr>
              <w:rFonts w:hint="eastAsia" w:ascii="宋体" w:hAnsi="宋体" w:eastAsia="宋体" w:cs="宋体"/>
              <w:b/>
              <w:bCs/>
              <w:sz w:val="24"/>
              <w:szCs w:val="24"/>
              <w:lang w:val="en-US" w:eastAsia="en-US"/>
            </w:rPr>
            <w:fldChar w:fldCharType="separate"/>
          </w:r>
          <w:r>
            <w:rPr>
              <w:rFonts w:hint="eastAsia" w:ascii="宋体" w:hAnsi="宋体" w:eastAsia="宋体" w:cs="宋体"/>
              <w:b/>
              <w:bCs/>
              <w:spacing w:val="-7"/>
              <w:sz w:val="24"/>
              <w:szCs w:val="24"/>
            </w:rPr>
            <w:t>第</w:t>
          </w:r>
          <w:r>
            <w:rPr>
              <w:rFonts w:hint="eastAsia" w:ascii="宋体" w:hAnsi="宋体" w:eastAsia="宋体" w:cs="宋体"/>
              <w:b/>
              <w:bCs/>
              <w:spacing w:val="-7"/>
              <w:sz w:val="24"/>
              <w:szCs w:val="24"/>
              <w:lang w:val="en-US" w:eastAsia="zh-CN"/>
            </w:rPr>
            <w:t>六</w:t>
          </w:r>
          <w:r>
            <w:rPr>
              <w:rFonts w:hint="eastAsia" w:ascii="宋体" w:hAnsi="宋体" w:eastAsia="宋体" w:cs="宋体"/>
              <w:b/>
              <w:bCs/>
              <w:spacing w:val="-7"/>
              <w:sz w:val="24"/>
              <w:szCs w:val="24"/>
            </w:rPr>
            <w:t>章</w:t>
          </w:r>
          <w:r>
            <w:rPr>
              <w:rFonts w:hint="eastAsia" w:ascii="宋体" w:hAnsi="宋体" w:eastAsia="宋体" w:cs="宋体"/>
              <w:b/>
              <w:bCs/>
              <w:spacing w:val="-7"/>
              <w:sz w:val="24"/>
              <w:szCs w:val="24"/>
              <w:lang w:val="en-US" w:eastAsia="zh-CN"/>
            </w:rPr>
            <w:t xml:space="preserve">   </w:t>
          </w:r>
          <w:r>
            <w:rPr>
              <w:rFonts w:hint="eastAsia" w:ascii="宋体" w:hAnsi="宋体" w:eastAsia="宋体" w:cs="宋体"/>
              <w:b/>
              <w:bCs/>
              <w:spacing w:val="-7"/>
              <w:sz w:val="24"/>
              <w:szCs w:val="24"/>
            </w:rPr>
            <w:t>响应文件格式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_Toc21465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43</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lang w:val="en-US" w:eastAsia="en-US"/>
            </w:rPr>
            <w:fldChar w:fldCharType="end"/>
          </w:r>
        </w:p>
        <w:p w14:paraId="76B45EC0">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_Toc20454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snapToGrid w:val="0"/>
              <w:kern w:val="0"/>
              <w:sz w:val="24"/>
              <w:szCs w:val="24"/>
              <w:lang w:val="en-US" w:eastAsia="en-US" w:bidi="ar-SA"/>
            </w:rPr>
            <w:t>一、 响应函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_Toc20454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44</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5670B900">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_Toc30017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snapToGrid w:val="0"/>
              <w:kern w:val="0"/>
              <w:sz w:val="24"/>
              <w:szCs w:val="24"/>
              <w:lang w:val="en-US" w:eastAsia="zh-CN" w:bidi="ar-SA"/>
            </w:rPr>
            <w:t>二、</w:t>
          </w:r>
          <w:r>
            <w:rPr>
              <w:rFonts w:hint="eastAsia" w:ascii="宋体" w:hAnsi="宋体" w:eastAsia="宋体" w:cs="宋体"/>
              <w:b w:val="0"/>
              <w:bCs w:val="0"/>
              <w:snapToGrid w:val="0"/>
              <w:kern w:val="0"/>
              <w:sz w:val="24"/>
              <w:szCs w:val="24"/>
              <w:lang w:val="en-US" w:eastAsia="en-US" w:bidi="ar-SA"/>
            </w:rPr>
            <w:t>报价一览表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_Toc30017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45</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6C8EC3A3">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_Toc478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授权委托书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_Toc478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46</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5FB67FE4">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_Toc19053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spacing w:val="8"/>
              <w:sz w:val="24"/>
              <w:szCs w:val="24"/>
              <w:lang w:val="en-US" w:eastAsia="zh-CN"/>
            </w:rPr>
            <w:t>四、分项报价表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_Toc19053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48</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604089C6">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_Toc14401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i w:val="0"/>
              <w:iCs w:val="0"/>
              <w:sz w:val="24"/>
              <w:szCs w:val="24"/>
              <w:lang w:val="en-US" w:eastAsia="zh-CN"/>
            </w:rPr>
            <w:t>五</w:t>
          </w:r>
          <w:r>
            <w:rPr>
              <w:rFonts w:hint="eastAsia" w:ascii="宋体" w:hAnsi="宋体" w:eastAsia="宋体" w:cs="宋体"/>
              <w:b w:val="0"/>
              <w:bCs w:val="0"/>
              <w:i w:val="0"/>
              <w:iCs w:val="0"/>
              <w:sz w:val="24"/>
              <w:szCs w:val="24"/>
            </w:rPr>
            <w:t>、项目要求响应情况表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_Toc14401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49</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32569E18">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_Toc8241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i w:val="0"/>
              <w:iCs w:val="0"/>
              <w:sz w:val="24"/>
              <w:szCs w:val="24"/>
              <w:lang w:val="en-US" w:eastAsia="zh-CN"/>
            </w:rPr>
            <w:t>六</w:t>
          </w:r>
          <w:r>
            <w:rPr>
              <w:rFonts w:hint="eastAsia" w:ascii="宋体" w:hAnsi="宋体" w:eastAsia="宋体" w:cs="宋体"/>
              <w:b w:val="0"/>
              <w:bCs w:val="0"/>
              <w:i w:val="0"/>
              <w:iCs w:val="0"/>
              <w:sz w:val="24"/>
              <w:szCs w:val="24"/>
            </w:rPr>
            <w:t>、商务要求响应情况表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_Toc8241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50</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1C32A43A">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_Toc31819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spacing w:val="8"/>
              <w:sz w:val="24"/>
              <w:szCs w:val="24"/>
              <w:lang w:val="en-US" w:eastAsia="zh-CN"/>
            </w:rPr>
            <w:t>七</w:t>
          </w:r>
          <w:r>
            <w:rPr>
              <w:rFonts w:hint="eastAsia" w:ascii="宋体" w:hAnsi="宋体" w:eastAsia="宋体" w:cs="宋体"/>
              <w:b w:val="0"/>
              <w:bCs w:val="0"/>
              <w:sz w:val="24"/>
              <w:szCs w:val="24"/>
              <w:lang w:val="en-US" w:eastAsia="zh-CN"/>
            </w:rPr>
            <w:t>、本项目实施方案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_Toc31819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51</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000C24EA">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_Toc29612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sz w:val="24"/>
              <w:szCs w:val="24"/>
              <w:lang w:val="en-US" w:eastAsia="zh-CN"/>
            </w:rPr>
            <w:t>八、资格证明文件及其他重要资料供应商必须提供下列文件：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_Toc29612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51</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3CC692B6">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_Toc21549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sz w:val="24"/>
              <w:szCs w:val="24"/>
              <w:lang w:val="en-US" w:eastAsia="zh-CN"/>
            </w:rPr>
            <w:t>（一）营业执照</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_Toc21549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51</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3CA938BC">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_Toc25006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sz w:val="24"/>
              <w:szCs w:val="24"/>
              <w:lang w:val="en-US" w:eastAsia="zh-CN"/>
            </w:rPr>
            <w:t>（二） 税务登记证</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_Toc25006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51</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42CC76D6">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_Toc25423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spacing w:val="-1"/>
              <w:sz w:val="24"/>
              <w:szCs w:val="24"/>
              <w:lang w:val="en-US" w:eastAsia="zh-CN"/>
            </w:rPr>
            <w:t>九、 声明函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_Toc25423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52</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6F2A3740">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_Toc31345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spacing w:val="-1"/>
              <w:sz w:val="24"/>
              <w:szCs w:val="24"/>
              <w:lang w:val="en-US" w:eastAsia="zh-CN"/>
            </w:rPr>
            <w:t>十、 承诺书</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_Toc31345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53</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221F28B1">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_Toc20907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spacing w:val="-1"/>
              <w:sz w:val="24"/>
              <w:szCs w:val="24"/>
              <w:lang w:val="en-US" w:eastAsia="zh-CN"/>
            </w:rPr>
            <w:t>十一、</w:t>
          </w:r>
          <w:r>
            <w:rPr>
              <w:rFonts w:hint="eastAsia" w:ascii="宋体" w:hAnsi="宋体" w:eastAsia="宋体" w:cs="宋体"/>
              <w:b w:val="0"/>
              <w:bCs w:val="0"/>
              <w:spacing w:val="-1"/>
              <w:sz w:val="24"/>
              <w:szCs w:val="24"/>
            </w:rPr>
            <w:t>其他资料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_Toc20907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54</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0BA33D2E">
          <w:pPr>
            <w:pStyle w:val="17"/>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en-US"/>
            </w:rPr>
            <w:fldChar w:fldCharType="begin"/>
          </w:r>
          <w:r>
            <w:rPr>
              <w:rFonts w:hint="eastAsia" w:ascii="宋体" w:hAnsi="宋体" w:eastAsia="宋体" w:cs="宋体"/>
              <w:b w:val="0"/>
              <w:bCs w:val="0"/>
              <w:sz w:val="24"/>
              <w:szCs w:val="24"/>
              <w:lang w:val="en-US" w:eastAsia="en-US"/>
            </w:rPr>
            <w:instrText xml:space="preserve"> HYPERLINK \l _Toc25605 </w:instrText>
          </w:r>
          <w:r>
            <w:rPr>
              <w:rFonts w:hint="eastAsia" w:ascii="宋体" w:hAnsi="宋体" w:eastAsia="宋体" w:cs="宋体"/>
              <w:b w:val="0"/>
              <w:bCs w:val="0"/>
              <w:sz w:val="24"/>
              <w:szCs w:val="24"/>
              <w:lang w:val="en-US" w:eastAsia="en-US"/>
            </w:rPr>
            <w:fldChar w:fldCharType="separate"/>
          </w:r>
          <w:r>
            <w:rPr>
              <w:rFonts w:hint="eastAsia" w:ascii="宋体" w:hAnsi="宋体" w:eastAsia="宋体" w:cs="宋体"/>
              <w:b w:val="0"/>
              <w:bCs w:val="0"/>
              <w:sz w:val="24"/>
              <w:szCs w:val="24"/>
              <w:lang w:val="en-US" w:eastAsia="zh-CN"/>
            </w:rPr>
            <w:t>十二、中小企业声明函（如有）</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_Toc25605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55</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sz w:val="24"/>
              <w:szCs w:val="24"/>
              <w:lang w:val="en-US" w:eastAsia="en-US"/>
            </w:rPr>
            <w:fldChar w:fldCharType="end"/>
          </w:r>
        </w:p>
        <w:p w14:paraId="3F920537">
          <w:pPr>
            <w:bidi w:val="0"/>
            <w:rPr>
              <w:rFonts w:hint="eastAsia" w:ascii="宋体" w:hAnsi="宋体" w:eastAsia="宋体" w:cs="宋体"/>
              <w:snapToGrid w:val="0"/>
              <w:color w:val="auto"/>
              <w:kern w:val="0"/>
              <w:sz w:val="21"/>
              <w:szCs w:val="22"/>
              <w:lang w:val="en-US" w:eastAsia="en-US" w:bidi="ar-SA"/>
            </w:rPr>
          </w:pPr>
          <w:r>
            <w:rPr>
              <w:rFonts w:hint="eastAsia" w:ascii="宋体" w:hAnsi="宋体" w:eastAsia="宋体" w:cs="宋体"/>
              <w:b w:val="0"/>
              <w:bCs w:val="0"/>
              <w:color w:val="auto"/>
              <w:sz w:val="24"/>
              <w:szCs w:val="24"/>
              <w:lang w:val="en-US" w:eastAsia="en-US"/>
            </w:rPr>
            <w:fldChar w:fldCharType="end"/>
          </w:r>
        </w:p>
      </w:sdtContent>
    </w:sdt>
    <w:p w14:paraId="00FBFDF9">
      <w:pPr>
        <w:pStyle w:val="2"/>
        <w:rPr>
          <w:rFonts w:hint="eastAsia"/>
          <w:lang w:val="en-US" w:eastAsia="en-US"/>
        </w:rPr>
      </w:pPr>
    </w:p>
    <w:p w14:paraId="44A41D6D">
      <w:pPr>
        <w:bidi w:val="0"/>
        <w:rPr>
          <w:rFonts w:hint="eastAsia" w:ascii="宋体" w:hAnsi="宋体" w:eastAsia="宋体" w:cs="宋体"/>
          <w:color w:val="auto"/>
          <w:sz w:val="22"/>
          <w:szCs w:val="22"/>
          <w:lang w:val="en-US" w:eastAsia="en-US"/>
        </w:rPr>
      </w:pPr>
    </w:p>
    <w:p w14:paraId="1B810C7A">
      <w:pPr>
        <w:bidi w:val="0"/>
        <w:rPr>
          <w:rFonts w:hint="eastAsia" w:ascii="宋体" w:hAnsi="宋体" w:eastAsia="宋体" w:cs="宋体"/>
          <w:color w:val="auto"/>
          <w:sz w:val="22"/>
          <w:szCs w:val="22"/>
          <w:lang w:val="en-US" w:eastAsia="en-US"/>
        </w:rPr>
      </w:pPr>
    </w:p>
    <w:p w14:paraId="51005687">
      <w:pPr>
        <w:bidi w:val="0"/>
        <w:rPr>
          <w:rFonts w:hint="eastAsia" w:ascii="宋体" w:hAnsi="宋体" w:eastAsia="宋体" w:cs="宋体"/>
          <w:color w:val="auto"/>
          <w:sz w:val="22"/>
          <w:szCs w:val="22"/>
          <w:lang w:val="en-US" w:eastAsia="en-US"/>
        </w:rPr>
      </w:pPr>
    </w:p>
    <w:p w14:paraId="695C1BE9">
      <w:pPr>
        <w:bidi w:val="0"/>
        <w:rPr>
          <w:rFonts w:hint="eastAsia" w:ascii="宋体" w:hAnsi="宋体" w:eastAsia="宋体" w:cs="宋体"/>
          <w:color w:val="auto"/>
          <w:sz w:val="22"/>
          <w:szCs w:val="22"/>
          <w:lang w:val="en-US" w:eastAsia="en-US"/>
        </w:rPr>
      </w:pPr>
    </w:p>
    <w:p w14:paraId="0720D005">
      <w:pPr>
        <w:bidi w:val="0"/>
        <w:rPr>
          <w:rFonts w:hint="eastAsia" w:ascii="宋体" w:hAnsi="宋体" w:eastAsia="宋体" w:cs="宋体"/>
          <w:color w:val="auto"/>
          <w:sz w:val="22"/>
          <w:szCs w:val="22"/>
          <w:lang w:val="en-US" w:eastAsia="en-US"/>
        </w:rPr>
      </w:pPr>
    </w:p>
    <w:p w14:paraId="1DD22D74">
      <w:pPr>
        <w:bidi w:val="0"/>
        <w:rPr>
          <w:rFonts w:hint="eastAsia" w:ascii="宋体" w:hAnsi="宋体" w:eastAsia="宋体" w:cs="宋体"/>
          <w:color w:val="auto"/>
          <w:sz w:val="22"/>
          <w:szCs w:val="22"/>
          <w:lang w:val="en-US" w:eastAsia="en-US"/>
        </w:rPr>
      </w:pPr>
    </w:p>
    <w:p w14:paraId="05C32F95">
      <w:pPr>
        <w:bidi w:val="0"/>
        <w:rPr>
          <w:rFonts w:hint="eastAsia" w:ascii="宋体" w:hAnsi="宋体" w:eastAsia="宋体" w:cs="宋体"/>
          <w:color w:val="auto"/>
          <w:sz w:val="22"/>
          <w:szCs w:val="22"/>
          <w:lang w:val="en-US" w:eastAsia="en-US"/>
        </w:rPr>
      </w:pPr>
    </w:p>
    <w:p w14:paraId="23C8DF4C">
      <w:pPr>
        <w:rPr>
          <w:rFonts w:hint="eastAsia" w:ascii="华文中宋" w:hAnsi="华文中宋" w:eastAsia="华文中宋" w:cs="华文中宋"/>
          <w:b w:val="0"/>
          <w:bCs w:val="0"/>
          <w:color w:val="auto"/>
          <w:spacing w:val="-20"/>
          <w:sz w:val="36"/>
          <w:szCs w:val="36"/>
          <w:u w:val="none"/>
          <w:lang w:val="en-US" w:eastAsia="zh-CN"/>
        </w:rPr>
      </w:pPr>
      <w:bookmarkStart w:id="3" w:name="bookmark125"/>
      <w:bookmarkEnd w:id="3"/>
      <w:bookmarkStart w:id="4" w:name="_Toc19453"/>
      <w:bookmarkStart w:id="5" w:name="_Toc2773"/>
      <w:bookmarkStart w:id="6" w:name="_Toc15641"/>
      <w:bookmarkStart w:id="7" w:name="_Toc12927"/>
      <w:r>
        <w:rPr>
          <w:rFonts w:hint="eastAsia" w:ascii="华文中宋" w:hAnsi="华文中宋" w:eastAsia="华文中宋" w:cs="华文中宋"/>
          <w:b w:val="0"/>
          <w:bCs w:val="0"/>
          <w:color w:val="auto"/>
          <w:spacing w:val="-20"/>
          <w:sz w:val="36"/>
          <w:szCs w:val="36"/>
          <w:u w:val="none"/>
          <w:lang w:val="en-US" w:eastAsia="zh-CN"/>
        </w:rPr>
        <w:br w:type="page"/>
      </w:r>
    </w:p>
    <w:p w14:paraId="7F90EFF8">
      <w:pPr>
        <w:tabs>
          <w:tab w:val="left" w:pos="7327"/>
        </w:tabs>
        <w:bidi w:val="0"/>
        <w:jc w:val="center"/>
        <w:rPr>
          <w:rFonts w:hint="eastAsia" w:ascii="华文中宋" w:hAnsi="华文中宋" w:eastAsia="华文中宋" w:cs="华文中宋"/>
          <w:b w:val="0"/>
          <w:bCs w:val="0"/>
          <w:color w:val="auto"/>
          <w:spacing w:val="0"/>
          <w:sz w:val="36"/>
          <w:szCs w:val="36"/>
        </w:rPr>
      </w:pPr>
      <w:r>
        <w:rPr>
          <w:rFonts w:hint="eastAsia" w:ascii="华文中宋" w:hAnsi="华文中宋" w:eastAsia="华文中宋" w:cs="华文中宋"/>
          <w:b w:val="0"/>
          <w:bCs w:val="0"/>
          <w:color w:val="auto"/>
          <w:spacing w:val="-20"/>
          <w:sz w:val="36"/>
          <w:szCs w:val="36"/>
          <w:u w:val="none"/>
          <w:lang w:val="en-US" w:eastAsia="zh-CN"/>
        </w:rPr>
        <w:t>第一章</w:t>
      </w:r>
      <w:bookmarkEnd w:id="4"/>
      <w:r>
        <w:rPr>
          <w:rFonts w:hint="eastAsia" w:ascii="华文中宋" w:hAnsi="华文中宋" w:eastAsia="华文中宋" w:cs="华文中宋"/>
          <w:b w:val="0"/>
          <w:bCs w:val="0"/>
          <w:color w:val="auto"/>
          <w:spacing w:val="-20"/>
          <w:sz w:val="36"/>
          <w:szCs w:val="36"/>
          <w:u w:val="none"/>
          <w:lang w:val="en-US" w:eastAsia="zh-CN"/>
        </w:rPr>
        <w:t xml:space="preserve">     </w:t>
      </w:r>
      <w:r>
        <w:rPr>
          <w:rFonts w:hint="eastAsia" w:ascii="华文中宋" w:hAnsi="华文中宋" w:eastAsia="华文中宋" w:cs="华文中宋"/>
          <w:b w:val="0"/>
          <w:bCs w:val="0"/>
          <w:color w:val="auto"/>
          <w:spacing w:val="0"/>
          <w:sz w:val="36"/>
          <w:szCs w:val="36"/>
        </w:rPr>
        <w:t>询比采购公告</w:t>
      </w:r>
      <w:bookmarkEnd w:id="5"/>
      <w:bookmarkEnd w:id="6"/>
      <w:bookmarkEnd w:id="7"/>
    </w:p>
    <w:p w14:paraId="54186059">
      <w:pPr>
        <w:spacing w:line="40" w:lineRule="exact"/>
        <w:rPr>
          <w:rFonts w:hint="eastAsia" w:ascii="仿宋" w:hAnsi="仿宋" w:eastAsia="仿宋" w:cs="仿宋"/>
          <w:color w:val="auto"/>
          <w:sz w:val="28"/>
          <w:szCs w:val="28"/>
        </w:rPr>
      </w:pPr>
    </w:p>
    <w:p w14:paraId="36012734">
      <w:pPr>
        <w:pageBreakBefore w:val="0"/>
        <w:widowControl/>
        <w:kinsoku w:val="0"/>
        <w:wordWrap/>
        <w:overflowPunct/>
        <w:topLinePunct w:val="0"/>
        <w:autoSpaceDE w:val="0"/>
        <w:autoSpaceDN w:val="0"/>
        <w:bidi w:val="0"/>
        <w:adjustRightInd w:val="0"/>
        <w:snapToGrid w:val="0"/>
        <w:spacing w:before="336" w:line="500" w:lineRule="exact"/>
        <w:ind w:right="41" w:firstLine="516" w:firstLineChars="200"/>
        <w:jc w:val="left"/>
        <w:textAlignment w:val="baseline"/>
        <w:rPr>
          <w:rFonts w:hint="eastAsia" w:ascii="仿宋" w:hAnsi="仿宋" w:eastAsia="仿宋" w:cs="仿宋"/>
          <w:color w:val="auto"/>
          <w:spacing w:val="-2"/>
          <w:sz w:val="28"/>
          <w:szCs w:val="28"/>
          <w:u w:val="none"/>
        </w:rPr>
      </w:pPr>
      <w:r>
        <w:rPr>
          <w:rFonts w:hint="eastAsia" w:ascii="仿宋" w:hAnsi="仿宋" w:eastAsia="仿宋" w:cs="仿宋"/>
          <w:color w:val="auto"/>
          <w:spacing w:val="-11"/>
          <w:sz w:val="28"/>
          <w:szCs w:val="28"/>
          <w:highlight w:val="none"/>
          <w:u w:val="single"/>
          <w:lang w:eastAsia="zh-CN"/>
        </w:rPr>
        <w:t>安徽建城工程管理有限公司</w:t>
      </w:r>
      <w:r>
        <w:rPr>
          <w:rFonts w:hint="eastAsia" w:ascii="仿宋" w:hAnsi="仿宋" w:eastAsia="仿宋" w:cs="仿宋"/>
          <w:color w:val="auto"/>
          <w:spacing w:val="-11"/>
          <w:sz w:val="28"/>
          <w:szCs w:val="28"/>
          <w:highlight w:val="none"/>
          <w:u w:val="none"/>
          <w:lang w:val="en-US" w:eastAsia="zh-CN"/>
        </w:rPr>
        <w:t>受</w:t>
      </w:r>
      <w:r>
        <w:rPr>
          <w:rFonts w:hint="eastAsia" w:ascii="仿宋" w:hAnsi="仿宋" w:eastAsia="仿宋" w:cs="仿宋"/>
          <w:color w:val="auto"/>
          <w:spacing w:val="-11"/>
          <w:sz w:val="28"/>
          <w:szCs w:val="28"/>
          <w:highlight w:val="none"/>
          <w:u w:val="single"/>
          <w:lang w:eastAsia="zh-CN"/>
        </w:rPr>
        <w:t>皖北卫生职业学院</w:t>
      </w:r>
      <w:r>
        <w:rPr>
          <w:rFonts w:hint="eastAsia" w:ascii="仿宋" w:hAnsi="仿宋" w:eastAsia="仿宋" w:cs="仿宋"/>
          <w:color w:val="auto"/>
          <w:spacing w:val="-11"/>
          <w:sz w:val="28"/>
          <w:szCs w:val="28"/>
          <w:highlight w:val="none"/>
          <w:u w:val="single"/>
          <w:lang w:val="en-US" w:eastAsia="zh-CN"/>
        </w:rPr>
        <w:t>的委托，</w:t>
      </w:r>
      <w:r>
        <w:rPr>
          <w:rFonts w:hint="eastAsia" w:ascii="仿宋" w:hAnsi="仿宋" w:eastAsia="仿宋" w:cs="仿宋"/>
          <w:color w:val="auto"/>
          <w:spacing w:val="-11"/>
          <w:sz w:val="28"/>
          <w:szCs w:val="28"/>
          <w:highlight w:val="none"/>
          <w:u w:val="none"/>
          <w:lang w:val="en-US" w:eastAsia="zh-CN"/>
        </w:rPr>
        <w:t>对</w:t>
      </w:r>
      <w:r>
        <w:rPr>
          <w:rFonts w:hint="eastAsia" w:ascii="仿宋" w:hAnsi="仿宋" w:eastAsia="仿宋" w:cs="仿宋"/>
          <w:color w:val="auto"/>
          <w:spacing w:val="-2"/>
          <w:sz w:val="28"/>
          <w:szCs w:val="28"/>
          <w:u w:val="single"/>
          <w:lang w:val="en-US" w:eastAsia="zh-CN"/>
        </w:rPr>
        <w:t>皖北卫生职业学院小报告厅改造项目</w:t>
      </w:r>
      <w:r>
        <w:rPr>
          <w:rFonts w:hint="eastAsia" w:ascii="仿宋" w:hAnsi="仿宋" w:eastAsia="仿宋" w:cs="仿宋"/>
          <w:color w:val="auto"/>
          <w:spacing w:val="-2"/>
          <w:sz w:val="28"/>
          <w:szCs w:val="28"/>
          <w:u w:val="none"/>
          <w:lang w:val="en-US" w:eastAsia="zh-CN"/>
        </w:rPr>
        <w:t>进行公开竞争性询比采购，</w:t>
      </w:r>
      <w:r>
        <w:rPr>
          <w:rFonts w:hint="eastAsia" w:ascii="仿宋" w:hAnsi="仿宋" w:eastAsia="仿宋" w:cs="仿宋"/>
          <w:color w:val="auto"/>
          <w:spacing w:val="-1"/>
          <w:sz w:val="28"/>
          <w:szCs w:val="28"/>
          <w:u w:val="none"/>
        </w:rPr>
        <w:t>已具备采购条件，</w:t>
      </w:r>
      <w:r>
        <w:rPr>
          <w:rFonts w:hint="eastAsia" w:ascii="仿宋" w:hAnsi="仿宋" w:eastAsia="仿宋" w:cs="仿宋"/>
          <w:color w:val="auto"/>
          <w:spacing w:val="-1"/>
          <w:sz w:val="28"/>
          <w:szCs w:val="28"/>
          <w:u w:val="none"/>
          <w:lang w:val="en-US" w:eastAsia="zh-CN"/>
        </w:rPr>
        <w:t>欢迎符合条件的</w:t>
      </w:r>
      <w:r>
        <w:rPr>
          <w:rFonts w:hint="eastAsia" w:ascii="仿宋" w:hAnsi="仿宋" w:eastAsia="仿宋" w:cs="仿宋"/>
          <w:color w:val="auto"/>
          <w:spacing w:val="-1"/>
          <w:sz w:val="28"/>
          <w:szCs w:val="28"/>
          <w:u w:val="none"/>
        </w:rPr>
        <w:t>供应商参加询比</w:t>
      </w:r>
      <w:r>
        <w:rPr>
          <w:rFonts w:hint="eastAsia" w:ascii="仿宋" w:hAnsi="仿宋" w:eastAsia="仿宋" w:cs="仿宋"/>
          <w:color w:val="auto"/>
          <w:spacing w:val="-2"/>
          <w:sz w:val="28"/>
          <w:szCs w:val="28"/>
          <w:u w:val="none"/>
        </w:rPr>
        <w:t>采购活动。</w:t>
      </w:r>
    </w:p>
    <w:p w14:paraId="3202A647">
      <w:pPr>
        <w:pageBreakBefore w:val="0"/>
        <w:widowControl/>
        <w:kinsoku w:val="0"/>
        <w:wordWrap/>
        <w:overflowPunct/>
        <w:topLinePunct w:val="0"/>
        <w:autoSpaceDE w:val="0"/>
        <w:autoSpaceDN w:val="0"/>
        <w:bidi w:val="0"/>
        <w:adjustRightInd w:val="0"/>
        <w:snapToGrid w:val="0"/>
        <w:spacing w:before="336" w:line="500" w:lineRule="exact"/>
        <w:ind w:right="41"/>
        <w:jc w:val="left"/>
        <w:textAlignment w:val="baseline"/>
        <w:rPr>
          <w:rFonts w:hint="eastAsia" w:ascii="黑体" w:hAnsi="黑体" w:eastAsia="黑体" w:cs="黑体"/>
          <w:b w:val="0"/>
          <w:bCs w:val="0"/>
          <w:color w:val="auto"/>
          <w:sz w:val="28"/>
          <w:szCs w:val="28"/>
          <w:u w:val="none"/>
        </w:rPr>
      </w:pPr>
      <w:r>
        <w:rPr>
          <w:rFonts w:hint="eastAsia" w:ascii="黑体" w:hAnsi="黑体" w:eastAsia="黑体" w:cs="黑体"/>
          <w:b w:val="0"/>
          <w:bCs w:val="0"/>
          <w:color w:val="auto"/>
          <w:spacing w:val="-1"/>
          <w:sz w:val="28"/>
          <w:szCs w:val="28"/>
          <w:u w:val="none"/>
          <w:lang w:val="en-US" w:eastAsia="zh-CN"/>
        </w:rPr>
        <w:t>一、</w:t>
      </w:r>
      <w:r>
        <w:rPr>
          <w:rFonts w:hint="eastAsia" w:ascii="黑体" w:hAnsi="黑体" w:eastAsia="黑体" w:cs="黑体"/>
          <w:b w:val="0"/>
          <w:bCs w:val="0"/>
          <w:color w:val="auto"/>
          <w:spacing w:val="-1"/>
          <w:sz w:val="28"/>
          <w:szCs w:val="28"/>
          <w:u w:val="none"/>
        </w:rPr>
        <w:t>采购项目简介</w:t>
      </w:r>
    </w:p>
    <w:p w14:paraId="4C9E09A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rPr>
        <w:t>1</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项目名称：</w:t>
      </w:r>
      <w:r>
        <w:rPr>
          <w:rFonts w:hint="eastAsia" w:ascii="仿宋" w:hAnsi="仿宋" w:eastAsia="仿宋" w:cs="仿宋"/>
          <w:color w:val="auto"/>
          <w:spacing w:val="-1"/>
          <w:sz w:val="28"/>
          <w:szCs w:val="28"/>
          <w:lang w:val="en-US" w:eastAsia="zh-CN"/>
        </w:rPr>
        <w:t>皖北卫生职业学院小报告厅改造项目</w:t>
      </w:r>
    </w:p>
    <w:p w14:paraId="4DD9310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en-US"/>
        </w:rPr>
        <w:t>2</w:t>
      </w:r>
      <w:r>
        <w:rPr>
          <w:rFonts w:hint="eastAsia" w:ascii="仿宋" w:hAnsi="仿宋" w:eastAsia="仿宋" w:cs="仿宋"/>
          <w:color w:val="auto"/>
          <w:spacing w:val="-1"/>
          <w:sz w:val="28"/>
          <w:szCs w:val="28"/>
          <w:lang w:val="en-US" w:eastAsia="zh-CN"/>
        </w:rPr>
        <w:t>、项目编号：AHJC-2025042</w:t>
      </w:r>
    </w:p>
    <w:p w14:paraId="772CF4B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en-US"/>
        </w:rPr>
        <w:t>3</w:t>
      </w:r>
      <w:r>
        <w:rPr>
          <w:rFonts w:hint="eastAsia" w:ascii="仿宋" w:hAnsi="仿宋" w:eastAsia="仿宋" w:cs="仿宋"/>
          <w:color w:val="auto"/>
          <w:spacing w:val="-1"/>
          <w:sz w:val="28"/>
          <w:szCs w:val="28"/>
          <w:lang w:val="en-US" w:eastAsia="zh-CN"/>
        </w:rPr>
        <w:t>、</w:t>
      </w:r>
      <w:r>
        <w:rPr>
          <w:rFonts w:hint="eastAsia" w:ascii="仿宋" w:hAnsi="仿宋" w:eastAsia="仿宋" w:cs="仿宋"/>
          <w:color w:val="auto"/>
          <w:spacing w:val="-1"/>
          <w:sz w:val="28"/>
          <w:szCs w:val="28"/>
          <w:lang w:val="en-US" w:eastAsia="en-US"/>
        </w:rPr>
        <w:t>采购</w:t>
      </w:r>
      <w:r>
        <w:rPr>
          <w:rFonts w:hint="eastAsia" w:ascii="仿宋" w:hAnsi="仿宋" w:eastAsia="仿宋" w:cs="仿宋"/>
          <w:color w:val="auto"/>
          <w:spacing w:val="-1"/>
          <w:sz w:val="28"/>
          <w:szCs w:val="28"/>
          <w:lang w:val="en-US" w:eastAsia="zh-CN"/>
        </w:rPr>
        <w:t>方式</w:t>
      </w:r>
      <w:r>
        <w:rPr>
          <w:rFonts w:hint="eastAsia" w:ascii="仿宋" w:hAnsi="仿宋" w:eastAsia="仿宋" w:cs="仿宋"/>
          <w:color w:val="auto"/>
          <w:spacing w:val="-1"/>
          <w:sz w:val="28"/>
          <w:szCs w:val="28"/>
          <w:lang w:val="en-US" w:eastAsia="en-US"/>
        </w:rPr>
        <w:t>：</w:t>
      </w:r>
      <w:r>
        <w:rPr>
          <w:rFonts w:hint="eastAsia" w:ascii="仿宋" w:hAnsi="仿宋" w:eastAsia="仿宋" w:cs="仿宋"/>
          <w:color w:val="auto"/>
          <w:spacing w:val="-1"/>
          <w:sz w:val="28"/>
          <w:szCs w:val="28"/>
          <w:lang w:val="en-US" w:eastAsia="zh-CN"/>
        </w:rPr>
        <w:t>询比采购</w:t>
      </w:r>
    </w:p>
    <w:p w14:paraId="43D12A9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en-US"/>
        </w:rPr>
        <w:t>4</w:t>
      </w:r>
      <w:r>
        <w:rPr>
          <w:rFonts w:hint="eastAsia" w:ascii="仿宋" w:hAnsi="仿宋" w:eastAsia="仿宋" w:cs="仿宋"/>
          <w:color w:val="auto"/>
          <w:spacing w:val="-1"/>
          <w:sz w:val="28"/>
          <w:szCs w:val="28"/>
          <w:lang w:val="en-US" w:eastAsia="zh-CN"/>
        </w:rPr>
        <w:t>、</w:t>
      </w:r>
      <w:r>
        <w:rPr>
          <w:rFonts w:hint="eastAsia" w:ascii="仿宋" w:hAnsi="仿宋" w:eastAsia="仿宋" w:cs="仿宋"/>
          <w:color w:val="auto"/>
          <w:spacing w:val="-1"/>
          <w:sz w:val="28"/>
          <w:szCs w:val="28"/>
          <w:lang w:val="en-US" w:eastAsia="en-US"/>
        </w:rPr>
        <w:t>预算金额</w:t>
      </w:r>
      <w:r>
        <w:rPr>
          <w:rFonts w:hint="eastAsia" w:ascii="仿宋" w:hAnsi="仿宋" w:eastAsia="仿宋" w:cs="仿宋"/>
          <w:color w:val="auto"/>
          <w:spacing w:val="-1"/>
          <w:sz w:val="28"/>
          <w:szCs w:val="28"/>
          <w:lang w:val="en-US" w:eastAsia="zh-CN"/>
        </w:rPr>
        <w:t>：598906.44元</w:t>
      </w:r>
    </w:p>
    <w:p w14:paraId="7D9917F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zh-CN"/>
        </w:rPr>
        <w:t>5、</w:t>
      </w:r>
      <w:r>
        <w:rPr>
          <w:rFonts w:hint="eastAsia" w:ascii="仿宋" w:hAnsi="仿宋" w:eastAsia="仿宋" w:cs="仿宋"/>
          <w:color w:val="auto"/>
          <w:spacing w:val="-1"/>
          <w:sz w:val="28"/>
          <w:szCs w:val="28"/>
          <w:lang w:val="en-US" w:eastAsia="en-US"/>
        </w:rPr>
        <w:t>最高限价（如有）</w:t>
      </w:r>
      <w:r>
        <w:rPr>
          <w:rFonts w:hint="eastAsia" w:ascii="仿宋" w:hAnsi="仿宋" w:eastAsia="仿宋" w:cs="仿宋"/>
          <w:color w:val="auto"/>
          <w:spacing w:val="-1"/>
          <w:sz w:val="28"/>
          <w:szCs w:val="28"/>
          <w:lang w:val="en-US" w:eastAsia="zh-CN"/>
        </w:rPr>
        <w:t>：598906.44元</w:t>
      </w:r>
    </w:p>
    <w:p w14:paraId="09AE107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400" w:lineRule="exact"/>
        <w:ind w:firstLine="278" w:firstLineChars="100"/>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6、</w:t>
      </w:r>
      <w:r>
        <w:rPr>
          <w:rFonts w:hint="eastAsia" w:ascii="仿宋" w:hAnsi="仿宋" w:eastAsia="仿宋" w:cs="仿宋"/>
          <w:color w:val="auto"/>
          <w:spacing w:val="-1"/>
          <w:sz w:val="28"/>
          <w:szCs w:val="28"/>
          <w:lang w:val="en-US" w:eastAsia="en-US"/>
        </w:rPr>
        <w:t>采购项目概况：</w:t>
      </w:r>
      <w:r>
        <w:rPr>
          <w:rFonts w:hint="eastAsia" w:ascii="仿宋" w:hAnsi="仿宋" w:eastAsia="仿宋" w:cs="仿宋"/>
          <w:color w:val="auto"/>
          <w:spacing w:val="-1"/>
          <w:sz w:val="28"/>
          <w:szCs w:val="28"/>
          <w:lang w:val="en-US" w:eastAsia="zh-CN"/>
        </w:rPr>
        <w:t>皖北卫生职业学院小报告厅改造，具容详见工程量清单及施工图纸全部内容</w:t>
      </w:r>
    </w:p>
    <w:p w14:paraId="7A3843C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7、成交供应商数量：1家</w:t>
      </w:r>
    </w:p>
    <w:p w14:paraId="419763E5">
      <w:pPr>
        <w:pStyle w:val="8"/>
        <w:pageBreakBefore w:val="0"/>
        <w:widowControl/>
        <w:kinsoku w:val="0"/>
        <w:wordWrap/>
        <w:overflowPunct/>
        <w:topLinePunct w:val="0"/>
        <w:autoSpaceDE w:val="0"/>
        <w:autoSpaceDN w:val="0"/>
        <w:bidi w:val="0"/>
        <w:adjustRightInd w:val="0"/>
        <w:snapToGrid w:val="0"/>
        <w:spacing w:before="152" w:line="500" w:lineRule="exact"/>
        <w:ind w:left="58"/>
        <w:textAlignment w:val="baseline"/>
        <w:rPr>
          <w:rFonts w:hint="eastAsia" w:ascii="黑体" w:hAnsi="黑体" w:eastAsia="黑体" w:cs="黑体"/>
          <w:b w:val="0"/>
          <w:bCs w:val="0"/>
          <w:color w:val="auto"/>
          <w:spacing w:val="-1"/>
          <w:sz w:val="28"/>
          <w:szCs w:val="28"/>
          <w:u w:val="none"/>
          <w:lang w:val="en-US" w:eastAsia="zh-CN"/>
        </w:rPr>
      </w:pPr>
      <w:r>
        <w:rPr>
          <w:rFonts w:hint="eastAsia" w:ascii="黑体" w:hAnsi="黑体" w:eastAsia="黑体" w:cs="黑体"/>
          <w:b w:val="0"/>
          <w:bCs w:val="0"/>
          <w:color w:val="auto"/>
          <w:spacing w:val="-1"/>
          <w:sz w:val="28"/>
          <w:szCs w:val="28"/>
          <w:u w:val="none"/>
          <w:lang w:val="en-US" w:eastAsia="zh-CN"/>
        </w:rPr>
        <w:t>二、采购范围及相关要求</w:t>
      </w:r>
    </w:p>
    <w:p w14:paraId="10C83F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4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en-US"/>
        </w:rPr>
        <w:t>1</w:t>
      </w:r>
      <w:r>
        <w:rPr>
          <w:rFonts w:hint="eastAsia" w:ascii="仿宋" w:hAnsi="仿宋" w:eastAsia="仿宋" w:cs="仿宋"/>
          <w:color w:val="auto"/>
          <w:spacing w:val="-1"/>
          <w:sz w:val="28"/>
          <w:szCs w:val="28"/>
          <w:lang w:val="en-US" w:eastAsia="zh-CN"/>
        </w:rPr>
        <w:t>、</w:t>
      </w:r>
      <w:r>
        <w:rPr>
          <w:rFonts w:hint="eastAsia" w:ascii="仿宋" w:hAnsi="仿宋" w:eastAsia="仿宋" w:cs="仿宋"/>
          <w:color w:val="auto"/>
          <w:spacing w:val="-1"/>
          <w:sz w:val="28"/>
          <w:szCs w:val="28"/>
          <w:lang w:val="en-US" w:eastAsia="en-US"/>
        </w:rPr>
        <w:t>采购</w:t>
      </w:r>
      <w:r>
        <w:rPr>
          <w:rFonts w:hint="eastAsia" w:ascii="仿宋" w:hAnsi="仿宋" w:eastAsia="仿宋" w:cs="仿宋"/>
          <w:color w:val="auto"/>
          <w:spacing w:val="-1"/>
          <w:sz w:val="28"/>
          <w:szCs w:val="28"/>
          <w:lang w:val="en-US" w:eastAsia="zh-CN"/>
        </w:rPr>
        <w:t>内容</w:t>
      </w:r>
      <w:r>
        <w:rPr>
          <w:rFonts w:hint="eastAsia" w:ascii="仿宋" w:hAnsi="仿宋" w:eastAsia="仿宋" w:cs="仿宋"/>
          <w:color w:val="auto"/>
          <w:spacing w:val="-1"/>
          <w:sz w:val="28"/>
          <w:szCs w:val="28"/>
          <w:lang w:val="en-US" w:eastAsia="en-US"/>
        </w:rPr>
        <w:t>：</w:t>
      </w:r>
      <w:r>
        <w:rPr>
          <w:rFonts w:hint="eastAsia" w:ascii="仿宋" w:hAnsi="仿宋" w:eastAsia="仿宋" w:cs="仿宋"/>
          <w:color w:val="auto"/>
          <w:spacing w:val="-1"/>
          <w:sz w:val="28"/>
          <w:szCs w:val="28"/>
          <w:lang w:val="en-US" w:eastAsia="zh-CN"/>
        </w:rPr>
        <w:t>皖北卫生职业学院小报告厅改造，具体详见工程量清单及施工图纸全部内容</w:t>
      </w:r>
    </w:p>
    <w:p w14:paraId="17FAB74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400" w:lineRule="exact"/>
        <w:ind w:firstLine="278" w:firstLineChars="100"/>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en-US"/>
        </w:rPr>
        <w:t>2</w:t>
      </w:r>
      <w:r>
        <w:rPr>
          <w:rFonts w:hint="eastAsia" w:ascii="仿宋" w:hAnsi="仿宋" w:eastAsia="仿宋" w:cs="仿宋"/>
          <w:color w:val="auto"/>
          <w:spacing w:val="-1"/>
          <w:sz w:val="28"/>
          <w:szCs w:val="28"/>
          <w:lang w:val="en-US" w:eastAsia="zh-CN"/>
        </w:rPr>
        <w:t>、工期</w:t>
      </w:r>
      <w:r>
        <w:rPr>
          <w:rFonts w:hint="eastAsia" w:ascii="仿宋" w:hAnsi="仿宋" w:eastAsia="仿宋" w:cs="仿宋"/>
          <w:color w:val="auto"/>
          <w:spacing w:val="-1"/>
          <w:sz w:val="28"/>
          <w:szCs w:val="28"/>
          <w:lang w:val="en-US" w:eastAsia="en-US"/>
        </w:rPr>
        <w:t>：</w:t>
      </w:r>
      <w:r>
        <w:rPr>
          <w:rFonts w:hint="eastAsia" w:ascii="仿宋" w:hAnsi="仿宋" w:eastAsia="仿宋" w:cs="仿宋"/>
          <w:color w:val="auto"/>
          <w:spacing w:val="-1"/>
          <w:sz w:val="28"/>
          <w:szCs w:val="28"/>
          <w:lang w:val="en-US" w:eastAsia="zh-CN"/>
        </w:rPr>
        <w:t>60日历天</w:t>
      </w:r>
    </w:p>
    <w:p w14:paraId="7A471F0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en-US"/>
        </w:rPr>
        <w:t>3</w:t>
      </w:r>
      <w:r>
        <w:rPr>
          <w:rFonts w:hint="eastAsia" w:ascii="仿宋" w:hAnsi="仿宋" w:eastAsia="仿宋" w:cs="仿宋"/>
          <w:color w:val="auto"/>
          <w:spacing w:val="-1"/>
          <w:sz w:val="28"/>
          <w:szCs w:val="28"/>
          <w:lang w:val="en-US" w:eastAsia="zh-CN"/>
        </w:rPr>
        <w:t>、采购</w:t>
      </w:r>
      <w:r>
        <w:rPr>
          <w:rFonts w:hint="eastAsia" w:ascii="仿宋" w:hAnsi="仿宋" w:eastAsia="仿宋" w:cs="仿宋"/>
          <w:color w:val="auto"/>
          <w:spacing w:val="-1"/>
          <w:sz w:val="28"/>
          <w:szCs w:val="28"/>
          <w:lang w:val="en-US" w:eastAsia="en-US"/>
        </w:rPr>
        <w:t>地点：</w:t>
      </w:r>
      <w:r>
        <w:rPr>
          <w:rFonts w:hint="eastAsia" w:ascii="仿宋" w:hAnsi="仿宋" w:eastAsia="仿宋" w:cs="仿宋"/>
          <w:color w:val="auto"/>
          <w:spacing w:val="-1"/>
          <w:sz w:val="28"/>
          <w:szCs w:val="28"/>
          <w:lang w:val="en-US" w:eastAsia="zh-CN"/>
        </w:rPr>
        <w:t>皖北卫生职业学院</w:t>
      </w:r>
    </w:p>
    <w:p w14:paraId="14AC08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en-US"/>
        </w:rPr>
        <w:t>4</w:t>
      </w:r>
      <w:r>
        <w:rPr>
          <w:rFonts w:hint="eastAsia" w:ascii="仿宋" w:hAnsi="仿宋" w:eastAsia="仿宋" w:cs="仿宋"/>
          <w:color w:val="auto"/>
          <w:spacing w:val="-1"/>
          <w:sz w:val="28"/>
          <w:szCs w:val="28"/>
          <w:lang w:val="en-US" w:eastAsia="zh-CN"/>
        </w:rPr>
        <w:t>、</w:t>
      </w:r>
      <w:r>
        <w:rPr>
          <w:rFonts w:hint="eastAsia" w:ascii="仿宋" w:hAnsi="仿宋" w:eastAsia="仿宋" w:cs="仿宋"/>
          <w:color w:val="auto"/>
          <w:spacing w:val="-1"/>
          <w:sz w:val="28"/>
          <w:szCs w:val="28"/>
          <w:lang w:val="en-US" w:eastAsia="en-US"/>
        </w:rPr>
        <w:t>质量要求</w:t>
      </w:r>
      <w:r>
        <w:rPr>
          <w:rFonts w:hint="eastAsia" w:ascii="仿宋" w:hAnsi="仿宋" w:eastAsia="仿宋" w:cs="仿宋"/>
          <w:color w:val="auto"/>
          <w:spacing w:val="-1"/>
          <w:sz w:val="28"/>
          <w:szCs w:val="28"/>
          <w:lang w:val="en-US" w:eastAsia="zh-CN"/>
        </w:rPr>
        <w:t>：符合国家相关规定的质量标准</w:t>
      </w:r>
    </w:p>
    <w:p w14:paraId="126CEC95">
      <w:pPr>
        <w:pStyle w:val="8"/>
        <w:pageBreakBefore w:val="0"/>
        <w:widowControl/>
        <w:kinsoku w:val="0"/>
        <w:wordWrap/>
        <w:overflowPunct/>
        <w:topLinePunct w:val="0"/>
        <w:autoSpaceDE w:val="0"/>
        <w:autoSpaceDN w:val="0"/>
        <w:bidi w:val="0"/>
        <w:adjustRightInd w:val="0"/>
        <w:snapToGrid w:val="0"/>
        <w:spacing w:before="152" w:line="500" w:lineRule="exact"/>
        <w:ind w:left="58"/>
        <w:textAlignment w:val="baseline"/>
        <w:rPr>
          <w:rFonts w:hint="eastAsia" w:ascii="黑体" w:hAnsi="黑体" w:eastAsia="黑体" w:cs="黑体"/>
          <w:b w:val="0"/>
          <w:bCs w:val="0"/>
          <w:color w:val="auto"/>
          <w:spacing w:val="-1"/>
          <w:sz w:val="28"/>
          <w:szCs w:val="28"/>
          <w:u w:val="none"/>
          <w:lang w:val="en-US" w:eastAsia="zh-CN"/>
        </w:rPr>
      </w:pPr>
      <w:r>
        <w:rPr>
          <w:rFonts w:hint="eastAsia" w:ascii="黑体" w:hAnsi="黑体" w:eastAsia="黑体" w:cs="黑体"/>
          <w:b w:val="0"/>
          <w:bCs w:val="0"/>
          <w:color w:val="auto"/>
          <w:spacing w:val="-1"/>
          <w:sz w:val="28"/>
          <w:szCs w:val="28"/>
          <w:u w:val="none"/>
          <w:lang w:val="en-US" w:eastAsia="zh-CN"/>
        </w:rPr>
        <w:t>三、供应商资格要求</w:t>
      </w:r>
    </w:p>
    <w:p w14:paraId="240B0D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5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zh-CN"/>
        </w:rPr>
        <w:t>1、</w:t>
      </w:r>
      <w:r>
        <w:rPr>
          <w:rFonts w:hint="eastAsia" w:ascii="仿宋" w:hAnsi="仿宋" w:eastAsia="仿宋" w:cs="仿宋"/>
          <w:color w:val="auto"/>
          <w:spacing w:val="-1"/>
          <w:sz w:val="28"/>
          <w:szCs w:val="28"/>
          <w:lang w:val="en-US" w:eastAsia="en-US"/>
        </w:rPr>
        <w:t>满足《中华人民共和国政府采购法》第二十二条规定；</w:t>
      </w:r>
    </w:p>
    <w:p w14:paraId="57B3B0F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500" w:lineRule="exact"/>
        <w:ind w:firstLine="278" w:firstLineChars="100"/>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en-US"/>
        </w:rPr>
        <w:t>2</w:t>
      </w:r>
      <w:r>
        <w:rPr>
          <w:rFonts w:hint="eastAsia" w:ascii="仿宋" w:hAnsi="仿宋" w:eastAsia="仿宋" w:cs="仿宋"/>
          <w:color w:val="auto"/>
          <w:spacing w:val="-1"/>
          <w:sz w:val="28"/>
          <w:szCs w:val="28"/>
          <w:lang w:val="en-US" w:eastAsia="zh-CN"/>
        </w:rPr>
        <w:t>、</w:t>
      </w:r>
      <w:r>
        <w:rPr>
          <w:rFonts w:hint="eastAsia" w:ascii="仿宋" w:hAnsi="仿宋" w:eastAsia="仿宋" w:cs="仿宋"/>
          <w:color w:val="auto"/>
          <w:spacing w:val="-1"/>
          <w:sz w:val="28"/>
          <w:szCs w:val="28"/>
          <w:lang w:val="en-US" w:eastAsia="en-US"/>
        </w:rPr>
        <w:t>落实政府采购政策需满足的资格要求：按照财政部、工业和信息化部制定的《政府采购促进中小企业发展管理办法》《安徽省财政厅关于进一步优化在政府采购营商环境的通知》（皖财购[2022]556号），本项目为专门面向中小企业采购项目。企业划型标准按照《关于印发中小企业划型标准规定的通知》（工信部联企业〔2011〕300号）规定执行。供应商应为中小微企业、监狱企业或残疾人福利性单位。</w:t>
      </w:r>
    </w:p>
    <w:p w14:paraId="05D239E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500" w:lineRule="exact"/>
        <w:ind w:firstLine="278" w:firstLineChars="100"/>
        <w:textAlignment w:val="baseline"/>
        <w:rPr>
          <w:rFonts w:hint="eastAsia"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3、</w:t>
      </w:r>
      <w:r>
        <w:rPr>
          <w:rFonts w:hint="eastAsia" w:ascii="仿宋" w:hAnsi="仿宋" w:eastAsia="仿宋" w:cs="仿宋"/>
          <w:color w:val="auto"/>
          <w:spacing w:val="-1"/>
          <w:sz w:val="28"/>
          <w:szCs w:val="28"/>
          <w:lang w:val="en-US" w:eastAsia="en-US"/>
        </w:rPr>
        <w:t>本项目的特定资格要求：供应商（含不具有独立法人资格的分公司、不含具备独立法人资格的子公司）存在以下不良信用记录情形之一,不得推荐为中标候选人，不得确定为中标人:</w:t>
      </w:r>
    </w:p>
    <w:p w14:paraId="0F00500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en-US"/>
        </w:rPr>
        <w:t>（1）供应商被人民法院列入失信被执行人的；</w:t>
      </w:r>
    </w:p>
    <w:p w14:paraId="689DE44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en-US"/>
        </w:rPr>
        <w:t>（2）供应商或其法定代表人或拟派项目经理（项目负责人）被列入行贿犯罪档案的；</w:t>
      </w:r>
    </w:p>
    <w:p w14:paraId="344C08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en-US"/>
        </w:rPr>
        <w:t>（3）供应商被工商行政管理部门列入企业经营异常名录的；</w:t>
      </w:r>
    </w:p>
    <w:p w14:paraId="64D8C85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en-US"/>
        </w:rPr>
        <w:t>（4）供应商被税务部门列入重大税收违法案件当事人名单的；</w:t>
      </w:r>
    </w:p>
    <w:p w14:paraId="51866F5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3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en-US"/>
        </w:rPr>
        <w:t>（5）供应商被政府采购监管部门列入政府采购严重违法失信行为记录名单的。</w:t>
      </w:r>
    </w:p>
    <w:p w14:paraId="1DFAD85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5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en-US"/>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716D65E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5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en-US"/>
        </w:rPr>
        <w:t>情形（2）由供应商提供无行贿犯罪记录承诺函。</w:t>
      </w:r>
    </w:p>
    <w:p w14:paraId="506DA60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500" w:lineRule="exact"/>
        <w:ind w:left="0" w:leftChars="0" w:firstLine="633" w:firstLineChars="228"/>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zh-CN"/>
        </w:rPr>
        <w:t>4、供应商资格要求：建筑装修装饰工程专业承包贰级及以上资质（</w:t>
      </w:r>
      <w:r>
        <w:rPr>
          <w:rFonts w:hint="eastAsia" w:ascii="仿宋" w:hAnsi="仿宋" w:eastAsia="仿宋" w:cs="仿宋"/>
          <w:color w:val="auto"/>
          <w:spacing w:val="-1"/>
          <w:sz w:val="28"/>
          <w:szCs w:val="28"/>
          <w:lang w:val="en-US" w:eastAsia="en-US"/>
        </w:rPr>
        <w:t>具备建设工程企业资质管理制度改革后颁发的建筑装修装饰工程专业承包乙级</w:t>
      </w:r>
      <w:r>
        <w:rPr>
          <w:rFonts w:hint="eastAsia" w:ascii="仿宋" w:hAnsi="仿宋" w:eastAsia="仿宋" w:cs="仿宋"/>
          <w:color w:val="auto"/>
          <w:spacing w:val="-1"/>
          <w:sz w:val="28"/>
          <w:szCs w:val="28"/>
          <w:lang w:val="en-US" w:eastAsia="zh-CN"/>
        </w:rPr>
        <w:t>及以上</w:t>
      </w:r>
      <w:r>
        <w:rPr>
          <w:rFonts w:hint="eastAsia" w:ascii="仿宋" w:hAnsi="仿宋" w:eastAsia="仿宋" w:cs="仿宋"/>
          <w:color w:val="auto"/>
          <w:spacing w:val="-1"/>
          <w:sz w:val="28"/>
          <w:szCs w:val="28"/>
          <w:lang w:val="en-US" w:eastAsia="en-US"/>
        </w:rPr>
        <w:t>资质</w:t>
      </w:r>
      <w:r>
        <w:rPr>
          <w:rFonts w:hint="eastAsia" w:ascii="仿宋" w:hAnsi="仿宋" w:eastAsia="仿宋" w:cs="仿宋"/>
          <w:color w:val="auto"/>
          <w:spacing w:val="-1"/>
          <w:sz w:val="28"/>
          <w:szCs w:val="28"/>
          <w:lang w:val="en-US" w:eastAsia="zh-CN"/>
        </w:rPr>
        <w:t>）</w:t>
      </w:r>
      <w:r>
        <w:rPr>
          <w:rFonts w:hint="eastAsia" w:ascii="仿宋" w:hAnsi="仿宋" w:eastAsia="仿宋" w:cs="仿宋"/>
          <w:color w:val="auto"/>
          <w:spacing w:val="-1"/>
          <w:sz w:val="28"/>
          <w:szCs w:val="28"/>
          <w:lang w:val="en-US" w:eastAsia="en-US"/>
        </w:rPr>
        <w:t>，具有有效的安全生产许可证，并在人员、设备、资金等方面具有相应的施工能力。</w:t>
      </w:r>
      <w:r>
        <w:rPr>
          <w:rFonts w:hint="eastAsia" w:ascii="仿宋" w:hAnsi="仿宋" w:eastAsia="仿宋" w:cs="仿宋"/>
          <w:color w:val="auto"/>
          <w:spacing w:val="-1"/>
          <w:sz w:val="28"/>
          <w:szCs w:val="28"/>
          <w:lang w:val="en-US" w:eastAsia="zh-CN"/>
        </w:rPr>
        <w:t xml:space="preserve">                                                                    </w:t>
      </w:r>
      <w:r>
        <w:rPr>
          <w:rFonts w:hint="eastAsia" w:ascii="仿宋" w:hAnsi="仿宋" w:eastAsia="仿宋" w:cs="仿宋"/>
          <w:color w:val="FFFFFF" w:themeColor="background1"/>
          <w:spacing w:val="-1"/>
          <w:sz w:val="28"/>
          <w:szCs w:val="28"/>
          <w:lang w:val="en-US" w:eastAsia="zh-CN"/>
          <w14:textFill>
            <w14:solidFill>
              <w14:schemeClr w14:val="bg1"/>
            </w14:solidFill>
          </w14:textFill>
        </w:rPr>
        <w:t>5、</w:t>
      </w:r>
      <w:r>
        <w:rPr>
          <w:rFonts w:hint="eastAsia" w:ascii="仿宋" w:hAnsi="仿宋" w:eastAsia="仿宋" w:cs="仿宋"/>
          <w:color w:val="auto"/>
          <w:spacing w:val="-1"/>
          <w:sz w:val="28"/>
          <w:szCs w:val="28"/>
          <w:lang w:val="en-US" w:eastAsia="zh-CN"/>
        </w:rPr>
        <w:t xml:space="preserve">  5、拟派项目负责人：</w:t>
      </w:r>
      <w:r>
        <w:rPr>
          <w:rFonts w:hint="eastAsia" w:ascii="仿宋" w:hAnsi="仿宋" w:eastAsia="仿宋" w:cs="仿宋"/>
          <w:color w:val="auto"/>
          <w:spacing w:val="-1"/>
          <w:sz w:val="28"/>
          <w:szCs w:val="28"/>
          <w:lang w:val="en-US" w:eastAsia="en-US"/>
        </w:rPr>
        <w:t>具备</w:t>
      </w:r>
      <w:r>
        <w:rPr>
          <w:rFonts w:hint="eastAsia" w:ascii="仿宋" w:hAnsi="仿宋" w:eastAsia="仿宋" w:cs="仿宋"/>
          <w:color w:val="auto"/>
          <w:spacing w:val="-1"/>
          <w:sz w:val="28"/>
          <w:szCs w:val="28"/>
          <w:lang w:val="en-US" w:eastAsia="zh-CN"/>
        </w:rPr>
        <w:t>建筑</w:t>
      </w:r>
      <w:r>
        <w:rPr>
          <w:rFonts w:hint="eastAsia" w:ascii="仿宋" w:hAnsi="仿宋" w:eastAsia="仿宋" w:cs="仿宋"/>
          <w:color w:val="auto"/>
          <w:spacing w:val="-1"/>
          <w:sz w:val="28"/>
          <w:szCs w:val="28"/>
          <w:lang w:val="en-US" w:eastAsia="en-US"/>
        </w:rPr>
        <w:t>工程专业二级及以上注册建造师执业资格，具备有效的安全生产考核合格 (B 类) 证书，符合注册建造师执业管理办法规定，</w:t>
      </w:r>
      <w:r>
        <w:rPr>
          <w:rFonts w:hint="eastAsia" w:ascii="仿宋" w:hAnsi="仿宋" w:eastAsia="仿宋" w:cs="仿宋"/>
          <w:color w:val="auto"/>
          <w:spacing w:val="-1"/>
          <w:sz w:val="28"/>
          <w:szCs w:val="28"/>
          <w:lang w:val="en-US" w:eastAsia="zh-CN"/>
        </w:rPr>
        <w:t>且无在建工程（提供项目负责人无在建工程承诺书，格式自拟）。</w:t>
      </w:r>
    </w:p>
    <w:p w14:paraId="7273BE0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0" w:line="500" w:lineRule="exact"/>
        <w:ind w:firstLine="278" w:firstLineChars="100"/>
        <w:textAlignment w:val="baseline"/>
        <w:rPr>
          <w:rFonts w:hint="eastAsia" w:ascii="仿宋" w:hAnsi="仿宋" w:eastAsia="仿宋" w:cs="仿宋"/>
          <w:color w:val="auto"/>
          <w:spacing w:val="-1"/>
          <w:sz w:val="28"/>
          <w:szCs w:val="28"/>
          <w:lang w:val="en-US" w:eastAsia="en-US"/>
        </w:rPr>
      </w:pPr>
      <w:r>
        <w:rPr>
          <w:rFonts w:hint="eastAsia" w:ascii="仿宋" w:hAnsi="仿宋" w:eastAsia="仿宋" w:cs="仿宋"/>
          <w:color w:val="auto"/>
          <w:spacing w:val="-1"/>
          <w:sz w:val="28"/>
          <w:szCs w:val="28"/>
          <w:lang w:val="en-US" w:eastAsia="zh-CN"/>
        </w:rPr>
        <w:t>6、</w:t>
      </w:r>
      <w:r>
        <w:rPr>
          <w:rFonts w:hint="eastAsia" w:ascii="仿宋" w:hAnsi="仿宋" w:eastAsia="仿宋" w:cs="仿宋"/>
          <w:color w:val="auto"/>
          <w:spacing w:val="-1"/>
          <w:sz w:val="28"/>
          <w:szCs w:val="28"/>
          <w:lang w:val="en-US" w:eastAsia="en-US"/>
        </w:rPr>
        <w:t>本次采购不接受联合体。</w:t>
      </w:r>
    </w:p>
    <w:p w14:paraId="23E0C731">
      <w:pPr>
        <w:pStyle w:val="8"/>
        <w:pageBreakBefore w:val="0"/>
        <w:widowControl/>
        <w:kinsoku w:val="0"/>
        <w:wordWrap/>
        <w:overflowPunct/>
        <w:topLinePunct w:val="0"/>
        <w:autoSpaceDE w:val="0"/>
        <w:autoSpaceDN w:val="0"/>
        <w:bidi w:val="0"/>
        <w:adjustRightInd w:val="0"/>
        <w:snapToGrid w:val="0"/>
        <w:spacing w:before="195" w:line="500" w:lineRule="exact"/>
        <w:textAlignment w:val="baseline"/>
        <w:rPr>
          <w:rFonts w:hint="eastAsia" w:ascii="黑体" w:hAnsi="黑体" w:eastAsia="黑体" w:cs="黑体"/>
          <w:b w:val="0"/>
          <w:bCs w:val="0"/>
          <w:color w:val="auto"/>
          <w:sz w:val="28"/>
          <w:szCs w:val="28"/>
        </w:rPr>
      </w:pPr>
      <w:r>
        <w:rPr>
          <w:rFonts w:hint="eastAsia" w:ascii="黑体" w:hAnsi="黑体" w:eastAsia="黑体" w:cs="黑体"/>
          <w:b w:val="0"/>
          <w:bCs w:val="0"/>
          <w:color w:val="auto"/>
          <w:spacing w:val="2"/>
          <w:sz w:val="28"/>
          <w:szCs w:val="28"/>
          <w:lang w:val="en-US" w:eastAsia="zh-CN"/>
        </w:rPr>
        <w:t>四、询比</w:t>
      </w:r>
      <w:r>
        <w:rPr>
          <w:rFonts w:hint="eastAsia" w:ascii="黑体" w:hAnsi="黑体" w:eastAsia="黑体" w:cs="黑体"/>
          <w:b w:val="0"/>
          <w:bCs w:val="0"/>
          <w:color w:val="auto"/>
          <w:spacing w:val="2"/>
          <w:sz w:val="28"/>
          <w:szCs w:val="28"/>
        </w:rPr>
        <w:t>文件的获取</w:t>
      </w:r>
    </w:p>
    <w:p w14:paraId="663869FC">
      <w:pPr>
        <w:pStyle w:val="18"/>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330" w:afterAutospacing="0" w:line="500" w:lineRule="exact"/>
        <w:ind w:right="0" w:rightChars="0" w:firstLine="272" w:firstLineChars="100"/>
        <w:jc w:val="left"/>
        <w:textAlignment w:val="baseline"/>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color w:val="auto"/>
          <w:spacing w:val="-4"/>
          <w:sz w:val="28"/>
          <w:szCs w:val="28"/>
          <w:lang w:val="en-US" w:eastAsia="zh-CN"/>
        </w:rPr>
        <w:t>1、</w:t>
      </w:r>
      <w:r>
        <w:rPr>
          <w:rFonts w:hint="eastAsia" w:ascii="仿宋" w:hAnsi="仿宋" w:eastAsia="仿宋" w:cs="仿宋"/>
          <w:color w:val="auto"/>
          <w:spacing w:val="-4"/>
          <w:sz w:val="28"/>
          <w:szCs w:val="28"/>
        </w:rPr>
        <w:t>有意参加询比采购活动的单位，请于</w:t>
      </w:r>
      <w:r>
        <w:rPr>
          <w:rFonts w:hint="eastAsia" w:ascii="仿宋" w:hAnsi="仿宋" w:eastAsia="仿宋" w:cs="仿宋"/>
          <w:color w:val="auto"/>
          <w:spacing w:val="-4"/>
          <w:sz w:val="28"/>
          <w:szCs w:val="28"/>
          <w:u w:val="single"/>
          <w:lang w:val="en-US" w:eastAsia="zh-CN"/>
        </w:rPr>
        <w:t xml:space="preserve"> </w:t>
      </w:r>
      <w:r>
        <w:rPr>
          <w:rFonts w:hint="eastAsia" w:ascii="仿宋" w:hAnsi="仿宋" w:eastAsia="仿宋" w:cs="仿宋"/>
          <w:color w:val="auto"/>
          <w:spacing w:val="-4"/>
          <w:sz w:val="28"/>
          <w:szCs w:val="28"/>
          <w:highlight w:val="none"/>
          <w:u w:val="single"/>
          <w:lang w:val="en-US" w:eastAsia="zh-CN"/>
        </w:rPr>
        <w:t>2025</w:t>
      </w:r>
      <w:r>
        <w:rPr>
          <w:rFonts w:hint="eastAsia" w:ascii="仿宋" w:hAnsi="仿宋" w:eastAsia="仿宋" w:cs="仿宋"/>
          <w:color w:val="auto"/>
          <w:spacing w:val="-4"/>
          <w:sz w:val="28"/>
          <w:szCs w:val="28"/>
          <w:highlight w:val="none"/>
        </w:rPr>
        <w:t>年</w:t>
      </w:r>
      <w:r>
        <w:rPr>
          <w:rFonts w:hint="eastAsia" w:ascii="仿宋" w:hAnsi="仿宋" w:eastAsia="仿宋" w:cs="仿宋"/>
          <w:color w:val="auto"/>
          <w:spacing w:val="-4"/>
          <w:sz w:val="28"/>
          <w:szCs w:val="28"/>
          <w:highlight w:val="none"/>
          <w:u w:val="single"/>
          <w:lang w:val="en-US" w:eastAsia="zh-CN"/>
        </w:rPr>
        <w:t xml:space="preserve"> 05 </w:t>
      </w:r>
      <w:r>
        <w:rPr>
          <w:rFonts w:hint="eastAsia" w:ascii="仿宋" w:hAnsi="仿宋" w:eastAsia="仿宋" w:cs="仿宋"/>
          <w:color w:val="auto"/>
          <w:spacing w:val="-4"/>
          <w:sz w:val="28"/>
          <w:szCs w:val="28"/>
          <w:highlight w:val="none"/>
        </w:rPr>
        <w:t>月</w:t>
      </w:r>
      <w:r>
        <w:rPr>
          <w:rFonts w:hint="eastAsia" w:ascii="仿宋" w:hAnsi="仿宋" w:eastAsia="仿宋" w:cs="仿宋"/>
          <w:color w:val="auto"/>
          <w:spacing w:val="-4"/>
          <w:sz w:val="28"/>
          <w:szCs w:val="28"/>
          <w:highlight w:val="none"/>
          <w:u w:val="single"/>
          <w:lang w:val="en-US" w:eastAsia="zh-CN"/>
        </w:rPr>
        <w:t xml:space="preserve"> 06 </w:t>
      </w:r>
      <w:r>
        <w:rPr>
          <w:rFonts w:hint="eastAsia" w:ascii="仿宋" w:hAnsi="仿宋" w:eastAsia="仿宋" w:cs="仿宋"/>
          <w:color w:val="auto"/>
          <w:spacing w:val="-4"/>
          <w:sz w:val="28"/>
          <w:szCs w:val="28"/>
          <w:highlight w:val="none"/>
        </w:rPr>
        <w:t>日</w:t>
      </w:r>
      <w:r>
        <w:rPr>
          <w:rFonts w:hint="eastAsia" w:ascii="仿宋" w:hAnsi="仿宋" w:eastAsia="仿宋" w:cs="仿宋"/>
          <w:color w:val="auto"/>
          <w:spacing w:val="-11"/>
          <w:sz w:val="28"/>
          <w:szCs w:val="28"/>
          <w:highlight w:val="none"/>
        </w:rPr>
        <w:t>至</w:t>
      </w:r>
      <w:r>
        <w:rPr>
          <w:rFonts w:hint="eastAsia" w:ascii="仿宋" w:hAnsi="仿宋" w:eastAsia="仿宋" w:cs="仿宋"/>
          <w:color w:val="auto"/>
          <w:spacing w:val="-11"/>
          <w:sz w:val="28"/>
          <w:szCs w:val="28"/>
          <w:highlight w:val="none"/>
          <w:u w:val="single"/>
          <w:lang w:val="en-US" w:eastAsia="zh-CN"/>
        </w:rPr>
        <w:t xml:space="preserve"> </w:t>
      </w:r>
      <w:r>
        <w:rPr>
          <w:rFonts w:hint="eastAsia" w:ascii="仿宋" w:hAnsi="仿宋" w:eastAsia="仿宋" w:cs="仿宋"/>
          <w:color w:val="auto"/>
          <w:spacing w:val="6"/>
          <w:sz w:val="28"/>
          <w:szCs w:val="28"/>
          <w:highlight w:val="none"/>
          <w:u w:val="single"/>
          <w:lang w:val="en-US" w:eastAsia="zh-CN"/>
        </w:rPr>
        <w:t xml:space="preserve">2025 </w:t>
      </w:r>
      <w:r>
        <w:rPr>
          <w:rFonts w:hint="eastAsia" w:ascii="仿宋" w:hAnsi="仿宋" w:eastAsia="仿宋" w:cs="仿宋"/>
          <w:color w:val="auto"/>
          <w:spacing w:val="-11"/>
          <w:sz w:val="28"/>
          <w:szCs w:val="28"/>
          <w:highlight w:val="none"/>
        </w:rPr>
        <w:t>年</w:t>
      </w:r>
      <w:r>
        <w:rPr>
          <w:rFonts w:hint="eastAsia" w:ascii="仿宋" w:hAnsi="仿宋" w:eastAsia="仿宋" w:cs="仿宋"/>
          <w:color w:val="auto"/>
          <w:spacing w:val="-11"/>
          <w:sz w:val="28"/>
          <w:szCs w:val="28"/>
          <w:highlight w:val="none"/>
          <w:u w:val="single"/>
          <w:lang w:val="en-US" w:eastAsia="zh-CN"/>
        </w:rPr>
        <w:t xml:space="preserve"> 05 </w:t>
      </w:r>
      <w:r>
        <w:rPr>
          <w:rFonts w:hint="eastAsia" w:ascii="仿宋" w:hAnsi="仿宋" w:eastAsia="仿宋" w:cs="仿宋"/>
          <w:color w:val="auto"/>
          <w:spacing w:val="-11"/>
          <w:sz w:val="28"/>
          <w:szCs w:val="28"/>
          <w:highlight w:val="none"/>
        </w:rPr>
        <w:t>月</w:t>
      </w:r>
      <w:r>
        <w:rPr>
          <w:rFonts w:hint="eastAsia" w:ascii="仿宋" w:hAnsi="仿宋" w:eastAsia="仿宋" w:cs="仿宋"/>
          <w:color w:val="auto"/>
          <w:spacing w:val="-11"/>
          <w:sz w:val="28"/>
          <w:szCs w:val="28"/>
          <w:highlight w:val="none"/>
          <w:u w:val="single"/>
          <w:lang w:val="en-US" w:eastAsia="zh-CN"/>
        </w:rPr>
        <w:t xml:space="preserve"> 09</w:t>
      </w:r>
      <w:r>
        <w:rPr>
          <w:rFonts w:hint="eastAsia" w:ascii="仿宋" w:hAnsi="仿宋" w:eastAsia="仿宋" w:cs="仿宋"/>
          <w:color w:val="auto"/>
          <w:spacing w:val="-11"/>
          <w:sz w:val="28"/>
          <w:szCs w:val="28"/>
          <w:highlight w:val="none"/>
        </w:rPr>
        <w:t>日，</w:t>
      </w:r>
      <w:r>
        <w:rPr>
          <w:rFonts w:hint="eastAsia" w:ascii="仿宋" w:hAnsi="仿宋" w:eastAsia="仿宋" w:cs="仿宋"/>
          <w:color w:val="auto"/>
          <w:spacing w:val="-11"/>
          <w:sz w:val="28"/>
          <w:szCs w:val="28"/>
        </w:rPr>
        <w:t>每日上午</w:t>
      </w:r>
      <w:r>
        <w:rPr>
          <w:rFonts w:hint="eastAsia" w:ascii="仿宋" w:hAnsi="仿宋" w:eastAsia="仿宋" w:cs="仿宋"/>
          <w:color w:val="auto"/>
          <w:spacing w:val="-11"/>
          <w:sz w:val="28"/>
          <w:szCs w:val="28"/>
          <w:u w:val="single"/>
          <w:lang w:val="en-US" w:eastAsia="zh-CN"/>
        </w:rPr>
        <w:t xml:space="preserve"> </w:t>
      </w:r>
      <w:r>
        <w:rPr>
          <w:rFonts w:hint="eastAsia" w:ascii="仿宋" w:hAnsi="仿宋" w:eastAsia="仿宋" w:cs="仿宋"/>
          <w:color w:val="auto"/>
          <w:spacing w:val="3"/>
          <w:sz w:val="28"/>
          <w:szCs w:val="28"/>
          <w:u w:val="single"/>
          <w:lang w:val="en-US" w:eastAsia="zh-CN"/>
        </w:rPr>
        <w:t xml:space="preserve">08 </w:t>
      </w:r>
      <w:r>
        <w:rPr>
          <w:rFonts w:hint="eastAsia" w:ascii="仿宋" w:hAnsi="仿宋" w:eastAsia="仿宋" w:cs="仿宋"/>
          <w:color w:val="auto"/>
          <w:spacing w:val="3"/>
          <w:sz w:val="28"/>
          <w:szCs w:val="28"/>
          <w:lang w:eastAsia="zh-CN"/>
        </w:rPr>
        <w:t>时</w:t>
      </w:r>
      <w:r>
        <w:rPr>
          <w:rFonts w:hint="eastAsia" w:ascii="仿宋" w:hAnsi="仿宋" w:eastAsia="仿宋" w:cs="仿宋"/>
          <w:color w:val="auto"/>
          <w:spacing w:val="3"/>
          <w:sz w:val="28"/>
          <w:szCs w:val="28"/>
          <w:u w:val="single"/>
          <w:lang w:val="en-US" w:eastAsia="zh-CN"/>
        </w:rPr>
        <w:t xml:space="preserve"> 00 </w:t>
      </w:r>
      <w:r>
        <w:rPr>
          <w:rFonts w:hint="eastAsia" w:ascii="仿宋" w:hAnsi="仿宋" w:eastAsia="仿宋" w:cs="仿宋"/>
          <w:color w:val="auto"/>
          <w:spacing w:val="3"/>
          <w:sz w:val="28"/>
          <w:szCs w:val="28"/>
          <w:u w:val="none"/>
          <w:lang w:val="en-US" w:eastAsia="zh-CN"/>
        </w:rPr>
        <w:t>分</w:t>
      </w:r>
      <w:r>
        <w:rPr>
          <w:rFonts w:hint="eastAsia" w:ascii="仿宋" w:hAnsi="仿宋" w:eastAsia="仿宋" w:cs="仿宋"/>
          <w:color w:val="auto"/>
          <w:spacing w:val="-12"/>
          <w:sz w:val="28"/>
          <w:szCs w:val="28"/>
        </w:rPr>
        <w:t>至</w:t>
      </w:r>
      <w:r>
        <w:rPr>
          <w:rFonts w:hint="eastAsia" w:ascii="仿宋" w:hAnsi="仿宋" w:eastAsia="仿宋" w:cs="仿宋"/>
          <w:color w:val="auto"/>
          <w:spacing w:val="-12"/>
          <w:sz w:val="28"/>
          <w:szCs w:val="28"/>
          <w:u w:val="single"/>
          <w:lang w:val="en-US" w:eastAsia="zh-CN"/>
        </w:rPr>
        <w:t xml:space="preserve"> </w:t>
      </w:r>
      <w:r>
        <w:rPr>
          <w:rFonts w:hint="eastAsia" w:ascii="仿宋" w:hAnsi="仿宋" w:eastAsia="仿宋" w:cs="仿宋"/>
          <w:color w:val="auto"/>
          <w:spacing w:val="8"/>
          <w:sz w:val="28"/>
          <w:szCs w:val="28"/>
          <w:u w:val="single"/>
          <w:lang w:val="en-US" w:eastAsia="zh-CN"/>
        </w:rPr>
        <w:t xml:space="preserve">11 </w:t>
      </w:r>
      <w:r>
        <w:rPr>
          <w:rFonts w:hint="eastAsia" w:ascii="仿宋" w:hAnsi="仿宋" w:eastAsia="仿宋" w:cs="仿宋"/>
          <w:color w:val="auto"/>
          <w:spacing w:val="-12"/>
          <w:sz w:val="28"/>
          <w:szCs w:val="28"/>
        </w:rPr>
        <w:t>时</w:t>
      </w:r>
      <w:r>
        <w:rPr>
          <w:rFonts w:hint="eastAsia" w:ascii="仿宋" w:hAnsi="仿宋" w:eastAsia="仿宋" w:cs="仿宋"/>
          <w:color w:val="auto"/>
          <w:spacing w:val="-12"/>
          <w:sz w:val="28"/>
          <w:szCs w:val="28"/>
          <w:u w:val="single"/>
          <w:lang w:val="en-US" w:eastAsia="zh-CN"/>
        </w:rPr>
        <w:t xml:space="preserve"> 30 </w:t>
      </w:r>
      <w:r>
        <w:rPr>
          <w:rFonts w:hint="eastAsia" w:ascii="仿宋" w:hAnsi="仿宋" w:eastAsia="仿宋" w:cs="仿宋"/>
          <w:color w:val="auto"/>
          <w:spacing w:val="-12"/>
          <w:sz w:val="28"/>
          <w:szCs w:val="28"/>
          <w:lang w:val="en-US" w:eastAsia="zh-CN"/>
        </w:rPr>
        <w:t>分</w:t>
      </w:r>
      <w:r>
        <w:rPr>
          <w:rFonts w:hint="eastAsia" w:ascii="仿宋" w:hAnsi="仿宋" w:eastAsia="仿宋" w:cs="仿宋"/>
          <w:color w:val="auto"/>
          <w:spacing w:val="-12"/>
          <w:sz w:val="28"/>
          <w:szCs w:val="28"/>
        </w:rPr>
        <w:t>，下</w:t>
      </w:r>
      <w:r>
        <w:rPr>
          <w:rFonts w:hint="eastAsia" w:ascii="仿宋" w:hAnsi="仿宋" w:eastAsia="仿宋" w:cs="仿宋"/>
          <w:color w:val="auto"/>
          <w:spacing w:val="-7"/>
          <w:sz w:val="28"/>
          <w:szCs w:val="28"/>
        </w:rPr>
        <w:t>午</w:t>
      </w:r>
      <w:r>
        <w:rPr>
          <w:rFonts w:hint="eastAsia" w:ascii="仿宋" w:hAnsi="仿宋" w:eastAsia="仿宋" w:cs="仿宋"/>
          <w:color w:val="auto"/>
          <w:spacing w:val="-7"/>
          <w:sz w:val="28"/>
          <w:szCs w:val="28"/>
          <w:u w:val="single"/>
          <w:lang w:val="en-US" w:eastAsia="zh-CN"/>
        </w:rPr>
        <w:t xml:space="preserve"> 14 </w:t>
      </w:r>
      <w:r>
        <w:rPr>
          <w:rFonts w:hint="eastAsia" w:ascii="仿宋" w:hAnsi="仿宋" w:eastAsia="仿宋" w:cs="仿宋"/>
          <w:color w:val="auto"/>
          <w:spacing w:val="-7"/>
          <w:sz w:val="28"/>
          <w:szCs w:val="28"/>
        </w:rPr>
        <w:t>时</w:t>
      </w:r>
      <w:r>
        <w:rPr>
          <w:rFonts w:hint="eastAsia" w:ascii="仿宋" w:hAnsi="仿宋" w:eastAsia="仿宋" w:cs="仿宋"/>
          <w:color w:val="auto"/>
          <w:spacing w:val="-7"/>
          <w:sz w:val="28"/>
          <w:szCs w:val="28"/>
          <w:u w:val="single"/>
          <w:lang w:val="en-US" w:eastAsia="zh-CN"/>
        </w:rPr>
        <w:t xml:space="preserve"> 30 </w:t>
      </w:r>
      <w:r>
        <w:rPr>
          <w:rFonts w:hint="eastAsia" w:ascii="仿宋" w:hAnsi="仿宋" w:eastAsia="仿宋" w:cs="仿宋"/>
          <w:color w:val="auto"/>
          <w:spacing w:val="-7"/>
          <w:sz w:val="28"/>
          <w:szCs w:val="28"/>
          <w:lang w:val="en-US" w:eastAsia="zh-CN"/>
        </w:rPr>
        <w:t>分</w:t>
      </w:r>
      <w:r>
        <w:rPr>
          <w:rFonts w:hint="eastAsia" w:ascii="仿宋" w:hAnsi="仿宋" w:eastAsia="仿宋" w:cs="仿宋"/>
          <w:color w:val="auto"/>
          <w:spacing w:val="-7"/>
          <w:sz w:val="28"/>
          <w:szCs w:val="28"/>
        </w:rPr>
        <w:t>至</w:t>
      </w:r>
      <w:r>
        <w:rPr>
          <w:rFonts w:hint="eastAsia" w:ascii="仿宋" w:hAnsi="仿宋" w:eastAsia="仿宋" w:cs="仿宋"/>
          <w:color w:val="auto"/>
          <w:spacing w:val="-7"/>
          <w:sz w:val="28"/>
          <w:szCs w:val="28"/>
          <w:u w:val="single"/>
          <w:lang w:val="en-US" w:eastAsia="zh-CN"/>
        </w:rPr>
        <w:t xml:space="preserve"> 17 </w:t>
      </w:r>
      <w:r>
        <w:rPr>
          <w:rFonts w:hint="eastAsia" w:ascii="仿宋" w:hAnsi="仿宋" w:eastAsia="仿宋" w:cs="仿宋"/>
          <w:color w:val="auto"/>
          <w:spacing w:val="-7"/>
          <w:sz w:val="28"/>
          <w:szCs w:val="28"/>
        </w:rPr>
        <w:t>时</w:t>
      </w:r>
      <w:r>
        <w:rPr>
          <w:rFonts w:hint="eastAsia" w:ascii="仿宋" w:hAnsi="仿宋" w:eastAsia="仿宋" w:cs="仿宋"/>
          <w:color w:val="auto"/>
          <w:spacing w:val="-7"/>
          <w:sz w:val="28"/>
          <w:szCs w:val="28"/>
          <w:u w:val="single"/>
          <w:lang w:val="en-US" w:eastAsia="zh-CN"/>
        </w:rPr>
        <w:t xml:space="preserve"> 00 </w:t>
      </w:r>
      <w:r>
        <w:rPr>
          <w:rFonts w:hint="eastAsia" w:ascii="仿宋" w:hAnsi="仿宋" w:eastAsia="仿宋" w:cs="仿宋"/>
          <w:color w:val="auto"/>
          <w:spacing w:val="-7"/>
          <w:sz w:val="28"/>
          <w:szCs w:val="28"/>
        </w:rPr>
        <w:t>(北京时间，</w:t>
      </w:r>
      <w:r>
        <w:rPr>
          <w:rFonts w:hint="eastAsia" w:ascii="仿宋" w:hAnsi="仿宋" w:eastAsia="仿宋" w:cs="仿宋"/>
          <w:color w:val="auto"/>
          <w:spacing w:val="-7"/>
          <w:sz w:val="28"/>
          <w:szCs w:val="28"/>
          <w:lang w:val="en-US" w:eastAsia="zh-CN"/>
        </w:rPr>
        <w:t>法定节假日除外</w:t>
      </w:r>
      <w:r>
        <w:rPr>
          <w:rFonts w:hint="eastAsia" w:ascii="仿宋" w:hAnsi="仿宋" w:eastAsia="仿宋" w:cs="仿宋"/>
          <w:color w:val="auto"/>
          <w:spacing w:val="-91"/>
          <w:sz w:val="28"/>
          <w:szCs w:val="28"/>
        </w:rPr>
        <w:t>），</w:t>
      </w:r>
      <w:r>
        <w:rPr>
          <w:rFonts w:hint="eastAsia" w:ascii="仿宋" w:hAnsi="仿宋" w:eastAsia="仿宋" w:cs="仿宋"/>
          <w:snapToGrid w:val="0"/>
          <w:color w:val="auto"/>
          <w:kern w:val="0"/>
          <w:sz w:val="28"/>
          <w:szCs w:val="28"/>
          <w:lang w:val="en-US" w:eastAsia="zh-CN" w:bidi="ar-SA"/>
        </w:rPr>
        <w:t>将营业执照、资质证书、安全生产许可证、法定代表人身份证明或法定代表人授权委托书（含有项目名称、委托代理人电话、邮箱）加盖公章生成一个PDF文件（文件名写明报名项目简称）发送至</w:t>
      </w:r>
      <w:r>
        <w:rPr>
          <w:rFonts w:hint="eastAsia" w:ascii="仿宋" w:hAnsi="仿宋" w:eastAsia="仿宋" w:cs="仿宋"/>
          <w:snapToGrid w:val="0"/>
          <w:color w:val="auto"/>
          <w:kern w:val="0"/>
          <w:sz w:val="28"/>
          <w:szCs w:val="28"/>
          <w:lang w:val="zh-CN" w:eastAsia="en-US" w:bidi="ar-SA"/>
        </w:rPr>
        <w:t>wbwyzbb@163.com 邮箱</w:t>
      </w:r>
      <w:r>
        <w:rPr>
          <w:rFonts w:hint="eastAsia" w:ascii="仿宋" w:hAnsi="仿宋" w:eastAsia="仿宋" w:cs="仿宋"/>
          <w:snapToGrid w:val="0"/>
          <w:color w:val="auto"/>
          <w:kern w:val="0"/>
          <w:sz w:val="28"/>
          <w:szCs w:val="28"/>
          <w:lang w:val="en-US" w:eastAsia="zh-CN" w:bidi="ar-SA"/>
        </w:rPr>
        <w:t xml:space="preserve">，并电话告知。报名联系电话：0557-3095077。各投标单位自行从皖北卫生职业学院官网（本公告附件）下载采购文件电子版，不发放纸质采购文件。    </w:t>
      </w:r>
    </w:p>
    <w:p w14:paraId="7F18BA26">
      <w:pPr>
        <w:pStyle w:val="18"/>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330" w:afterAutospacing="0" w:line="500" w:lineRule="exact"/>
        <w:ind w:right="0" w:rightChars="0" w:firstLine="280" w:firstLineChars="100"/>
        <w:jc w:val="left"/>
        <w:textAlignment w:val="baseline"/>
        <w:rPr>
          <w:rFonts w:hint="eastAsia" w:ascii="仿宋" w:hAnsi="仿宋" w:eastAsia="仿宋" w:cs="仿宋"/>
          <w:snapToGrid w:val="0"/>
          <w:color w:val="auto"/>
          <w:kern w:val="0"/>
          <w:sz w:val="28"/>
          <w:szCs w:val="28"/>
          <w:lang w:val="en-US" w:eastAsia="en-US" w:bidi="ar-SA"/>
        </w:rPr>
      </w:pPr>
      <w:r>
        <w:rPr>
          <w:rFonts w:hint="eastAsia" w:ascii="仿宋" w:hAnsi="仿宋" w:eastAsia="仿宋" w:cs="仿宋"/>
          <w:snapToGrid w:val="0"/>
          <w:color w:val="auto"/>
          <w:kern w:val="0"/>
          <w:sz w:val="28"/>
          <w:szCs w:val="28"/>
          <w:lang w:val="en-US" w:eastAsia="zh-CN" w:bidi="ar-SA"/>
        </w:rPr>
        <w:t>2、</w:t>
      </w:r>
      <w:r>
        <w:rPr>
          <w:rFonts w:hint="eastAsia" w:ascii="仿宋" w:hAnsi="仿宋" w:eastAsia="仿宋" w:cs="仿宋"/>
          <w:snapToGrid w:val="0"/>
          <w:color w:val="auto"/>
          <w:kern w:val="0"/>
          <w:sz w:val="28"/>
          <w:szCs w:val="28"/>
          <w:lang w:val="en-US" w:eastAsia="en-US" w:bidi="ar-SA"/>
        </w:rPr>
        <w:t>请在采购文件获取时间范围内获取采购文件，逾期将不予接收</w:t>
      </w:r>
      <w:r>
        <w:rPr>
          <w:rFonts w:hint="eastAsia" w:ascii="仿宋" w:hAnsi="仿宋" w:eastAsia="仿宋" w:cs="仿宋"/>
          <w:snapToGrid w:val="0"/>
          <w:color w:val="auto"/>
          <w:kern w:val="0"/>
          <w:sz w:val="28"/>
          <w:szCs w:val="28"/>
          <w:lang w:val="en-US" w:eastAsia="zh-CN" w:bidi="ar-SA"/>
        </w:rPr>
        <w:t>响应文件（以电话告知时间为准）</w:t>
      </w:r>
      <w:r>
        <w:rPr>
          <w:rFonts w:hint="eastAsia" w:ascii="仿宋" w:hAnsi="仿宋" w:eastAsia="仿宋" w:cs="仿宋"/>
          <w:snapToGrid w:val="0"/>
          <w:color w:val="auto"/>
          <w:kern w:val="0"/>
          <w:sz w:val="28"/>
          <w:szCs w:val="28"/>
          <w:lang w:val="en-US" w:eastAsia="en-US" w:bidi="ar-SA"/>
        </w:rPr>
        <w:t>。</w:t>
      </w:r>
    </w:p>
    <w:p w14:paraId="421BF8FC">
      <w:pPr>
        <w:pStyle w:val="18"/>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330" w:afterAutospacing="0" w:line="300" w:lineRule="exact"/>
        <w:ind w:right="0" w:rightChars="0" w:firstLine="560" w:firstLineChars="200"/>
        <w:jc w:val="left"/>
        <w:textAlignment w:val="baseline"/>
        <w:rPr>
          <w:rFonts w:hint="eastAsia" w:ascii="仿宋" w:hAnsi="仿宋" w:eastAsia="仿宋" w:cs="仿宋"/>
          <w:snapToGrid w:val="0"/>
          <w:color w:val="auto"/>
          <w:kern w:val="0"/>
          <w:sz w:val="28"/>
          <w:szCs w:val="28"/>
          <w:lang w:val="en-US" w:eastAsia="zh-CN" w:bidi="ar-SA"/>
        </w:rPr>
      </w:pPr>
      <w:r>
        <w:rPr>
          <w:rFonts w:hint="eastAsia" w:ascii="仿宋" w:hAnsi="仿宋" w:eastAsia="仿宋" w:cs="仿宋"/>
          <w:snapToGrid w:val="0"/>
          <w:color w:val="auto"/>
          <w:kern w:val="0"/>
          <w:sz w:val="28"/>
          <w:szCs w:val="28"/>
          <w:lang w:val="en-US" w:eastAsia="zh-CN" w:bidi="ar-SA"/>
        </w:rPr>
        <w:t>售价：每套人民币0元整。</w:t>
      </w:r>
    </w:p>
    <w:p w14:paraId="76F316A8">
      <w:pPr>
        <w:pStyle w:val="8"/>
        <w:pageBreakBefore w:val="0"/>
        <w:widowControl/>
        <w:kinsoku w:val="0"/>
        <w:wordWrap/>
        <w:overflowPunct/>
        <w:topLinePunct w:val="0"/>
        <w:autoSpaceDE w:val="0"/>
        <w:autoSpaceDN w:val="0"/>
        <w:bidi w:val="0"/>
        <w:adjustRightInd w:val="0"/>
        <w:snapToGrid w:val="0"/>
        <w:spacing w:before="195" w:line="500" w:lineRule="exact"/>
        <w:textAlignment w:val="baseline"/>
        <w:rPr>
          <w:rFonts w:hint="eastAsia" w:ascii="黑体" w:hAnsi="黑体" w:eastAsia="黑体" w:cs="黑体"/>
          <w:b w:val="0"/>
          <w:bCs w:val="0"/>
          <w:color w:val="auto"/>
          <w:spacing w:val="2"/>
          <w:sz w:val="28"/>
          <w:szCs w:val="28"/>
          <w:lang w:val="en-US" w:eastAsia="zh-CN"/>
        </w:rPr>
      </w:pPr>
      <w:r>
        <w:rPr>
          <w:rFonts w:hint="eastAsia" w:ascii="黑体" w:hAnsi="黑体" w:eastAsia="黑体" w:cs="黑体"/>
          <w:b w:val="0"/>
          <w:bCs w:val="0"/>
          <w:color w:val="auto"/>
          <w:spacing w:val="2"/>
          <w:sz w:val="28"/>
          <w:szCs w:val="28"/>
          <w:lang w:val="en-US" w:eastAsia="zh-CN"/>
        </w:rPr>
        <w:t>五、响应文件的递交</w:t>
      </w:r>
    </w:p>
    <w:p w14:paraId="68343066">
      <w:pPr>
        <w:keepNext w:val="0"/>
        <w:keepLines w:val="0"/>
        <w:pageBreakBefore w:val="0"/>
        <w:widowControl/>
        <w:kinsoku w:val="0"/>
        <w:wordWrap/>
        <w:overflowPunct/>
        <w:topLinePunct w:val="0"/>
        <w:autoSpaceDE w:val="0"/>
        <w:autoSpaceDN w:val="0"/>
        <w:bidi w:val="0"/>
        <w:adjustRightInd w:val="0"/>
        <w:snapToGrid w:val="0"/>
        <w:spacing w:before="117" w:line="500" w:lineRule="exact"/>
        <w:ind w:firstLine="266" w:firstLineChars="100"/>
        <w:textAlignment w:val="baseline"/>
        <w:rPr>
          <w:rFonts w:hint="eastAsia" w:ascii="仿宋" w:hAnsi="仿宋" w:eastAsia="仿宋" w:cs="仿宋"/>
          <w:color w:val="auto"/>
          <w:spacing w:val="-8"/>
          <w:sz w:val="28"/>
          <w:szCs w:val="28"/>
        </w:rPr>
      </w:pPr>
      <w:r>
        <w:rPr>
          <w:rFonts w:hint="eastAsia" w:ascii="仿宋" w:hAnsi="仿宋" w:eastAsia="仿宋" w:cs="仿宋"/>
          <w:color w:val="auto"/>
          <w:spacing w:val="-7"/>
          <w:sz w:val="28"/>
          <w:szCs w:val="28"/>
          <w:lang w:val="en-US" w:eastAsia="zh-CN"/>
        </w:rPr>
        <w:t>1、</w:t>
      </w:r>
      <w:r>
        <w:rPr>
          <w:rFonts w:hint="eastAsia" w:ascii="仿宋" w:hAnsi="仿宋" w:eastAsia="仿宋" w:cs="仿宋"/>
          <w:color w:val="auto"/>
          <w:spacing w:val="-7"/>
          <w:sz w:val="28"/>
          <w:szCs w:val="28"/>
        </w:rPr>
        <w:t>响应文件递交的截止时间为</w:t>
      </w:r>
      <w:r>
        <w:rPr>
          <w:rFonts w:hint="eastAsia" w:ascii="仿宋" w:hAnsi="仿宋" w:eastAsia="仿宋" w:cs="仿宋"/>
          <w:color w:val="auto"/>
          <w:spacing w:val="-7"/>
          <w:sz w:val="28"/>
          <w:szCs w:val="28"/>
          <w:u w:val="single"/>
          <w:lang w:val="en-US" w:eastAsia="zh-CN"/>
        </w:rPr>
        <w:t xml:space="preserve"> </w:t>
      </w:r>
      <w:r>
        <w:rPr>
          <w:rFonts w:hint="eastAsia" w:ascii="仿宋" w:hAnsi="仿宋" w:eastAsia="仿宋" w:cs="仿宋"/>
          <w:color w:val="auto"/>
          <w:spacing w:val="-2"/>
          <w:sz w:val="28"/>
          <w:szCs w:val="28"/>
          <w:highlight w:val="none"/>
          <w:u w:val="single"/>
          <w:lang w:val="en-US" w:eastAsia="zh-CN"/>
        </w:rPr>
        <w:t>2025</w:t>
      </w:r>
      <w:r>
        <w:rPr>
          <w:rFonts w:hint="eastAsia" w:ascii="仿宋" w:hAnsi="仿宋" w:eastAsia="仿宋" w:cs="仿宋"/>
          <w:color w:val="auto"/>
          <w:spacing w:val="-7"/>
          <w:sz w:val="28"/>
          <w:szCs w:val="28"/>
          <w:highlight w:val="none"/>
        </w:rPr>
        <w:t>年</w:t>
      </w:r>
      <w:r>
        <w:rPr>
          <w:rFonts w:hint="eastAsia" w:ascii="仿宋" w:hAnsi="仿宋" w:eastAsia="仿宋" w:cs="仿宋"/>
          <w:color w:val="auto"/>
          <w:spacing w:val="-7"/>
          <w:sz w:val="28"/>
          <w:szCs w:val="28"/>
          <w:highlight w:val="none"/>
          <w:u w:val="single"/>
          <w:lang w:val="en-US" w:eastAsia="zh-CN"/>
        </w:rPr>
        <w:t xml:space="preserve"> 05 </w:t>
      </w:r>
      <w:r>
        <w:rPr>
          <w:rFonts w:hint="eastAsia" w:ascii="仿宋" w:hAnsi="仿宋" w:eastAsia="仿宋" w:cs="仿宋"/>
          <w:color w:val="auto"/>
          <w:spacing w:val="-7"/>
          <w:sz w:val="28"/>
          <w:szCs w:val="28"/>
          <w:highlight w:val="none"/>
        </w:rPr>
        <w:t>月</w:t>
      </w:r>
      <w:r>
        <w:rPr>
          <w:rFonts w:hint="eastAsia" w:ascii="仿宋" w:hAnsi="仿宋" w:eastAsia="仿宋" w:cs="仿宋"/>
          <w:color w:val="auto"/>
          <w:spacing w:val="-7"/>
          <w:sz w:val="28"/>
          <w:szCs w:val="28"/>
          <w:highlight w:val="none"/>
          <w:u w:val="single"/>
          <w:lang w:val="en-US" w:eastAsia="zh-CN"/>
        </w:rPr>
        <w:t xml:space="preserve"> 16 </w:t>
      </w:r>
      <w:r>
        <w:rPr>
          <w:rFonts w:hint="eastAsia" w:ascii="仿宋" w:hAnsi="仿宋" w:eastAsia="仿宋" w:cs="仿宋"/>
          <w:color w:val="auto"/>
          <w:spacing w:val="-8"/>
          <w:sz w:val="28"/>
          <w:szCs w:val="28"/>
          <w:highlight w:val="none"/>
        </w:rPr>
        <w:t>日</w:t>
      </w:r>
      <w:r>
        <w:rPr>
          <w:rFonts w:hint="eastAsia" w:ascii="仿宋" w:hAnsi="仿宋" w:eastAsia="仿宋" w:cs="仿宋"/>
          <w:color w:val="auto"/>
          <w:spacing w:val="-8"/>
          <w:sz w:val="28"/>
          <w:szCs w:val="28"/>
          <w:highlight w:val="none"/>
          <w:u w:val="single"/>
          <w:lang w:val="en-US" w:eastAsia="zh-CN"/>
        </w:rPr>
        <w:t xml:space="preserve"> </w:t>
      </w:r>
      <w:r>
        <w:rPr>
          <w:rFonts w:hint="eastAsia" w:ascii="仿宋" w:hAnsi="仿宋" w:eastAsia="仿宋" w:cs="仿宋"/>
          <w:color w:val="auto"/>
          <w:spacing w:val="10"/>
          <w:sz w:val="28"/>
          <w:szCs w:val="28"/>
          <w:u w:val="single"/>
          <w:lang w:val="en-US" w:eastAsia="zh-CN"/>
        </w:rPr>
        <w:t xml:space="preserve">15 </w:t>
      </w:r>
      <w:r>
        <w:rPr>
          <w:rFonts w:hint="eastAsia" w:ascii="仿宋" w:hAnsi="仿宋" w:eastAsia="仿宋" w:cs="仿宋"/>
          <w:color w:val="auto"/>
          <w:spacing w:val="-8"/>
          <w:sz w:val="28"/>
          <w:szCs w:val="28"/>
        </w:rPr>
        <w:t>时</w:t>
      </w:r>
      <w:r>
        <w:rPr>
          <w:rFonts w:hint="eastAsia" w:ascii="仿宋" w:hAnsi="仿宋" w:eastAsia="仿宋" w:cs="仿宋"/>
          <w:color w:val="auto"/>
          <w:spacing w:val="-8"/>
          <w:sz w:val="28"/>
          <w:szCs w:val="28"/>
          <w:u w:val="single"/>
          <w:lang w:val="en-US" w:eastAsia="zh-CN"/>
        </w:rPr>
        <w:t xml:space="preserve"> </w:t>
      </w:r>
      <w:r>
        <w:rPr>
          <w:rFonts w:hint="eastAsia" w:ascii="仿宋" w:hAnsi="仿宋" w:eastAsia="仿宋" w:cs="仿宋"/>
          <w:color w:val="auto"/>
          <w:spacing w:val="8"/>
          <w:sz w:val="28"/>
          <w:szCs w:val="28"/>
          <w:u w:val="single"/>
          <w:lang w:val="en-US" w:eastAsia="zh-CN"/>
        </w:rPr>
        <w:t xml:space="preserve">00 </w:t>
      </w:r>
      <w:r>
        <w:rPr>
          <w:rFonts w:hint="eastAsia" w:ascii="仿宋" w:hAnsi="仿宋" w:eastAsia="仿宋" w:cs="仿宋"/>
          <w:color w:val="auto"/>
          <w:spacing w:val="-8"/>
          <w:sz w:val="28"/>
          <w:szCs w:val="28"/>
        </w:rPr>
        <w:t>分，</w:t>
      </w:r>
    </w:p>
    <w:p w14:paraId="14DB97F8">
      <w:pPr>
        <w:keepNext w:val="0"/>
        <w:keepLines w:val="0"/>
        <w:pageBreakBefore w:val="0"/>
        <w:widowControl/>
        <w:kinsoku w:val="0"/>
        <w:wordWrap/>
        <w:overflowPunct/>
        <w:topLinePunct w:val="0"/>
        <w:autoSpaceDE w:val="0"/>
        <w:autoSpaceDN w:val="0"/>
        <w:bidi w:val="0"/>
        <w:adjustRightInd w:val="0"/>
        <w:snapToGrid w:val="0"/>
        <w:spacing w:before="117" w:line="400" w:lineRule="exact"/>
        <w:ind w:firstLine="264" w:firstLineChars="100"/>
        <w:textAlignment w:val="baseline"/>
        <w:rPr>
          <w:rFonts w:hint="eastAsia" w:ascii="仿宋" w:hAnsi="仿宋" w:eastAsia="仿宋" w:cs="仿宋"/>
          <w:sz w:val="28"/>
          <w:szCs w:val="28"/>
          <w:lang w:val="en-US" w:eastAsia="zh-CN"/>
        </w:rPr>
      </w:pPr>
      <w:r>
        <w:rPr>
          <w:rFonts w:hint="eastAsia" w:ascii="仿宋" w:hAnsi="仿宋" w:eastAsia="仿宋" w:cs="仿宋"/>
          <w:color w:val="auto"/>
          <w:spacing w:val="-8"/>
          <w:sz w:val="28"/>
          <w:szCs w:val="28"/>
          <w:lang w:val="en-US" w:eastAsia="zh-CN"/>
        </w:rPr>
        <w:t>2、</w:t>
      </w:r>
      <w:r>
        <w:rPr>
          <w:rFonts w:hint="eastAsia" w:ascii="仿宋" w:hAnsi="仿宋" w:eastAsia="仿宋" w:cs="仿宋"/>
          <w:color w:val="auto"/>
          <w:spacing w:val="-8"/>
          <w:sz w:val="28"/>
          <w:szCs w:val="28"/>
        </w:rPr>
        <w:t>地</w:t>
      </w:r>
      <w:r>
        <w:rPr>
          <w:rFonts w:hint="eastAsia" w:ascii="仿宋" w:hAnsi="仿宋" w:eastAsia="仿宋" w:cs="仿宋"/>
          <w:color w:val="auto"/>
          <w:spacing w:val="-9"/>
          <w:sz w:val="28"/>
          <w:szCs w:val="28"/>
        </w:rPr>
        <w:t>点</w:t>
      </w:r>
      <w:r>
        <w:rPr>
          <w:rFonts w:hint="eastAsia" w:ascii="仿宋" w:hAnsi="仿宋" w:eastAsia="仿宋" w:cs="仿宋"/>
          <w:color w:val="auto"/>
          <w:spacing w:val="-9"/>
          <w:sz w:val="28"/>
          <w:szCs w:val="28"/>
          <w:lang w:eastAsia="zh-CN"/>
        </w:rPr>
        <w:t>：</w:t>
      </w:r>
      <w:r>
        <w:rPr>
          <w:rFonts w:hint="eastAsia" w:ascii="仿宋" w:hAnsi="仿宋" w:eastAsia="仿宋" w:cs="仿宋"/>
          <w:sz w:val="28"/>
          <w:szCs w:val="28"/>
          <w:u w:val="single"/>
          <w:lang w:val="en-US" w:eastAsia="zh-CN"/>
        </w:rPr>
        <w:t>皖北卫生职业学院图书馆3楼录播室</w:t>
      </w:r>
      <w:r>
        <w:rPr>
          <w:rFonts w:hint="eastAsia" w:ascii="仿宋" w:hAnsi="仿宋" w:eastAsia="仿宋" w:cs="仿宋"/>
          <w:sz w:val="28"/>
          <w:szCs w:val="28"/>
          <w:lang w:val="en-US" w:eastAsia="zh-CN"/>
        </w:rPr>
        <w:t>。</w:t>
      </w:r>
    </w:p>
    <w:p w14:paraId="51553E7E">
      <w:pPr>
        <w:keepNext w:val="0"/>
        <w:keepLines w:val="0"/>
        <w:pageBreakBefore w:val="0"/>
        <w:widowControl/>
        <w:kinsoku w:val="0"/>
        <w:wordWrap/>
        <w:overflowPunct/>
        <w:topLinePunct w:val="0"/>
        <w:autoSpaceDE w:val="0"/>
        <w:autoSpaceDN w:val="0"/>
        <w:bidi w:val="0"/>
        <w:adjustRightInd w:val="0"/>
        <w:snapToGrid w:val="0"/>
        <w:spacing w:before="117" w:line="400" w:lineRule="exact"/>
        <w:ind w:firstLine="280" w:firstLineChars="1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3、方式：现场纸质文件递交</w:t>
      </w:r>
    </w:p>
    <w:p w14:paraId="44DBB772">
      <w:pPr>
        <w:keepNext w:val="0"/>
        <w:keepLines w:val="0"/>
        <w:pageBreakBefore w:val="0"/>
        <w:widowControl/>
        <w:kinsoku w:val="0"/>
        <w:wordWrap/>
        <w:overflowPunct/>
        <w:topLinePunct w:val="0"/>
        <w:autoSpaceDE w:val="0"/>
        <w:autoSpaceDN w:val="0"/>
        <w:bidi w:val="0"/>
        <w:adjustRightInd w:val="0"/>
        <w:snapToGrid w:val="0"/>
        <w:spacing w:before="279" w:line="400" w:lineRule="exact"/>
        <w:ind w:firstLine="276" w:firstLineChars="100"/>
        <w:textAlignment w:val="baseline"/>
        <w:rPr>
          <w:rFonts w:hint="eastAsia" w:ascii="仿宋" w:hAnsi="仿宋" w:eastAsia="仿宋" w:cs="仿宋"/>
          <w:snapToGrid w:val="0"/>
          <w:color w:val="auto"/>
          <w:kern w:val="0"/>
          <w:sz w:val="28"/>
          <w:szCs w:val="28"/>
          <w:lang w:val="en-US" w:eastAsia="en-US" w:bidi="ar-SA"/>
        </w:rPr>
      </w:pP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rPr>
        <w:t>逾期送达的、未送达指定地点的或未密封的响应文件，采购人不予受理。</w:t>
      </w:r>
    </w:p>
    <w:p w14:paraId="00E28EC8">
      <w:pPr>
        <w:rPr>
          <w:rFonts w:hint="eastAsia" w:ascii="黑体" w:hAnsi="黑体" w:eastAsia="黑体" w:cs="黑体"/>
          <w:b w:val="0"/>
          <w:bCs w:val="0"/>
          <w:color w:val="auto"/>
          <w:spacing w:val="2"/>
          <w:sz w:val="28"/>
          <w:szCs w:val="28"/>
          <w:lang w:val="en-US" w:eastAsia="zh-CN"/>
        </w:rPr>
      </w:pPr>
      <w:r>
        <w:rPr>
          <w:rFonts w:hint="eastAsia" w:ascii="黑体" w:hAnsi="黑体" w:eastAsia="黑体" w:cs="黑体"/>
          <w:b w:val="0"/>
          <w:bCs w:val="0"/>
          <w:color w:val="auto"/>
          <w:spacing w:val="2"/>
          <w:sz w:val="28"/>
          <w:szCs w:val="28"/>
          <w:lang w:val="en-US" w:eastAsia="zh-CN"/>
        </w:rPr>
        <w:t>六、响应文件开启时间和地点</w:t>
      </w:r>
    </w:p>
    <w:p w14:paraId="00B7DE09">
      <w:pPr>
        <w:keepNext w:val="0"/>
        <w:keepLines w:val="0"/>
        <w:pageBreakBefore w:val="0"/>
        <w:widowControl/>
        <w:kinsoku w:val="0"/>
        <w:wordWrap/>
        <w:overflowPunct/>
        <w:topLinePunct w:val="0"/>
        <w:autoSpaceDE w:val="0"/>
        <w:autoSpaceDN w:val="0"/>
        <w:bidi w:val="0"/>
        <w:adjustRightInd w:val="0"/>
        <w:snapToGrid w:val="0"/>
        <w:spacing w:line="500" w:lineRule="exact"/>
        <w:ind w:firstLine="280" w:firstLineChars="100"/>
        <w:textAlignment w:val="baseline"/>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val="en-US" w:eastAsia="zh-CN"/>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05</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14:paraId="0F187AC8">
      <w:pPr>
        <w:keepNext w:val="0"/>
        <w:keepLines w:val="0"/>
        <w:pageBreakBefore w:val="0"/>
        <w:widowControl/>
        <w:kinsoku w:val="0"/>
        <w:wordWrap/>
        <w:overflowPunct/>
        <w:topLinePunct w:val="0"/>
        <w:autoSpaceDE w:val="0"/>
        <w:autoSpaceDN w:val="0"/>
        <w:bidi w:val="0"/>
        <w:adjustRightInd w:val="0"/>
        <w:snapToGrid w:val="0"/>
        <w:spacing w:line="500" w:lineRule="exact"/>
        <w:ind w:firstLine="280" w:firstLineChars="100"/>
        <w:textAlignment w:val="baseline"/>
        <w:rPr>
          <w:rFonts w:hint="eastAsia"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Times New Roman"/>
          <w:sz w:val="28"/>
          <w:szCs w:val="28"/>
          <w:u w:val="single"/>
          <w:lang w:val="en-US" w:eastAsia="zh-CN"/>
        </w:rPr>
        <w:t>皖北卫生职业学院图书馆3楼录播室</w:t>
      </w:r>
      <w:r>
        <w:rPr>
          <w:rFonts w:hint="eastAsia" w:ascii="仿宋" w:hAnsi="仿宋" w:eastAsia="仿宋"/>
          <w:sz w:val="28"/>
          <w:szCs w:val="28"/>
        </w:rPr>
        <w:t>。</w:t>
      </w:r>
    </w:p>
    <w:p w14:paraId="652BF804">
      <w:pPr>
        <w:pStyle w:val="8"/>
        <w:pageBreakBefore w:val="0"/>
        <w:widowControl/>
        <w:kinsoku w:val="0"/>
        <w:wordWrap/>
        <w:overflowPunct/>
        <w:topLinePunct w:val="0"/>
        <w:autoSpaceDE w:val="0"/>
        <w:autoSpaceDN w:val="0"/>
        <w:bidi w:val="0"/>
        <w:adjustRightInd w:val="0"/>
        <w:snapToGrid w:val="0"/>
        <w:spacing w:before="195" w:line="500" w:lineRule="exact"/>
        <w:textAlignment w:val="baseline"/>
        <w:rPr>
          <w:rFonts w:hint="eastAsia" w:ascii="黑体" w:hAnsi="黑体" w:eastAsia="黑体" w:cs="黑体"/>
          <w:b w:val="0"/>
          <w:bCs w:val="0"/>
          <w:color w:val="auto"/>
          <w:spacing w:val="2"/>
          <w:sz w:val="28"/>
          <w:szCs w:val="28"/>
          <w:lang w:val="en-US" w:eastAsia="zh-CN"/>
        </w:rPr>
      </w:pPr>
      <w:r>
        <w:rPr>
          <w:rFonts w:hint="eastAsia" w:ascii="黑体" w:hAnsi="黑体" w:eastAsia="黑体" w:cs="黑体"/>
          <w:b w:val="0"/>
          <w:bCs w:val="0"/>
          <w:color w:val="auto"/>
          <w:spacing w:val="2"/>
          <w:sz w:val="28"/>
          <w:szCs w:val="28"/>
          <w:lang w:val="en-US" w:eastAsia="zh-CN"/>
        </w:rPr>
        <w:t>七、发布公告的媒介</w:t>
      </w:r>
    </w:p>
    <w:p w14:paraId="46516C1B">
      <w:pPr>
        <w:pageBreakBefore w:val="0"/>
        <w:widowControl/>
        <w:kinsoku w:val="0"/>
        <w:wordWrap/>
        <w:overflowPunct/>
        <w:topLinePunct w:val="0"/>
        <w:autoSpaceDE w:val="0"/>
        <w:autoSpaceDN w:val="0"/>
        <w:bidi w:val="0"/>
        <w:adjustRightInd w:val="0"/>
        <w:snapToGrid w:val="0"/>
        <w:spacing w:before="102" w:line="500" w:lineRule="exact"/>
        <w:ind w:left="58" w:firstLine="280" w:firstLineChars="100"/>
        <w:textAlignment w:val="baseline"/>
        <w:rPr>
          <w:rFonts w:hint="eastAsia" w:ascii="仿宋" w:hAnsi="仿宋" w:eastAsia="仿宋" w:cs="仿宋"/>
          <w:b/>
          <w:bCs/>
          <w:color w:val="auto"/>
          <w:spacing w:val="-1"/>
          <w:sz w:val="28"/>
          <w:szCs w:val="28"/>
          <w:lang w:eastAsia="zh-CN"/>
        </w:rPr>
      </w:pPr>
      <w:r>
        <w:rPr>
          <w:rFonts w:hint="eastAsia" w:ascii="仿宋" w:hAnsi="仿宋" w:eastAsia="仿宋" w:cs="仿宋"/>
          <w:sz w:val="28"/>
          <w:szCs w:val="28"/>
        </w:rPr>
        <w:t>皖北卫生职业学院网站（http://www.wbws.edu.cn/）</w:t>
      </w:r>
      <w:r>
        <w:rPr>
          <w:rFonts w:hint="eastAsia" w:ascii="仿宋" w:hAnsi="仿宋" w:eastAsia="仿宋" w:cs="仿宋"/>
          <w:color w:val="auto"/>
          <w:spacing w:val="-1"/>
          <w:sz w:val="28"/>
          <w:szCs w:val="28"/>
        </w:rPr>
        <w:t>发布。</w:t>
      </w:r>
    </w:p>
    <w:p w14:paraId="05319237">
      <w:pPr>
        <w:pStyle w:val="8"/>
        <w:pageBreakBefore w:val="0"/>
        <w:widowControl/>
        <w:kinsoku w:val="0"/>
        <w:wordWrap/>
        <w:overflowPunct/>
        <w:topLinePunct w:val="0"/>
        <w:autoSpaceDE w:val="0"/>
        <w:autoSpaceDN w:val="0"/>
        <w:bidi w:val="0"/>
        <w:adjustRightInd w:val="0"/>
        <w:snapToGrid w:val="0"/>
        <w:spacing w:before="195" w:line="500" w:lineRule="exact"/>
        <w:textAlignment w:val="baseline"/>
        <w:rPr>
          <w:rFonts w:hint="eastAsia" w:ascii="黑体" w:hAnsi="黑体" w:eastAsia="黑体" w:cs="黑体"/>
          <w:b w:val="0"/>
          <w:bCs w:val="0"/>
          <w:color w:val="auto"/>
          <w:spacing w:val="2"/>
          <w:sz w:val="28"/>
          <w:szCs w:val="28"/>
          <w:lang w:val="zh-CN" w:eastAsia="zh-CN"/>
        </w:rPr>
      </w:pPr>
      <w:r>
        <w:rPr>
          <w:rFonts w:hint="eastAsia" w:ascii="黑体" w:hAnsi="黑体" w:eastAsia="黑体" w:cs="黑体"/>
          <w:b w:val="0"/>
          <w:bCs w:val="0"/>
          <w:color w:val="auto"/>
          <w:spacing w:val="2"/>
          <w:sz w:val="28"/>
          <w:szCs w:val="28"/>
          <w:lang w:val="en-US" w:eastAsia="zh-CN"/>
        </w:rPr>
        <w:t>八、</w:t>
      </w:r>
      <w:r>
        <w:rPr>
          <w:rFonts w:hint="eastAsia" w:ascii="黑体" w:hAnsi="黑体" w:eastAsia="黑体" w:cs="黑体"/>
          <w:b w:val="0"/>
          <w:bCs w:val="0"/>
          <w:color w:val="auto"/>
          <w:spacing w:val="2"/>
          <w:sz w:val="28"/>
          <w:szCs w:val="28"/>
          <w:lang w:val="zh-CN" w:eastAsia="zh-CN"/>
        </w:rPr>
        <w:t>凡对本次采购提出询问，请按以下方式联系。</w:t>
      </w:r>
    </w:p>
    <w:p w14:paraId="5F50DE55">
      <w:pPr>
        <w:pageBreakBefore w:val="0"/>
        <w:widowControl/>
        <w:kinsoku w:val="0"/>
        <w:wordWrap/>
        <w:overflowPunct/>
        <w:topLinePunct w:val="0"/>
        <w:autoSpaceDE w:val="0"/>
        <w:autoSpaceDN w:val="0"/>
        <w:bidi w:val="0"/>
        <w:adjustRightInd w:val="0"/>
        <w:snapToGrid w:val="0"/>
        <w:spacing w:line="500" w:lineRule="exact"/>
        <w:ind w:firstLine="280" w:firstLineChars="100"/>
        <w:textAlignment w:val="baseline"/>
        <w:outlineLvl w:val="9"/>
        <w:rPr>
          <w:rFonts w:ascii="仿宋" w:hAnsi="仿宋" w:eastAsia="仿宋" w:cs="宋体"/>
          <w:b w:val="0"/>
          <w:sz w:val="28"/>
          <w:szCs w:val="28"/>
        </w:rPr>
      </w:pPr>
      <w:bookmarkStart w:id="8" w:name="bookmark127"/>
      <w:bookmarkEnd w:id="8"/>
      <w:bookmarkStart w:id="9" w:name="bookmark126"/>
      <w:bookmarkEnd w:id="9"/>
      <w:bookmarkStart w:id="10" w:name="_Toc28359096"/>
      <w:bookmarkStart w:id="11" w:name="_Toc35393806"/>
      <w:bookmarkStart w:id="12" w:name="_Toc35393637"/>
      <w:bookmarkStart w:id="13" w:name="_Toc28359019"/>
      <w:bookmarkStart w:id="14" w:name="_Toc28140"/>
      <w:bookmarkStart w:id="15" w:name="_Toc16799"/>
      <w:r>
        <w:rPr>
          <w:rFonts w:hint="eastAsia" w:ascii="仿宋" w:hAnsi="仿宋" w:eastAsia="仿宋" w:cs="宋体"/>
          <w:b w:val="0"/>
          <w:sz w:val="28"/>
          <w:szCs w:val="28"/>
        </w:rPr>
        <w:t>1.采购人信息</w:t>
      </w:r>
      <w:bookmarkEnd w:id="10"/>
      <w:bookmarkEnd w:id="11"/>
      <w:bookmarkEnd w:id="12"/>
      <w:bookmarkEnd w:id="13"/>
    </w:p>
    <w:p w14:paraId="6DF6A64E">
      <w:pPr>
        <w:pageBreakBefore w:val="0"/>
        <w:widowControl/>
        <w:kinsoku w:val="0"/>
        <w:wordWrap/>
        <w:overflowPunct/>
        <w:topLinePunct w:val="0"/>
        <w:autoSpaceDE w:val="0"/>
        <w:autoSpaceDN w:val="0"/>
        <w:bidi w:val="0"/>
        <w:adjustRightInd w:val="0"/>
        <w:snapToGrid w:val="0"/>
        <w:spacing w:line="500" w:lineRule="exact"/>
        <w:ind w:firstLine="840" w:firstLineChars="300"/>
        <w:textAlignment w:val="baseline"/>
        <w:rPr>
          <w:rFonts w:hint="eastAsia" w:ascii="仿宋" w:hAnsi="仿宋" w:eastAsia="仿宋" w:cs="Times New Roman"/>
          <w:color w:val="auto"/>
          <w:sz w:val="28"/>
          <w:szCs w:val="28"/>
        </w:rPr>
      </w:pPr>
      <w:r>
        <w:rPr>
          <w:rFonts w:hint="eastAsia" w:ascii="仿宋" w:hAnsi="仿宋" w:eastAsia="仿宋" w:cs="Times New Roman"/>
          <w:color w:val="auto"/>
          <w:sz w:val="28"/>
          <w:szCs w:val="28"/>
        </w:rPr>
        <w:t>名    称：</w:t>
      </w:r>
      <w:r>
        <w:rPr>
          <w:rFonts w:hint="eastAsia" w:ascii="仿宋" w:hAnsi="仿宋" w:eastAsia="仿宋" w:cs="Times New Roman"/>
          <w:color w:val="auto"/>
          <w:sz w:val="28"/>
          <w:szCs w:val="28"/>
          <w:u w:val="single"/>
          <w:lang w:eastAsia="zh-CN"/>
        </w:rPr>
        <w:t>皖北卫生职业学院</w:t>
      </w:r>
      <w:r>
        <w:rPr>
          <w:rFonts w:hint="eastAsia" w:ascii="仿宋" w:hAnsi="仿宋" w:eastAsia="仿宋" w:cs="Times New Roman"/>
          <w:color w:val="auto"/>
          <w:sz w:val="28"/>
          <w:szCs w:val="28"/>
        </w:rPr>
        <w:t>　</w:t>
      </w:r>
    </w:p>
    <w:p w14:paraId="28D6D4F2">
      <w:pPr>
        <w:pageBreakBefore w:val="0"/>
        <w:widowControl/>
        <w:kinsoku w:val="0"/>
        <w:wordWrap/>
        <w:overflowPunct/>
        <w:topLinePunct w:val="0"/>
        <w:autoSpaceDE w:val="0"/>
        <w:autoSpaceDN w:val="0"/>
        <w:bidi w:val="0"/>
        <w:adjustRightInd w:val="0"/>
        <w:snapToGrid w:val="0"/>
        <w:spacing w:line="500" w:lineRule="exact"/>
        <w:ind w:firstLine="840" w:firstLineChars="300"/>
        <w:textAlignment w:val="baseline"/>
        <w:rPr>
          <w:rFonts w:hint="eastAsia" w:ascii="仿宋" w:hAnsi="仿宋" w:eastAsia="仿宋" w:cs="Times New Roman"/>
          <w:color w:val="auto"/>
          <w:sz w:val="28"/>
          <w:szCs w:val="28"/>
        </w:rPr>
      </w:pPr>
      <w:r>
        <w:rPr>
          <w:rFonts w:hint="eastAsia" w:ascii="仿宋" w:hAnsi="仿宋" w:eastAsia="仿宋" w:cs="Times New Roman"/>
          <w:color w:val="auto"/>
          <w:sz w:val="28"/>
          <w:szCs w:val="28"/>
        </w:rPr>
        <w:t>地    址：</w:t>
      </w:r>
      <w:r>
        <w:rPr>
          <w:rFonts w:hint="eastAsia" w:ascii="仿宋" w:hAnsi="仿宋" w:eastAsia="仿宋" w:cs="Times New Roman"/>
          <w:color w:val="auto"/>
          <w:sz w:val="28"/>
          <w:szCs w:val="28"/>
          <w:u w:val="single"/>
          <w:lang w:val="en-US" w:eastAsia="zh-CN"/>
        </w:rPr>
        <w:t>安徽省宿州市东二铺学府大道1606号</w:t>
      </w:r>
      <w:r>
        <w:rPr>
          <w:rFonts w:hint="eastAsia" w:ascii="仿宋" w:hAnsi="仿宋" w:eastAsia="仿宋" w:cs="Times New Roman"/>
          <w:color w:val="auto"/>
          <w:sz w:val="28"/>
          <w:szCs w:val="28"/>
        </w:rPr>
        <w:t>　</w:t>
      </w:r>
    </w:p>
    <w:p w14:paraId="0897B9C1">
      <w:pPr>
        <w:pageBreakBefore w:val="0"/>
        <w:widowControl/>
        <w:kinsoku w:val="0"/>
        <w:wordWrap/>
        <w:overflowPunct/>
        <w:topLinePunct w:val="0"/>
        <w:autoSpaceDE w:val="0"/>
        <w:autoSpaceDN w:val="0"/>
        <w:bidi w:val="0"/>
        <w:adjustRightInd w:val="0"/>
        <w:snapToGrid w:val="0"/>
        <w:spacing w:line="500" w:lineRule="exact"/>
        <w:ind w:firstLine="840" w:firstLineChars="300"/>
        <w:textAlignment w:val="baseline"/>
        <w:rPr>
          <w:rFonts w:hint="eastAsia" w:ascii="仿宋" w:hAnsi="仿宋" w:eastAsia="仿宋" w:cs="Times New Roman"/>
          <w:color w:val="auto"/>
          <w:sz w:val="28"/>
          <w:szCs w:val="28"/>
        </w:rPr>
      </w:pPr>
      <w:r>
        <w:rPr>
          <w:rFonts w:hint="eastAsia" w:ascii="仿宋" w:hAnsi="仿宋" w:eastAsia="仿宋" w:cs="Times New Roman"/>
          <w:color w:val="auto"/>
          <w:sz w:val="28"/>
          <w:szCs w:val="28"/>
        </w:rPr>
        <w:t>联系方式：</w:t>
      </w:r>
      <w:r>
        <w:rPr>
          <w:rFonts w:hint="eastAsia" w:ascii="仿宋" w:hAnsi="仿宋" w:eastAsia="仿宋" w:cs="Times New Roman"/>
          <w:color w:val="auto"/>
          <w:sz w:val="28"/>
          <w:szCs w:val="28"/>
          <w:u w:val="single"/>
          <w:lang w:val="en-US" w:eastAsia="zh-CN"/>
        </w:rPr>
        <w:t>薄主任     0557-3095077　</w:t>
      </w:r>
      <w:r>
        <w:rPr>
          <w:rFonts w:hint="eastAsia" w:ascii="仿宋" w:hAnsi="仿宋" w:eastAsia="仿宋" w:cs="Times New Roman"/>
          <w:color w:val="auto"/>
          <w:sz w:val="28"/>
          <w:szCs w:val="28"/>
        </w:rPr>
        <w:t xml:space="preserve">　 </w:t>
      </w:r>
    </w:p>
    <w:p w14:paraId="15A96935">
      <w:pPr>
        <w:pageBreakBefore w:val="0"/>
        <w:widowControl/>
        <w:kinsoku w:val="0"/>
        <w:wordWrap/>
        <w:overflowPunct/>
        <w:topLinePunct w:val="0"/>
        <w:autoSpaceDE w:val="0"/>
        <w:autoSpaceDN w:val="0"/>
        <w:bidi w:val="0"/>
        <w:adjustRightInd w:val="0"/>
        <w:snapToGrid w:val="0"/>
        <w:spacing w:line="500" w:lineRule="exact"/>
        <w:ind w:firstLine="280" w:firstLineChars="100"/>
        <w:textAlignment w:val="baseline"/>
        <w:outlineLvl w:val="9"/>
        <w:rPr>
          <w:rFonts w:ascii="仿宋" w:hAnsi="仿宋" w:eastAsia="仿宋" w:cs="宋体"/>
          <w:b w:val="0"/>
          <w:sz w:val="28"/>
          <w:szCs w:val="28"/>
        </w:rPr>
      </w:pPr>
      <w:bookmarkStart w:id="16" w:name="_Toc28359020"/>
      <w:bookmarkStart w:id="17" w:name="_Toc35393807"/>
      <w:bookmarkStart w:id="18" w:name="_Toc35393638"/>
      <w:bookmarkStart w:id="19" w:name="_Toc28359097"/>
      <w:r>
        <w:rPr>
          <w:rFonts w:hint="eastAsia" w:ascii="仿宋" w:hAnsi="仿宋" w:eastAsia="仿宋" w:cs="宋体"/>
          <w:b w:val="0"/>
          <w:sz w:val="28"/>
          <w:szCs w:val="28"/>
        </w:rPr>
        <w:t>2.采购代理机构信息（如有）</w:t>
      </w:r>
      <w:bookmarkEnd w:id="16"/>
      <w:bookmarkEnd w:id="17"/>
      <w:bookmarkEnd w:id="18"/>
      <w:bookmarkEnd w:id="19"/>
    </w:p>
    <w:p w14:paraId="2EE22044">
      <w:pPr>
        <w:pageBreakBefore w:val="0"/>
        <w:widowControl/>
        <w:kinsoku w:val="0"/>
        <w:wordWrap/>
        <w:overflowPunct/>
        <w:topLinePunct w:val="0"/>
        <w:autoSpaceDE w:val="0"/>
        <w:autoSpaceDN w:val="0"/>
        <w:bidi w:val="0"/>
        <w:adjustRightInd w:val="0"/>
        <w:snapToGrid w:val="0"/>
        <w:spacing w:line="500" w:lineRule="exact"/>
        <w:ind w:firstLine="840" w:firstLineChars="300"/>
        <w:textAlignment w:val="baseline"/>
        <w:rPr>
          <w:rFonts w:hint="eastAsia" w:ascii="仿宋" w:hAnsi="仿宋" w:eastAsia="仿宋"/>
          <w:color w:val="auto"/>
          <w:sz w:val="28"/>
          <w:szCs w:val="28"/>
          <w:u w:val="single"/>
        </w:rPr>
      </w:pPr>
      <w:r>
        <w:rPr>
          <w:rFonts w:hint="eastAsia" w:ascii="仿宋" w:hAnsi="仿宋" w:eastAsia="仿宋"/>
          <w:color w:val="auto"/>
          <w:sz w:val="28"/>
          <w:szCs w:val="28"/>
        </w:rPr>
        <w:t>名 称：</w:t>
      </w:r>
      <w:r>
        <w:rPr>
          <w:rFonts w:hint="eastAsia" w:ascii="仿宋" w:hAnsi="仿宋" w:eastAsia="仿宋"/>
          <w:color w:val="auto"/>
          <w:sz w:val="28"/>
          <w:szCs w:val="28"/>
          <w:u w:val="single"/>
        </w:rPr>
        <w:t>安徽建城工程管理有限公司　</w:t>
      </w:r>
    </w:p>
    <w:p w14:paraId="7E40B9DD">
      <w:pPr>
        <w:pageBreakBefore w:val="0"/>
        <w:widowControl/>
        <w:kinsoku w:val="0"/>
        <w:wordWrap/>
        <w:overflowPunct/>
        <w:topLinePunct w:val="0"/>
        <w:autoSpaceDE w:val="0"/>
        <w:autoSpaceDN w:val="0"/>
        <w:bidi w:val="0"/>
        <w:adjustRightInd w:val="0"/>
        <w:snapToGrid w:val="0"/>
        <w:spacing w:line="500" w:lineRule="exact"/>
        <w:ind w:firstLine="840" w:firstLineChars="300"/>
        <w:textAlignment w:val="baseline"/>
        <w:rPr>
          <w:rFonts w:ascii="仿宋" w:hAnsi="仿宋" w:eastAsia="仿宋"/>
          <w:color w:val="auto"/>
          <w:sz w:val="28"/>
          <w:szCs w:val="28"/>
        </w:rPr>
      </w:pPr>
      <w:r>
        <w:rPr>
          <w:rFonts w:hint="eastAsia" w:ascii="仿宋" w:hAnsi="仿宋" w:eastAsia="仿宋"/>
          <w:color w:val="auto"/>
          <w:sz w:val="28"/>
          <w:szCs w:val="28"/>
        </w:rPr>
        <w:t>地　址：</w:t>
      </w:r>
      <w:r>
        <w:rPr>
          <w:rFonts w:hint="eastAsia" w:ascii="仿宋" w:hAnsi="仿宋" w:eastAsia="仿宋"/>
          <w:color w:val="auto"/>
          <w:sz w:val="28"/>
          <w:szCs w:val="28"/>
          <w:u w:val="single"/>
        </w:rPr>
        <w:t xml:space="preserve">安徽省宿州市埇桥区三八街道新都市华庭西区9栋18层 </w:t>
      </w:r>
    </w:p>
    <w:p w14:paraId="4E93C132">
      <w:pPr>
        <w:pageBreakBefore w:val="0"/>
        <w:widowControl/>
        <w:kinsoku w:val="0"/>
        <w:wordWrap/>
        <w:overflowPunct/>
        <w:topLinePunct w:val="0"/>
        <w:autoSpaceDE w:val="0"/>
        <w:autoSpaceDN w:val="0"/>
        <w:bidi w:val="0"/>
        <w:adjustRightInd w:val="0"/>
        <w:snapToGrid w:val="0"/>
        <w:spacing w:line="500" w:lineRule="exact"/>
        <w:ind w:firstLine="840" w:firstLineChars="300"/>
        <w:textAlignment w:val="baseline"/>
        <w:rPr>
          <w:rFonts w:ascii="仿宋" w:hAnsi="仿宋" w:eastAsia="仿宋"/>
          <w:color w:val="auto"/>
          <w:sz w:val="28"/>
          <w:szCs w:val="28"/>
        </w:rPr>
      </w:pPr>
      <w:r>
        <w:rPr>
          <w:rFonts w:hint="eastAsia" w:ascii="仿宋" w:hAnsi="仿宋" w:eastAsia="仿宋"/>
          <w:color w:val="auto"/>
          <w:sz w:val="28"/>
          <w:szCs w:val="28"/>
        </w:rPr>
        <w:t>联系方式：</w:t>
      </w:r>
      <w:bookmarkStart w:id="20" w:name="_Toc28359087"/>
      <w:bookmarkStart w:id="21" w:name="_Toc28359010"/>
      <w:r>
        <w:rPr>
          <w:rFonts w:hint="eastAsia" w:ascii="仿宋" w:hAnsi="仿宋" w:eastAsia="仿宋"/>
          <w:color w:val="auto"/>
          <w:sz w:val="28"/>
          <w:szCs w:val="28"/>
          <w:u w:val="single"/>
        </w:rPr>
        <w:t xml:space="preserve">张工　 15555936888 </w:t>
      </w:r>
    </w:p>
    <w:p w14:paraId="2A7BFC04">
      <w:pPr>
        <w:pageBreakBefore w:val="0"/>
        <w:widowControl/>
        <w:kinsoku w:val="0"/>
        <w:wordWrap/>
        <w:overflowPunct/>
        <w:topLinePunct w:val="0"/>
        <w:autoSpaceDE w:val="0"/>
        <w:autoSpaceDN w:val="0"/>
        <w:bidi w:val="0"/>
        <w:adjustRightInd w:val="0"/>
        <w:snapToGrid w:val="0"/>
        <w:spacing w:line="500" w:lineRule="exact"/>
        <w:ind w:firstLine="280" w:firstLineChars="100"/>
        <w:textAlignment w:val="baseline"/>
        <w:rPr>
          <w:rFonts w:ascii="仿宋" w:hAnsi="仿宋" w:eastAsia="仿宋"/>
          <w:color w:val="auto"/>
          <w:sz w:val="28"/>
          <w:szCs w:val="28"/>
          <w:u w:val="single"/>
        </w:rPr>
      </w:pPr>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20"/>
      <w:bookmarkEnd w:id="21"/>
    </w:p>
    <w:p w14:paraId="50F10B4F">
      <w:pPr>
        <w:pStyle w:val="11"/>
        <w:pageBreakBefore w:val="0"/>
        <w:widowControl/>
        <w:kinsoku w:val="0"/>
        <w:wordWrap/>
        <w:overflowPunct/>
        <w:topLinePunct w:val="0"/>
        <w:autoSpaceDE w:val="0"/>
        <w:autoSpaceDN w:val="0"/>
        <w:bidi w:val="0"/>
        <w:adjustRightInd w:val="0"/>
        <w:snapToGrid w:val="0"/>
        <w:spacing w:line="500" w:lineRule="exact"/>
        <w:ind w:firstLine="840" w:firstLineChars="300"/>
        <w:textAlignment w:val="baseline"/>
      </w:pPr>
      <w:r>
        <w:rPr>
          <w:rFonts w:hint="eastAsia" w:ascii="仿宋" w:hAnsi="仿宋" w:eastAsia="仿宋"/>
          <w:color w:val="auto"/>
          <w:sz w:val="28"/>
          <w:szCs w:val="28"/>
        </w:rPr>
        <w:t>项目联系人：</w:t>
      </w:r>
      <w:r>
        <w:rPr>
          <w:rFonts w:hint="eastAsia" w:ascii="仿宋" w:hAnsi="仿宋" w:eastAsia="仿宋"/>
          <w:color w:val="auto"/>
          <w:sz w:val="28"/>
          <w:szCs w:val="28"/>
          <w:u w:val="single"/>
        </w:rPr>
        <w:t>张工　 15555936888</w:t>
      </w:r>
    </w:p>
    <w:p w14:paraId="3CD35E29">
      <w:pPr>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napToGrid w:val="0"/>
          <w:color w:val="auto"/>
          <w:spacing w:val="1"/>
          <w:kern w:val="0"/>
          <w:sz w:val="22"/>
          <w:szCs w:val="22"/>
          <w:lang w:val="en-US" w:eastAsia="zh-CN" w:bidi="ar-SA"/>
        </w:rPr>
      </w:pPr>
      <w:r>
        <w:rPr>
          <w:rFonts w:hint="eastAsia" w:ascii="宋体" w:hAnsi="宋体" w:eastAsia="宋体" w:cs="宋体"/>
          <w:b/>
          <w:bCs/>
          <w:snapToGrid w:val="0"/>
          <w:color w:val="auto"/>
          <w:spacing w:val="1"/>
          <w:kern w:val="0"/>
          <w:sz w:val="22"/>
          <w:szCs w:val="22"/>
          <w:lang w:val="en-US" w:eastAsia="zh-CN" w:bidi="ar-SA"/>
        </w:rPr>
        <w:br w:type="page"/>
      </w:r>
    </w:p>
    <w:p w14:paraId="11C226A3">
      <w:pPr>
        <w:spacing w:before="175" w:line="233" w:lineRule="auto"/>
        <w:jc w:val="center"/>
        <w:outlineLvl w:val="0"/>
        <w:rPr>
          <w:rFonts w:hint="eastAsia" w:ascii="华文中宋" w:hAnsi="华文中宋" w:eastAsia="华文中宋" w:cs="华文中宋"/>
          <w:b w:val="0"/>
          <w:bCs w:val="0"/>
          <w:color w:val="auto"/>
          <w:spacing w:val="-20"/>
          <w:sz w:val="36"/>
          <w:szCs w:val="36"/>
          <w:u w:val="none"/>
          <w:lang w:val="en-US" w:eastAsia="zh-CN"/>
        </w:rPr>
      </w:pPr>
      <w:bookmarkStart w:id="22" w:name="_Toc21011"/>
      <w:r>
        <w:rPr>
          <w:rFonts w:hint="eastAsia" w:ascii="华文中宋" w:hAnsi="华文中宋" w:eastAsia="华文中宋" w:cs="华文中宋"/>
          <w:b w:val="0"/>
          <w:bCs w:val="0"/>
          <w:color w:val="auto"/>
          <w:spacing w:val="-20"/>
          <w:sz w:val="36"/>
          <w:szCs w:val="36"/>
          <w:u w:val="none"/>
          <w:lang w:val="en-US" w:eastAsia="zh-CN"/>
        </w:rPr>
        <w:t>第二章、</w:t>
      </w:r>
      <w:bookmarkEnd w:id="14"/>
      <w:bookmarkEnd w:id="15"/>
      <w:bookmarkStart w:id="23" w:name="bookmark132"/>
      <w:bookmarkEnd w:id="23"/>
      <w:bookmarkStart w:id="24" w:name="_Toc23635"/>
      <w:bookmarkStart w:id="25" w:name="_Toc2576"/>
      <w:bookmarkStart w:id="26" w:name="_Toc272218546"/>
      <w:bookmarkStart w:id="27" w:name="_Toc28951"/>
      <w:r>
        <w:rPr>
          <w:rFonts w:hint="eastAsia" w:ascii="华文中宋" w:hAnsi="华文中宋" w:eastAsia="华文中宋" w:cs="华文中宋"/>
          <w:b w:val="0"/>
          <w:bCs w:val="0"/>
          <w:color w:val="auto"/>
          <w:spacing w:val="-20"/>
          <w:sz w:val="36"/>
          <w:szCs w:val="36"/>
          <w:u w:val="none"/>
          <w:lang w:val="en-US" w:eastAsia="zh-CN"/>
        </w:rPr>
        <w:t>供应商须知前附表</w:t>
      </w:r>
      <w:bookmarkEnd w:id="22"/>
      <w:bookmarkEnd w:id="24"/>
      <w:bookmarkEnd w:id="25"/>
    </w:p>
    <w:tbl>
      <w:tblPr>
        <w:tblStyle w:val="22"/>
        <w:tblW w:w="9778" w:type="dxa"/>
        <w:tblInd w:w="4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56"/>
        <w:gridCol w:w="5"/>
        <w:gridCol w:w="6689"/>
      </w:tblGrid>
      <w:tr w14:paraId="38B02B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noWrap w:val="0"/>
            <w:vAlign w:val="center"/>
          </w:tcPr>
          <w:p w14:paraId="76F7C5E1">
            <w:pPr>
              <w:spacing w:line="500" w:lineRule="exact"/>
              <w:jc w:val="center"/>
              <w:rPr>
                <w:rFonts w:ascii="宋体" w:hAnsi="宋体" w:cs="Arial"/>
                <w:b/>
                <w:color w:val="000000"/>
                <w:sz w:val="24"/>
                <w:szCs w:val="24"/>
                <w:highlight w:val="none"/>
              </w:rPr>
            </w:pPr>
            <w:r>
              <w:rPr>
                <w:rFonts w:ascii="宋体" w:hAnsi="宋体" w:cs="Arial"/>
                <w:b/>
                <w:color w:val="000000"/>
                <w:sz w:val="24"/>
                <w:szCs w:val="24"/>
                <w:highlight w:val="none"/>
              </w:rPr>
              <w:t>序号</w:t>
            </w:r>
          </w:p>
        </w:tc>
        <w:tc>
          <w:tcPr>
            <w:tcW w:w="2256" w:type="dxa"/>
            <w:noWrap w:val="0"/>
            <w:vAlign w:val="center"/>
          </w:tcPr>
          <w:p w14:paraId="0723B5A7">
            <w:pPr>
              <w:spacing w:line="500" w:lineRule="exact"/>
              <w:jc w:val="center"/>
              <w:rPr>
                <w:rFonts w:hint="default" w:ascii="宋体" w:hAnsi="宋体" w:eastAsia="宋体" w:cs="Arial"/>
                <w:b/>
                <w:color w:val="000000"/>
                <w:sz w:val="24"/>
                <w:szCs w:val="24"/>
                <w:highlight w:val="none"/>
                <w:lang w:val="en-US" w:eastAsia="zh-CN"/>
              </w:rPr>
            </w:pPr>
            <w:r>
              <w:rPr>
                <w:rFonts w:hint="eastAsia" w:ascii="宋体" w:hAnsi="宋体" w:eastAsia="宋体" w:cs="Arial"/>
                <w:b/>
                <w:color w:val="000000"/>
                <w:sz w:val="24"/>
                <w:szCs w:val="24"/>
                <w:highlight w:val="none"/>
                <w:lang w:val="en-US" w:eastAsia="zh-CN"/>
              </w:rPr>
              <w:t>条款名称</w:t>
            </w:r>
          </w:p>
        </w:tc>
        <w:tc>
          <w:tcPr>
            <w:tcW w:w="6694" w:type="dxa"/>
            <w:gridSpan w:val="2"/>
            <w:noWrap w:val="0"/>
            <w:vAlign w:val="center"/>
          </w:tcPr>
          <w:p w14:paraId="3C6A8188">
            <w:pPr>
              <w:spacing w:line="500" w:lineRule="exact"/>
              <w:jc w:val="center"/>
              <w:rPr>
                <w:rFonts w:ascii="宋体" w:hAnsi="宋体" w:cs="Arial"/>
                <w:b/>
                <w:color w:val="000000"/>
                <w:sz w:val="24"/>
                <w:szCs w:val="24"/>
                <w:highlight w:val="none"/>
              </w:rPr>
            </w:pPr>
            <w:r>
              <w:rPr>
                <w:rFonts w:ascii="宋体" w:hAnsi="宋体" w:cs="Arial"/>
                <w:b/>
                <w:color w:val="000000"/>
                <w:sz w:val="24"/>
                <w:szCs w:val="24"/>
                <w:highlight w:val="none"/>
              </w:rPr>
              <w:t>内  容</w:t>
            </w:r>
          </w:p>
        </w:tc>
      </w:tr>
      <w:tr w14:paraId="54228B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8" w:type="dxa"/>
            <w:noWrap w:val="0"/>
            <w:vAlign w:val="center"/>
          </w:tcPr>
          <w:p w14:paraId="6643CF0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hanging="425" w:firstLineChars="0"/>
              <w:jc w:val="center"/>
              <w:textAlignment w:val="baseline"/>
              <w:rPr>
                <w:rFonts w:ascii="宋体" w:hAnsi="宋体" w:cs="Arial"/>
                <w:color w:val="000000"/>
                <w:sz w:val="24"/>
                <w:szCs w:val="24"/>
                <w:highlight w:val="none"/>
              </w:rPr>
            </w:pPr>
            <w:permStart w:id="0" w:edGrp="everyone" w:colFirst="2" w:colLast="2"/>
          </w:p>
        </w:tc>
        <w:tc>
          <w:tcPr>
            <w:tcW w:w="2261" w:type="dxa"/>
            <w:gridSpan w:val="2"/>
            <w:noWrap w:val="0"/>
            <w:vAlign w:val="center"/>
          </w:tcPr>
          <w:p w14:paraId="47D30C75">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踏勘现场</w:t>
            </w:r>
          </w:p>
        </w:tc>
        <w:tc>
          <w:tcPr>
            <w:tcW w:w="6689" w:type="dxa"/>
            <w:noWrap w:val="0"/>
            <w:vAlign w:val="center"/>
          </w:tcPr>
          <w:p w14:paraId="2AE2BE3D">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lang w:eastAsia="zh-CN"/>
              </w:rPr>
              <w:t>☑</w:t>
            </w:r>
            <w:r>
              <w:rPr>
                <w:rFonts w:hint="eastAsia" w:ascii="Calibri" w:hAnsi="Calibri" w:eastAsia="宋体" w:cs="Times New Roman"/>
                <w:color w:val="000000"/>
                <w:sz w:val="24"/>
                <w:szCs w:val="24"/>
                <w:highlight w:val="none"/>
              </w:rPr>
              <w:t>不组织</w:t>
            </w:r>
          </w:p>
          <w:p w14:paraId="2949A27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default" w:ascii="Calibri" w:hAnsi="Calibri" w:eastAsia="宋体" w:cs="Times New Roman"/>
                <w:color w:val="000000"/>
                <w:sz w:val="24"/>
                <w:szCs w:val="24"/>
                <w:highlight w:val="none"/>
                <w:u w:val="single"/>
                <w:lang w:val="en-US" w:eastAsia="zh-CN"/>
              </w:rPr>
            </w:pPr>
            <w:r>
              <w:rPr>
                <w:rFonts w:hint="eastAsia" w:ascii="Calibri" w:hAnsi="Calibri" w:eastAsia="宋体" w:cs="Times New Roman"/>
                <w:color w:val="000000"/>
                <w:sz w:val="24"/>
                <w:szCs w:val="24"/>
                <w:highlight w:val="none"/>
              </w:rPr>
              <w:t>□组织，踏勘时间：</w:t>
            </w:r>
            <w:r>
              <w:rPr>
                <w:rFonts w:hint="eastAsia" w:ascii="Calibri" w:hAnsi="Calibri" w:eastAsia="宋体" w:cs="Times New Roman"/>
                <w:color w:val="000000"/>
                <w:sz w:val="24"/>
                <w:szCs w:val="24"/>
                <w:highlight w:val="none"/>
                <w:u w:val="single"/>
                <w:lang w:val="en-US" w:eastAsia="zh-CN"/>
              </w:rPr>
              <w:t xml:space="preserve">        </w:t>
            </w:r>
          </w:p>
          <w:p w14:paraId="53414CD1">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default" w:ascii="Calibri" w:hAnsi="Calibri" w:eastAsia="宋体" w:cs="Times New Roman"/>
                <w:color w:val="000000"/>
                <w:sz w:val="24"/>
                <w:szCs w:val="24"/>
                <w:highlight w:val="none"/>
                <w:u w:val="single"/>
                <w:lang w:val="en-US" w:eastAsia="zh-CN"/>
              </w:rPr>
            </w:pPr>
            <w:r>
              <w:rPr>
                <w:rFonts w:hint="eastAsia" w:ascii="Calibri" w:hAnsi="Calibri" w:eastAsia="宋体" w:cs="Times New Roman"/>
                <w:color w:val="000000"/>
                <w:sz w:val="24"/>
                <w:szCs w:val="24"/>
                <w:highlight w:val="none"/>
              </w:rPr>
              <w:t>踏勘集中地点</w:t>
            </w:r>
            <w:r>
              <w:rPr>
                <w:rFonts w:hint="eastAsia" w:ascii="Calibri" w:hAnsi="Calibri" w:eastAsia="宋体" w:cs="Times New Roman"/>
                <w:color w:val="000000"/>
                <w:sz w:val="24"/>
                <w:szCs w:val="24"/>
                <w:highlight w:val="none"/>
                <w:lang w:eastAsia="zh-CN"/>
              </w:rPr>
              <w:t>：</w:t>
            </w:r>
            <w:r>
              <w:rPr>
                <w:rFonts w:hint="eastAsia" w:ascii="Calibri" w:hAnsi="Calibri" w:eastAsia="宋体" w:cs="Times New Roman"/>
                <w:color w:val="000000"/>
                <w:sz w:val="24"/>
                <w:szCs w:val="24"/>
                <w:highlight w:val="none"/>
                <w:u w:val="single"/>
                <w:lang w:val="en-US" w:eastAsia="zh-CN"/>
              </w:rPr>
              <w:t xml:space="preserve">          </w:t>
            </w:r>
          </w:p>
        </w:tc>
      </w:tr>
      <w:permEnd w:id="0"/>
      <w:tr w14:paraId="14DC79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28" w:type="dxa"/>
            <w:noWrap w:val="0"/>
            <w:vAlign w:val="center"/>
          </w:tcPr>
          <w:p w14:paraId="47AB6E2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hanging="425" w:firstLineChars="0"/>
              <w:jc w:val="center"/>
              <w:textAlignment w:val="baseline"/>
              <w:rPr>
                <w:rFonts w:ascii="宋体" w:hAnsi="宋体" w:cs="Arial"/>
                <w:color w:val="000000"/>
                <w:sz w:val="24"/>
                <w:szCs w:val="24"/>
                <w:highlight w:val="none"/>
              </w:rPr>
            </w:pPr>
            <w:permStart w:id="1" w:edGrp="everyone" w:colFirst="2" w:colLast="2"/>
          </w:p>
        </w:tc>
        <w:tc>
          <w:tcPr>
            <w:tcW w:w="2261" w:type="dxa"/>
            <w:gridSpan w:val="2"/>
            <w:noWrap w:val="0"/>
            <w:vAlign w:val="center"/>
          </w:tcPr>
          <w:p w14:paraId="4A5EF0ED">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询比采购预备会</w:t>
            </w:r>
          </w:p>
          <w:p w14:paraId="0A503AE4">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jc w:val="center"/>
              <w:textAlignment w:val="baseline"/>
              <w:rPr>
                <w:rFonts w:hint="eastAsia" w:ascii="Calibri" w:hAnsi="Calibri" w:eastAsia="宋体" w:cs="Times New Roman"/>
                <w:color w:val="000000"/>
                <w:sz w:val="24"/>
                <w:szCs w:val="24"/>
                <w:highlight w:val="none"/>
              </w:rPr>
            </w:pPr>
          </w:p>
        </w:tc>
        <w:tc>
          <w:tcPr>
            <w:tcW w:w="6689" w:type="dxa"/>
            <w:noWrap w:val="0"/>
            <w:vAlign w:val="center"/>
          </w:tcPr>
          <w:p w14:paraId="769DF7E2">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lang w:eastAsia="zh-CN"/>
              </w:rPr>
              <w:t>☑</w:t>
            </w:r>
            <w:r>
              <w:rPr>
                <w:rFonts w:hint="eastAsia" w:ascii="Calibri" w:hAnsi="Calibri" w:eastAsia="宋体" w:cs="Times New Roman"/>
                <w:color w:val="000000"/>
                <w:sz w:val="24"/>
                <w:szCs w:val="24"/>
                <w:highlight w:val="none"/>
              </w:rPr>
              <w:t>不召开</w:t>
            </w:r>
          </w:p>
          <w:p w14:paraId="4562B4E6">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□召开，召开时间：</w:t>
            </w:r>
            <w:r>
              <w:rPr>
                <w:rFonts w:hint="eastAsia" w:ascii="Calibri" w:hAnsi="Calibri" w:eastAsia="宋体" w:cs="Times New Roman"/>
                <w:color w:val="000000"/>
                <w:sz w:val="24"/>
                <w:szCs w:val="24"/>
                <w:highlight w:val="none"/>
                <w:u w:val="single"/>
                <w:lang w:val="en-US" w:eastAsia="zh-CN"/>
              </w:rPr>
              <w:t xml:space="preserve">          </w:t>
            </w:r>
            <w:r>
              <w:rPr>
                <w:rFonts w:hint="eastAsia" w:ascii="Calibri" w:hAnsi="Calibri" w:eastAsia="宋体" w:cs="Times New Roman"/>
                <w:color w:val="000000"/>
                <w:sz w:val="24"/>
                <w:szCs w:val="24"/>
                <w:highlight w:val="none"/>
              </w:rPr>
              <w:t xml:space="preserve"> </w:t>
            </w:r>
          </w:p>
          <w:p w14:paraId="5DAB1B11">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召开地点：</w:t>
            </w:r>
            <w:r>
              <w:rPr>
                <w:rFonts w:hint="eastAsia" w:ascii="Calibri" w:hAnsi="Calibri" w:eastAsia="宋体" w:cs="Times New Roman"/>
                <w:color w:val="000000"/>
                <w:sz w:val="24"/>
                <w:szCs w:val="24"/>
                <w:highlight w:val="none"/>
                <w:u w:val="single"/>
                <w:lang w:val="en-US" w:eastAsia="zh-CN"/>
              </w:rPr>
              <w:t xml:space="preserve">          </w:t>
            </w:r>
          </w:p>
        </w:tc>
      </w:tr>
      <w:permEnd w:id="1"/>
      <w:tr w14:paraId="5654B9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14:paraId="3A792C4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eastAsia" w:ascii="宋体" w:hAnsi="宋体" w:eastAsia="宋体" w:cs="Arial"/>
                <w:color w:val="000000"/>
                <w:sz w:val="24"/>
                <w:szCs w:val="24"/>
                <w:highlight w:val="none"/>
                <w:lang w:val="en-US" w:eastAsia="zh-CN"/>
              </w:rPr>
            </w:pPr>
          </w:p>
        </w:tc>
        <w:tc>
          <w:tcPr>
            <w:tcW w:w="2261" w:type="dxa"/>
            <w:gridSpan w:val="2"/>
            <w:noWrap w:val="0"/>
            <w:vAlign w:val="center"/>
          </w:tcPr>
          <w:p w14:paraId="7150161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分包（A 、C)</w:t>
            </w:r>
          </w:p>
        </w:tc>
        <w:tc>
          <w:tcPr>
            <w:tcW w:w="6689" w:type="dxa"/>
            <w:noWrap w:val="0"/>
            <w:vAlign w:val="center"/>
          </w:tcPr>
          <w:p w14:paraId="0D716391">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不得分包的内容：</w:t>
            </w:r>
            <w:r>
              <w:rPr>
                <w:rFonts w:hint="eastAsia" w:ascii="Calibri" w:hAnsi="Calibri" w:eastAsia="宋体" w:cs="Times New Roman"/>
                <w:color w:val="000000"/>
                <w:sz w:val="24"/>
                <w:szCs w:val="24"/>
                <w:highlight w:val="none"/>
                <w:u w:val="single"/>
                <w:lang w:val="en-US" w:eastAsia="zh-CN"/>
              </w:rPr>
              <w:t xml:space="preserve">  询比文件规定的所有内容   </w:t>
            </w:r>
            <w:r>
              <w:rPr>
                <w:rFonts w:hint="eastAsia" w:ascii="Calibri" w:hAnsi="Calibri" w:eastAsia="宋体" w:cs="Times New Roman"/>
                <w:color w:val="000000"/>
                <w:sz w:val="24"/>
                <w:szCs w:val="24"/>
                <w:highlight w:val="none"/>
              </w:rPr>
              <w:t xml:space="preserve"> </w:t>
            </w:r>
          </w:p>
          <w:p w14:paraId="30D4261B">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对分包供应商的要求：</w:t>
            </w:r>
            <w:r>
              <w:rPr>
                <w:rFonts w:hint="eastAsia" w:ascii="Calibri" w:hAnsi="Calibri" w:eastAsia="宋体" w:cs="Times New Roman"/>
                <w:color w:val="000000"/>
                <w:sz w:val="24"/>
                <w:szCs w:val="24"/>
                <w:highlight w:val="none"/>
                <w:u w:val="single"/>
                <w:lang w:val="en-US" w:eastAsia="zh-CN"/>
              </w:rPr>
              <w:t xml:space="preserve">   /     </w:t>
            </w:r>
            <w:r>
              <w:rPr>
                <w:rFonts w:hint="eastAsia" w:ascii="Calibri" w:hAnsi="Calibri" w:eastAsia="宋体" w:cs="Times New Roman"/>
                <w:color w:val="000000"/>
                <w:sz w:val="24"/>
                <w:szCs w:val="24"/>
                <w:highlight w:val="none"/>
              </w:rPr>
              <w:t xml:space="preserve"> </w:t>
            </w:r>
          </w:p>
        </w:tc>
      </w:tr>
      <w:tr w14:paraId="2E67D9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14:paraId="0D52E93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2A076FC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对非关键条款的偏差</w:t>
            </w:r>
          </w:p>
        </w:tc>
        <w:tc>
          <w:tcPr>
            <w:tcW w:w="6689" w:type="dxa"/>
            <w:noWrap w:val="0"/>
            <w:vAlign w:val="center"/>
          </w:tcPr>
          <w:p w14:paraId="4B182F32">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允许偏差的范围：</w:t>
            </w:r>
            <w:r>
              <w:rPr>
                <w:rFonts w:hint="eastAsia" w:ascii="Calibri" w:hAnsi="Calibri" w:eastAsia="宋体" w:cs="Times New Roman"/>
                <w:color w:val="000000"/>
                <w:sz w:val="24"/>
                <w:szCs w:val="24"/>
                <w:highlight w:val="none"/>
                <w:u w:val="single"/>
                <w:lang w:val="en-US" w:eastAsia="zh-CN"/>
              </w:rPr>
              <w:t xml:space="preserve">     不允许     </w:t>
            </w:r>
            <w:r>
              <w:rPr>
                <w:rFonts w:hint="eastAsia" w:ascii="Calibri" w:hAnsi="Calibri" w:eastAsia="宋体" w:cs="Times New Roman"/>
                <w:color w:val="000000"/>
                <w:sz w:val="24"/>
                <w:szCs w:val="24"/>
                <w:highlight w:val="none"/>
              </w:rPr>
              <w:t xml:space="preserve"> </w:t>
            </w:r>
          </w:p>
          <w:p w14:paraId="48DBE6D8">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允许偏差的项数：</w:t>
            </w:r>
            <w:r>
              <w:rPr>
                <w:rFonts w:hint="eastAsia" w:ascii="Calibri" w:hAnsi="Calibri" w:eastAsia="宋体" w:cs="Times New Roman"/>
                <w:color w:val="000000"/>
                <w:sz w:val="24"/>
                <w:szCs w:val="24"/>
                <w:highlight w:val="none"/>
                <w:u w:val="single"/>
                <w:lang w:val="en-US" w:eastAsia="zh-CN"/>
              </w:rPr>
              <w:t xml:space="preserve">    /   </w:t>
            </w:r>
            <w:r>
              <w:rPr>
                <w:rFonts w:hint="eastAsia" w:ascii="Calibri" w:hAnsi="Calibri" w:eastAsia="宋体" w:cs="Times New Roman"/>
                <w:color w:val="000000"/>
                <w:sz w:val="24"/>
                <w:szCs w:val="24"/>
                <w:highlight w:val="none"/>
              </w:rPr>
              <w:t xml:space="preserve"> </w:t>
            </w:r>
            <w:r>
              <w:rPr>
                <w:rFonts w:hint="eastAsia"/>
                <w:color w:val="000000"/>
                <w:sz w:val="24"/>
                <w:szCs w:val="24"/>
                <w:highlight w:val="none"/>
              </w:rPr>
              <w:t>项</w:t>
            </w:r>
          </w:p>
        </w:tc>
      </w:tr>
      <w:tr w14:paraId="21ED53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14:paraId="2051B90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eastAsia" w:ascii="宋体" w:hAnsi="宋体" w:eastAsia="宋体" w:cs="Arial"/>
                <w:color w:val="000000"/>
                <w:sz w:val="24"/>
                <w:szCs w:val="24"/>
                <w:highlight w:val="none"/>
                <w:lang w:val="en-US" w:eastAsia="zh-CN"/>
              </w:rPr>
            </w:pPr>
          </w:p>
        </w:tc>
        <w:tc>
          <w:tcPr>
            <w:tcW w:w="2261" w:type="dxa"/>
            <w:gridSpan w:val="2"/>
            <w:noWrap w:val="0"/>
            <w:vAlign w:val="center"/>
          </w:tcPr>
          <w:p w14:paraId="7055BAC8">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构成采购文件的其他资料</w:t>
            </w:r>
          </w:p>
        </w:tc>
        <w:tc>
          <w:tcPr>
            <w:tcW w:w="6689" w:type="dxa"/>
            <w:noWrap w:val="0"/>
            <w:vAlign w:val="center"/>
          </w:tcPr>
          <w:p w14:paraId="75667EDC">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eastAsia="宋体"/>
                <w:color w:val="000000"/>
                <w:sz w:val="24"/>
                <w:szCs w:val="24"/>
                <w:highlight w:val="none"/>
                <w:lang w:val="en-US" w:eastAsia="zh-CN"/>
              </w:rPr>
            </w:pPr>
            <w:r>
              <w:rPr>
                <w:rFonts w:hint="eastAsia"/>
                <w:color w:val="000000"/>
                <w:sz w:val="24"/>
                <w:szCs w:val="24"/>
                <w:highlight w:val="none"/>
              </w:rPr>
              <w:t>资料名称：</w:t>
            </w:r>
            <w:r>
              <w:rPr>
                <w:rFonts w:hint="eastAsia"/>
                <w:color w:val="000000"/>
                <w:sz w:val="24"/>
                <w:szCs w:val="24"/>
                <w:highlight w:val="none"/>
                <w:lang w:val="en-US" w:eastAsia="zh-CN"/>
              </w:rPr>
              <w:t>/</w:t>
            </w:r>
          </w:p>
        </w:tc>
      </w:tr>
      <w:tr w14:paraId="613502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14:paraId="63BC043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eastAsia" w:ascii="宋体" w:hAnsi="宋体" w:eastAsia="宋体" w:cs="Arial"/>
                <w:color w:val="000000"/>
                <w:sz w:val="24"/>
                <w:szCs w:val="24"/>
                <w:highlight w:val="none"/>
                <w:lang w:val="en-US" w:eastAsia="zh-CN"/>
              </w:rPr>
            </w:pPr>
          </w:p>
        </w:tc>
        <w:tc>
          <w:tcPr>
            <w:tcW w:w="2261" w:type="dxa"/>
            <w:gridSpan w:val="2"/>
            <w:noWrap w:val="0"/>
            <w:vAlign w:val="center"/>
          </w:tcPr>
          <w:p w14:paraId="11C269B4">
            <w:pPr>
              <w:pStyle w:val="3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供应商要求澄清采购文件的时间</w:t>
            </w:r>
          </w:p>
        </w:tc>
        <w:tc>
          <w:tcPr>
            <w:tcW w:w="6689" w:type="dxa"/>
            <w:noWrap w:val="0"/>
            <w:vAlign w:val="center"/>
          </w:tcPr>
          <w:p w14:paraId="1DB532F2">
            <w:pPr>
              <w:pStyle w:val="39"/>
              <w:keepNext w:val="0"/>
              <w:keepLines w:val="0"/>
              <w:pageBreakBefore w:val="0"/>
              <w:widowControl/>
              <w:kinsoku w:val="0"/>
              <w:wordWrap/>
              <w:overflowPunct/>
              <w:topLinePunct w:val="0"/>
              <w:autoSpaceDE w:val="0"/>
              <w:autoSpaceDN w:val="0"/>
              <w:bidi w:val="0"/>
              <w:adjustRightInd w:val="0"/>
              <w:snapToGrid w:val="0"/>
              <w:spacing w:line="360" w:lineRule="exact"/>
              <w:ind w:firstLine="228" w:firstLineChars="95"/>
              <w:textAlignment w:val="baseline"/>
              <w:rPr>
                <w:rFonts w:hint="default" w:eastAsia="宋体"/>
                <w:color w:val="000000"/>
                <w:sz w:val="24"/>
                <w:szCs w:val="24"/>
                <w:highlight w:val="none"/>
                <w:lang w:val="en-US" w:eastAsia="zh-CN"/>
              </w:rPr>
            </w:pPr>
            <w:r>
              <w:rPr>
                <w:rFonts w:hint="eastAsia"/>
                <w:color w:val="000000"/>
                <w:sz w:val="24"/>
                <w:szCs w:val="24"/>
                <w:highlight w:val="none"/>
              </w:rPr>
              <w:t>截止时间</w:t>
            </w:r>
            <w:r>
              <w:rPr>
                <w:rFonts w:hint="eastAsia"/>
                <w:color w:val="000000"/>
                <w:sz w:val="24"/>
                <w:szCs w:val="24"/>
                <w:highlight w:val="none"/>
                <w:lang w:eastAsia="zh-CN"/>
              </w:rPr>
              <w:t>：</w:t>
            </w:r>
            <w:r>
              <w:rPr>
                <w:rFonts w:hint="eastAsia"/>
                <w:color w:val="000000"/>
                <w:sz w:val="24"/>
                <w:szCs w:val="24"/>
                <w:highlight w:val="none"/>
                <w:lang w:val="en-US" w:eastAsia="zh-CN"/>
              </w:rPr>
              <w:t>询比截止时间1日前</w:t>
            </w:r>
          </w:p>
        </w:tc>
      </w:tr>
      <w:tr w14:paraId="7FAD2D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14:paraId="1327B17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eastAsia" w:ascii="宋体" w:hAnsi="宋体" w:eastAsia="宋体" w:cs="Arial"/>
                <w:color w:val="000000"/>
                <w:sz w:val="24"/>
                <w:szCs w:val="24"/>
                <w:highlight w:val="none"/>
                <w:lang w:val="en-US" w:eastAsia="zh-CN"/>
              </w:rPr>
            </w:pPr>
          </w:p>
        </w:tc>
        <w:tc>
          <w:tcPr>
            <w:tcW w:w="2261" w:type="dxa"/>
            <w:gridSpan w:val="2"/>
            <w:noWrap w:val="0"/>
            <w:vAlign w:val="center"/>
          </w:tcPr>
          <w:p w14:paraId="3559C721">
            <w:pPr>
              <w:pStyle w:val="3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供应商确认收到采购文件补充文件</w:t>
            </w:r>
          </w:p>
        </w:tc>
        <w:tc>
          <w:tcPr>
            <w:tcW w:w="6689" w:type="dxa"/>
            <w:noWrap w:val="0"/>
            <w:vAlign w:val="center"/>
          </w:tcPr>
          <w:p w14:paraId="7A8919E0">
            <w:pPr>
              <w:pStyle w:val="39"/>
              <w:keepNext w:val="0"/>
              <w:keepLines w:val="0"/>
              <w:pageBreakBefore w:val="0"/>
              <w:widowControl/>
              <w:kinsoku w:val="0"/>
              <w:wordWrap/>
              <w:overflowPunct/>
              <w:topLinePunct w:val="0"/>
              <w:autoSpaceDE w:val="0"/>
              <w:autoSpaceDN w:val="0"/>
              <w:bidi w:val="0"/>
              <w:adjustRightInd w:val="0"/>
              <w:snapToGrid w:val="0"/>
              <w:spacing w:line="360" w:lineRule="exact"/>
              <w:ind w:firstLine="228" w:firstLineChars="95"/>
              <w:textAlignment w:val="baseline"/>
              <w:rPr>
                <w:rFonts w:hint="default" w:eastAsia="宋体"/>
                <w:color w:val="000000"/>
                <w:sz w:val="24"/>
                <w:szCs w:val="24"/>
                <w:highlight w:val="none"/>
                <w:lang w:val="en-US" w:eastAsia="zh-CN"/>
              </w:rPr>
            </w:pPr>
            <w:r>
              <w:rPr>
                <w:rFonts w:hint="eastAsia"/>
                <w:color w:val="000000"/>
                <w:sz w:val="24"/>
                <w:szCs w:val="24"/>
                <w:highlight w:val="none"/>
              </w:rPr>
              <w:t xml:space="preserve">确认的最晚时间： </w:t>
            </w:r>
            <w:r>
              <w:rPr>
                <w:rFonts w:hint="eastAsia"/>
                <w:color w:val="000000"/>
                <w:sz w:val="24"/>
                <w:szCs w:val="24"/>
                <w:highlight w:val="none"/>
                <w:lang w:val="en-US" w:eastAsia="zh-CN"/>
              </w:rPr>
              <w:t>询比截止时间1日前</w:t>
            </w:r>
          </w:p>
          <w:p w14:paraId="53B4C797">
            <w:pPr>
              <w:pStyle w:val="39"/>
              <w:keepNext w:val="0"/>
              <w:keepLines w:val="0"/>
              <w:pageBreakBefore w:val="0"/>
              <w:widowControl/>
              <w:kinsoku w:val="0"/>
              <w:wordWrap/>
              <w:overflowPunct/>
              <w:topLinePunct w:val="0"/>
              <w:autoSpaceDE w:val="0"/>
              <w:autoSpaceDN w:val="0"/>
              <w:bidi w:val="0"/>
              <w:adjustRightInd w:val="0"/>
              <w:snapToGrid w:val="0"/>
              <w:spacing w:line="360" w:lineRule="exact"/>
              <w:ind w:firstLine="228" w:firstLineChars="95"/>
              <w:textAlignment w:val="baseline"/>
              <w:rPr>
                <w:rFonts w:hint="default" w:eastAsia="宋体"/>
                <w:color w:val="000000"/>
                <w:sz w:val="24"/>
                <w:szCs w:val="24"/>
                <w:highlight w:val="none"/>
                <w:lang w:val="en-US" w:eastAsia="zh-CN"/>
              </w:rPr>
            </w:pPr>
            <w:r>
              <w:rPr>
                <w:rFonts w:hint="eastAsia"/>
                <w:color w:val="000000"/>
                <w:sz w:val="24"/>
                <w:szCs w:val="24"/>
                <w:highlight w:val="none"/>
              </w:rPr>
              <w:t>确认的方式：本询比采购公告</w:t>
            </w:r>
            <w:r>
              <w:rPr>
                <w:rFonts w:hint="eastAsia"/>
                <w:color w:val="000000"/>
                <w:sz w:val="24"/>
                <w:szCs w:val="24"/>
                <w:highlight w:val="none"/>
                <w:lang w:val="en-US" w:eastAsia="zh-CN"/>
              </w:rPr>
              <w:t>发布网站</w:t>
            </w:r>
          </w:p>
        </w:tc>
      </w:tr>
      <w:tr w14:paraId="0DE1E1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14:paraId="38100A5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eastAsia" w:ascii="宋体" w:hAnsi="宋体" w:eastAsia="宋体" w:cs="Arial"/>
                <w:color w:val="000000"/>
                <w:sz w:val="24"/>
                <w:szCs w:val="24"/>
                <w:highlight w:val="none"/>
                <w:lang w:val="en-US" w:eastAsia="zh-CN"/>
              </w:rPr>
            </w:pPr>
          </w:p>
        </w:tc>
        <w:tc>
          <w:tcPr>
            <w:tcW w:w="2261" w:type="dxa"/>
            <w:gridSpan w:val="2"/>
            <w:noWrap w:val="0"/>
            <w:vAlign w:val="center"/>
          </w:tcPr>
          <w:p w14:paraId="4F14C9F3">
            <w:pPr>
              <w:pStyle w:val="3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构成响应文件的其他资料</w:t>
            </w:r>
          </w:p>
        </w:tc>
        <w:tc>
          <w:tcPr>
            <w:tcW w:w="6689" w:type="dxa"/>
            <w:noWrap w:val="0"/>
            <w:vAlign w:val="center"/>
          </w:tcPr>
          <w:p w14:paraId="49592960">
            <w:pPr>
              <w:pStyle w:val="39"/>
              <w:keepNext w:val="0"/>
              <w:keepLines w:val="0"/>
              <w:pageBreakBefore w:val="0"/>
              <w:widowControl/>
              <w:kinsoku w:val="0"/>
              <w:wordWrap/>
              <w:overflowPunct/>
              <w:topLinePunct w:val="0"/>
              <w:autoSpaceDE w:val="0"/>
              <w:autoSpaceDN w:val="0"/>
              <w:bidi w:val="0"/>
              <w:adjustRightInd w:val="0"/>
              <w:snapToGrid w:val="0"/>
              <w:spacing w:line="360" w:lineRule="exact"/>
              <w:ind w:firstLine="228" w:firstLineChars="95"/>
              <w:textAlignment w:val="baseline"/>
              <w:rPr>
                <w:rFonts w:hint="default" w:eastAsia="宋体"/>
                <w:color w:val="000000"/>
                <w:sz w:val="24"/>
                <w:szCs w:val="24"/>
                <w:highlight w:val="none"/>
                <w:lang w:val="en-US" w:eastAsia="zh-CN"/>
              </w:rPr>
            </w:pPr>
            <w:r>
              <w:rPr>
                <w:rFonts w:hint="eastAsia"/>
                <w:color w:val="000000"/>
                <w:sz w:val="24"/>
                <w:szCs w:val="24"/>
                <w:highlight w:val="none"/>
              </w:rPr>
              <w:t>资料名</w:t>
            </w:r>
            <w:r>
              <w:rPr>
                <w:rFonts w:hint="eastAsia" w:ascii="Calibri" w:hAnsi="Calibri" w:eastAsia="宋体" w:cs="Times New Roman"/>
                <w:color w:val="000000"/>
                <w:sz w:val="24"/>
                <w:szCs w:val="24"/>
                <w:highlight w:val="none"/>
              </w:rPr>
              <w:t>称</w:t>
            </w:r>
            <w:r>
              <w:rPr>
                <w:rFonts w:hint="eastAsia" w:ascii="Calibri" w:hAnsi="Calibri" w:eastAsia="宋体" w:cs="Times New Roman"/>
                <w:color w:val="000000"/>
                <w:sz w:val="24"/>
                <w:szCs w:val="24"/>
                <w:highlight w:val="none"/>
                <w:lang w:eastAsia="zh-CN"/>
              </w:rPr>
              <w:t>：</w:t>
            </w:r>
            <w:r>
              <w:rPr>
                <w:rFonts w:hint="eastAsia" w:ascii="Calibri" w:hAnsi="Calibri" w:eastAsia="宋体" w:cs="Times New Roman"/>
                <w:color w:val="000000"/>
                <w:sz w:val="24"/>
                <w:szCs w:val="24"/>
                <w:highlight w:val="none"/>
                <w:lang w:val="en-US" w:eastAsia="zh-CN"/>
              </w:rPr>
              <w:t>询比截止前，采购代理机构发出的与本询比项目有关的材料。 包括但不限于：询比采购文件的澄清修改、答疑、补充、通知文件等。</w:t>
            </w:r>
          </w:p>
        </w:tc>
      </w:tr>
      <w:tr w14:paraId="18D477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14:paraId="47603E6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eastAsia" w:ascii="宋体" w:hAnsi="宋体" w:eastAsia="宋体" w:cs="Arial"/>
                <w:color w:val="000000"/>
                <w:sz w:val="24"/>
                <w:szCs w:val="24"/>
                <w:highlight w:val="none"/>
                <w:lang w:val="en-US" w:eastAsia="zh-CN"/>
              </w:rPr>
            </w:pPr>
          </w:p>
        </w:tc>
        <w:tc>
          <w:tcPr>
            <w:tcW w:w="2261" w:type="dxa"/>
            <w:gridSpan w:val="2"/>
            <w:noWrap w:val="0"/>
            <w:vAlign w:val="center"/>
          </w:tcPr>
          <w:p w14:paraId="1CF16DCA">
            <w:pPr>
              <w:pStyle w:val="3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采购标的数量增减幅度</w:t>
            </w:r>
          </w:p>
        </w:tc>
        <w:tc>
          <w:tcPr>
            <w:tcW w:w="6689" w:type="dxa"/>
            <w:noWrap w:val="0"/>
            <w:vAlign w:val="center"/>
          </w:tcPr>
          <w:p w14:paraId="176781C7">
            <w:pPr>
              <w:pStyle w:val="3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textAlignment w:val="baseline"/>
              <w:rPr>
                <w:rFonts w:hint="eastAsia"/>
                <w:color w:val="000000"/>
                <w:sz w:val="24"/>
                <w:szCs w:val="24"/>
                <w:highlight w:val="none"/>
              </w:rPr>
            </w:pPr>
            <w:r>
              <w:rPr>
                <w:rFonts w:hint="eastAsia"/>
                <w:color w:val="000000"/>
                <w:sz w:val="24"/>
                <w:szCs w:val="24"/>
                <w:highlight w:val="none"/>
              </w:rPr>
              <w:t>采购标的数量增减幅度：</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w:t>
            </w:r>
            <w:r>
              <w:rPr>
                <w:rFonts w:hint="eastAsia"/>
                <w:color w:val="000000"/>
                <w:sz w:val="24"/>
                <w:szCs w:val="24"/>
                <w:highlight w:val="none"/>
                <w:u w:val="single"/>
              </w:rPr>
              <w:t xml:space="preserve">  %</w:t>
            </w:r>
            <w:r>
              <w:rPr>
                <w:rFonts w:hint="eastAsia"/>
                <w:color w:val="000000"/>
                <w:sz w:val="24"/>
                <w:szCs w:val="24"/>
                <w:highlight w:val="none"/>
              </w:rPr>
              <w:t xml:space="preserve">  (注：数量增减幅度通常在 10%以内。）</w:t>
            </w:r>
          </w:p>
        </w:tc>
      </w:tr>
      <w:tr w14:paraId="76DAB7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14:paraId="3654073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72AA2E5A">
            <w:pPr>
              <w:pStyle w:val="39"/>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最髙限价或其计算方法</w:t>
            </w:r>
          </w:p>
        </w:tc>
        <w:tc>
          <w:tcPr>
            <w:tcW w:w="6689" w:type="dxa"/>
            <w:noWrap w:val="0"/>
            <w:vAlign w:val="center"/>
          </w:tcPr>
          <w:p w14:paraId="0750CF58">
            <w:pPr>
              <w:pStyle w:val="39"/>
              <w:keepNext w:val="0"/>
              <w:keepLines w:val="0"/>
              <w:pageBreakBefore w:val="0"/>
              <w:widowControl/>
              <w:kinsoku w:val="0"/>
              <w:wordWrap/>
              <w:overflowPunct/>
              <w:topLinePunct w:val="0"/>
              <w:autoSpaceDE w:val="0"/>
              <w:autoSpaceDN w:val="0"/>
              <w:bidi w:val="0"/>
              <w:adjustRightInd w:val="0"/>
              <w:snapToGrid w:val="0"/>
              <w:spacing w:line="36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□无</w:t>
            </w:r>
          </w:p>
          <w:p w14:paraId="1E2B389F">
            <w:pPr>
              <w:pStyle w:val="39"/>
              <w:keepNext w:val="0"/>
              <w:keepLines w:val="0"/>
              <w:pageBreakBefore w:val="0"/>
              <w:widowControl/>
              <w:kinsoku w:val="0"/>
              <w:wordWrap/>
              <w:overflowPunct/>
              <w:topLinePunct w:val="0"/>
              <w:autoSpaceDE w:val="0"/>
              <w:autoSpaceDN w:val="0"/>
              <w:bidi w:val="0"/>
              <w:adjustRightInd w:val="0"/>
              <w:snapToGrid w:val="0"/>
              <w:spacing w:line="360" w:lineRule="exact"/>
              <w:ind w:firstLine="228" w:firstLineChars="95"/>
              <w:textAlignment w:val="baseline"/>
              <w:rPr>
                <w:rFonts w:hint="default" w:eastAsia="宋体"/>
                <w:color w:val="000000"/>
                <w:sz w:val="24"/>
                <w:szCs w:val="24"/>
                <w:highlight w:val="none"/>
                <w:lang w:val="en-US" w:eastAsia="zh-CN"/>
              </w:rPr>
            </w:pPr>
            <w:r>
              <w:rPr>
                <w:rFonts w:hint="eastAsia"/>
                <w:color w:val="000000"/>
                <w:sz w:val="24"/>
                <w:szCs w:val="24"/>
                <w:highlight w:val="none"/>
                <w:lang w:eastAsia="zh-CN"/>
              </w:rPr>
              <w:t>☑</w:t>
            </w:r>
            <w:r>
              <w:rPr>
                <w:rFonts w:hint="eastAsia"/>
                <w:color w:val="000000"/>
                <w:sz w:val="24"/>
                <w:szCs w:val="24"/>
                <w:highlight w:val="none"/>
              </w:rPr>
              <w:t>有，最高限价</w:t>
            </w:r>
            <w:r>
              <w:rPr>
                <w:rFonts w:hint="eastAsia" w:eastAsia="宋体" w:cs="Times New Roman"/>
                <w:color w:val="000000"/>
                <w:sz w:val="24"/>
                <w:szCs w:val="24"/>
                <w:highlight w:val="none"/>
              </w:rPr>
              <w:t>：</w:t>
            </w:r>
            <w:r>
              <w:rPr>
                <w:rFonts w:hint="eastAsia" w:eastAsia="宋体" w:cs="Times New Roman"/>
                <w:color w:val="000000"/>
                <w:sz w:val="24"/>
                <w:szCs w:val="24"/>
                <w:highlight w:val="none"/>
                <w:lang w:val="en-US" w:eastAsia="zh-CN"/>
              </w:rPr>
              <w:t>598906.44元（报价超</w:t>
            </w:r>
            <w:r>
              <w:rPr>
                <w:rFonts w:hint="eastAsia"/>
                <w:color w:val="000000"/>
                <w:sz w:val="24"/>
                <w:szCs w:val="24"/>
                <w:highlight w:val="none"/>
                <w:lang w:val="en-US" w:eastAsia="zh-CN"/>
              </w:rPr>
              <w:t>过最高限价的供应商为无效响应文件）</w:t>
            </w:r>
          </w:p>
        </w:tc>
      </w:tr>
      <w:tr w14:paraId="79A36B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14:paraId="637281D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66FD5EF8">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报价的其他要求</w:t>
            </w:r>
          </w:p>
        </w:tc>
        <w:tc>
          <w:tcPr>
            <w:tcW w:w="6689" w:type="dxa"/>
            <w:noWrap w:val="0"/>
            <w:vAlign w:val="center"/>
          </w:tcPr>
          <w:p w14:paraId="373DE301">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eastAsia="宋体"/>
                <w:color w:val="000000"/>
                <w:sz w:val="24"/>
                <w:szCs w:val="24"/>
                <w:highlight w:val="none"/>
                <w:lang w:val="en-US" w:eastAsia="zh-CN"/>
              </w:rPr>
            </w:pPr>
            <w:r>
              <w:rPr>
                <w:rFonts w:hint="eastAsia"/>
                <w:color w:val="000000"/>
                <w:sz w:val="24"/>
                <w:szCs w:val="24"/>
                <w:highlight w:val="none"/>
                <w:lang w:val="en-US" w:eastAsia="zh-CN"/>
              </w:rPr>
              <w:t>/</w:t>
            </w:r>
          </w:p>
        </w:tc>
      </w:tr>
      <w:tr w14:paraId="091DD7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14:paraId="6BD913C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ermStart w:id="2" w:edGrp="everyone" w:colFirst="2" w:colLast="2"/>
          </w:p>
        </w:tc>
        <w:tc>
          <w:tcPr>
            <w:tcW w:w="2261" w:type="dxa"/>
            <w:gridSpan w:val="2"/>
            <w:noWrap w:val="0"/>
            <w:vAlign w:val="center"/>
          </w:tcPr>
          <w:p w14:paraId="079DC25C">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响应文件有效期</w:t>
            </w:r>
          </w:p>
        </w:tc>
        <w:tc>
          <w:tcPr>
            <w:tcW w:w="6689" w:type="dxa"/>
            <w:noWrap w:val="0"/>
            <w:vAlign w:val="center"/>
          </w:tcPr>
          <w:p w14:paraId="1778606F">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default" w:eastAsia="宋体"/>
                <w:color w:val="000000"/>
                <w:sz w:val="24"/>
                <w:szCs w:val="24"/>
                <w:highlight w:val="none"/>
                <w:lang w:val="en-US" w:eastAsia="zh-CN"/>
              </w:rPr>
            </w:pPr>
            <w:r>
              <w:rPr>
                <w:rFonts w:hint="eastAsia" w:cs="Times New Roman"/>
                <w:color w:val="000000"/>
                <w:sz w:val="24"/>
                <w:szCs w:val="24"/>
                <w:highlight w:val="none"/>
                <w:lang w:val="en-US" w:eastAsia="zh-CN"/>
              </w:rPr>
              <w:t>6</w:t>
            </w:r>
            <w:r>
              <w:rPr>
                <w:rFonts w:hint="eastAsia" w:ascii="Calibri" w:hAnsi="Calibri" w:eastAsia="宋体" w:cs="Times New Roman"/>
                <w:color w:val="000000"/>
                <w:sz w:val="24"/>
                <w:szCs w:val="24"/>
                <w:highlight w:val="none"/>
                <w:lang w:val="en-US" w:eastAsia="zh-CN"/>
              </w:rPr>
              <w:t>0日历天，从提交响应文件截止之日起算</w:t>
            </w:r>
          </w:p>
        </w:tc>
      </w:tr>
      <w:permEnd w:id="2"/>
      <w:tr w14:paraId="1A40D8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14:paraId="7B34499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3C1BC182">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响应保证金</w:t>
            </w:r>
          </w:p>
        </w:tc>
        <w:tc>
          <w:tcPr>
            <w:tcW w:w="6689" w:type="dxa"/>
            <w:noWrap w:val="0"/>
            <w:vAlign w:val="center"/>
          </w:tcPr>
          <w:p w14:paraId="71472C1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default"/>
                <w:color w:val="000000"/>
                <w:sz w:val="24"/>
                <w:szCs w:val="24"/>
                <w:highlight w:val="none"/>
                <w:lang w:val="en-US"/>
              </w:rPr>
            </w:pPr>
            <w:r>
              <w:rPr>
                <w:rFonts w:hint="eastAsia" w:cs="Times New Roman"/>
                <w:color w:val="000000"/>
                <w:sz w:val="24"/>
                <w:szCs w:val="24"/>
                <w:highlight w:val="none"/>
                <w:lang w:val="en-US" w:eastAsia="zh-CN"/>
              </w:rPr>
              <w:t>本项目无</w:t>
            </w:r>
          </w:p>
        </w:tc>
      </w:tr>
      <w:tr w14:paraId="0BE02C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noWrap w:val="0"/>
            <w:vAlign w:val="center"/>
          </w:tcPr>
          <w:p w14:paraId="71AB3E6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25E051E5">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依法设立的证明材料</w:t>
            </w:r>
          </w:p>
        </w:tc>
        <w:tc>
          <w:tcPr>
            <w:tcW w:w="6689" w:type="dxa"/>
            <w:noWrap w:val="0"/>
            <w:vAlign w:val="center"/>
          </w:tcPr>
          <w:p w14:paraId="04D1C843">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eastAsia="宋体"/>
                <w:color w:val="000000"/>
                <w:sz w:val="24"/>
                <w:szCs w:val="24"/>
                <w:highlight w:val="none"/>
                <w:lang w:eastAsia="zh-CN"/>
              </w:rPr>
            </w:pPr>
            <w:r>
              <w:rPr>
                <w:rFonts w:hint="eastAsia"/>
                <w:color w:val="000000"/>
                <w:sz w:val="24"/>
                <w:szCs w:val="24"/>
                <w:highlight w:val="none"/>
              </w:rPr>
              <w:t>供应商应提供市场监管部门或其他行政机关颁发的可以合法开展业务的执照或证书复印件</w:t>
            </w:r>
            <w:r>
              <w:rPr>
                <w:rFonts w:hint="eastAsia"/>
                <w:color w:val="000000"/>
                <w:sz w:val="24"/>
                <w:szCs w:val="24"/>
                <w:highlight w:val="none"/>
                <w:lang w:eastAsia="zh-CN"/>
              </w:rPr>
              <w:t>。</w:t>
            </w:r>
          </w:p>
        </w:tc>
      </w:tr>
      <w:tr w14:paraId="328E3F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8" w:type="dxa"/>
            <w:noWrap w:val="0"/>
            <w:vAlign w:val="center"/>
          </w:tcPr>
          <w:p w14:paraId="757039D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33F01DB7">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资质要求证明材料</w:t>
            </w:r>
          </w:p>
        </w:tc>
        <w:tc>
          <w:tcPr>
            <w:tcW w:w="6689" w:type="dxa"/>
            <w:noWrap w:val="0"/>
            <w:vAlign w:val="center"/>
          </w:tcPr>
          <w:p w14:paraId="416BFD58">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w:t>
            </w:r>
            <w:r>
              <w:rPr>
                <w:rFonts w:hint="eastAsia" w:ascii="Calibri" w:hAnsi="Calibri" w:eastAsia="宋体" w:cs="Times New Roman"/>
                <w:color w:val="000000"/>
                <w:kern w:val="2"/>
                <w:sz w:val="24"/>
                <w:szCs w:val="24"/>
                <w:highlight w:val="none"/>
                <w:lang w:val="en-US" w:eastAsia="zh-CN" w:bidi="ar-SA"/>
              </w:rPr>
              <w:t>不适用</w:t>
            </w:r>
          </w:p>
          <w:p w14:paraId="07284571">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default" w:ascii="Calibri" w:hAnsi="Calibri" w:eastAsia="宋体" w:cs="Times New Roman"/>
                <w:color w:val="000000"/>
                <w:kern w:val="2"/>
                <w:sz w:val="24"/>
                <w:szCs w:val="24"/>
                <w:highlight w:val="none"/>
                <w:lang w:val="en-US" w:eastAsia="zh-CN" w:bidi="ar-SA"/>
              </w:rPr>
            </w:pPr>
            <w:r>
              <w:rPr>
                <w:rFonts w:hint="eastAsia" w:ascii="Calibri" w:hAnsi="Calibri" w:eastAsia="宋体" w:cs="Times New Roman"/>
                <w:color w:val="000000"/>
                <w:kern w:val="2"/>
                <w:sz w:val="24"/>
                <w:szCs w:val="24"/>
                <w:highlight w:val="none"/>
                <w:lang w:val="en-US" w:eastAsia="zh-CN" w:bidi="ar-SA"/>
              </w:rPr>
              <w:t>□适用。供应商应提供相关资质证书副本的复印件，以证明供应商具有承担本项目要求的资质资质证书包括：</w:t>
            </w:r>
            <w:r>
              <w:rPr>
                <w:rFonts w:hint="eastAsia" w:cs="Times New Roman"/>
                <w:color w:val="000000"/>
                <w:kern w:val="2"/>
                <w:sz w:val="24"/>
                <w:szCs w:val="24"/>
                <w:highlight w:val="none"/>
                <w:lang w:val="en-US" w:eastAsia="zh-CN" w:bidi="ar-SA"/>
              </w:rPr>
              <w:t>/</w:t>
            </w:r>
          </w:p>
        </w:tc>
      </w:tr>
      <w:tr w14:paraId="789DD6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8" w:type="dxa"/>
            <w:noWrap w:val="0"/>
            <w:vAlign w:val="center"/>
          </w:tcPr>
          <w:p w14:paraId="6A1F8C7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112327E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财务要求证明材料</w:t>
            </w:r>
          </w:p>
        </w:tc>
        <w:tc>
          <w:tcPr>
            <w:tcW w:w="6689" w:type="dxa"/>
            <w:noWrap w:val="0"/>
            <w:vAlign w:val="center"/>
          </w:tcPr>
          <w:p w14:paraId="26E35540">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rPr>
              <w:t>不适用</w:t>
            </w:r>
          </w:p>
          <w:p w14:paraId="3B924A3F">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□适用。供应商应提供经会计师事务所或审 计机构审计的近年财务会计报表复印件，包括 资产负债表、现金流量表、利润表等。近年财 务会计报表年份是指：   至   年（供应商的 成立时间少于该规定年份的，应提供成立以来 的财务会计报表）</w:t>
            </w:r>
          </w:p>
          <w:p w14:paraId="5E7ECBCA">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□适用。供应商应提供近年财务会计报表复 印件，包括资产负债表、利润表。近年财务会 计报表年份是指：</w:t>
            </w:r>
            <w:r>
              <w:rPr>
                <w:rFonts w:hint="eastAsia"/>
                <w:color w:val="000000"/>
                <w:sz w:val="24"/>
                <w:szCs w:val="24"/>
                <w:highlight w:val="none"/>
                <w:u w:val="single"/>
              </w:rPr>
              <w:t xml:space="preserve">   至   年</w:t>
            </w:r>
            <w:r>
              <w:rPr>
                <w:rFonts w:hint="eastAsia"/>
                <w:color w:val="000000"/>
                <w:sz w:val="24"/>
                <w:szCs w:val="24"/>
                <w:highlight w:val="none"/>
              </w:rPr>
              <w:t>（供应商的成立 时 间少于该规定年份的，应提供成立以来的财 务会计报表）</w:t>
            </w:r>
          </w:p>
          <w:p w14:paraId="061A3234">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(注：有财务要求的，应选择两种财务会计 报表中的一种作为财务证明资料。）</w:t>
            </w:r>
          </w:p>
        </w:tc>
      </w:tr>
      <w:tr w14:paraId="2EE1AE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8" w:type="dxa"/>
            <w:noWrap w:val="0"/>
            <w:vAlign w:val="center"/>
          </w:tcPr>
          <w:p w14:paraId="66C613A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113B6BD3">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业绩要求证明材料</w:t>
            </w:r>
          </w:p>
        </w:tc>
        <w:tc>
          <w:tcPr>
            <w:tcW w:w="6689" w:type="dxa"/>
            <w:noWrap w:val="0"/>
            <w:vAlign w:val="center"/>
          </w:tcPr>
          <w:p w14:paraId="3E4B245C">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rPr>
              <w:t>不适用</w:t>
            </w:r>
          </w:p>
          <w:p w14:paraId="532111EB">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□适用。供应商应提供近年的类似项目情况 表(格式见第六章“响应文件格式” 七、资格 审查资料（三）近年的类似项目情况表），以证 明供应商具有承担本项目要求的业绩。近年是 指：</w:t>
            </w:r>
            <w:r>
              <w:rPr>
                <w:rFonts w:hint="eastAsia"/>
                <w:color w:val="000000"/>
                <w:sz w:val="24"/>
                <w:szCs w:val="24"/>
                <w:highlight w:val="none"/>
                <w:u w:val="single"/>
              </w:rPr>
              <w:t xml:space="preserve">   至   年</w:t>
            </w:r>
          </w:p>
          <w:p w14:paraId="6A2348C1">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业绩证明材料：</w:t>
            </w:r>
          </w:p>
          <w:p w14:paraId="3770F990">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□合同/订单</w:t>
            </w:r>
          </w:p>
          <w:p w14:paraId="1C5FC4CD">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□中标通知书/成交通知书</w:t>
            </w:r>
          </w:p>
          <w:p w14:paraId="125BCD0B">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□竣工验收报告/验收证明</w:t>
            </w:r>
          </w:p>
          <w:p w14:paraId="66CE283C">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□业主证明</w:t>
            </w:r>
          </w:p>
          <w:p w14:paraId="0F7E0960">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□其他材料：</w:t>
            </w:r>
          </w:p>
          <w:p w14:paraId="7FDCF92C">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业绩证明材料种类要求：</w:t>
            </w:r>
          </w:p>
          <w:p w14:paraId="4F256811">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□提供上述勾选的任一项证明材料即可</w:t>
            </w:r>
          </w:p>
          <w:p w14:paraId="2EDE5256">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□需同时提供上述勾选的所有证明材料</w:t>
            </w:r>
          </w:p>
          <w:p w14:paraId="740D164A">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default" w:eastAsia="宋体"/>
                <w:color w:val="000000"/>
                <w:sz w:val="24"/>
                <w:szCs w:val="24"/>
                <w:highlight w:val="none"/>
                <w:u w:val="single"/>
                <w:lang w:val="en-US" w:eastAsia="zh-CN"/>
              </w:rPr>
            </w:pPr>
            <w:r>
              <w:rPr>
                <w:rFonts w:hint="eastAsia"/>
                <w:color w:val="000000"/>
                <w:sz w:val="24"/>
                <w:szCs w:val="24"/>
                <w:highlight w:val="none"/>
              </w:rPr>
              <w:t>□其他要求：</w:t>
            </w:r>
            <w:r>
              <w:rPr>
                <w:rFonts w:hint="eastAsia"/>
                <w:color w:val="000000"/>
                <w:sz w:val="24"/>
                <w:szCs w:val="24"/>
                <w:highlight w:val="none"/>
                <w:u w:val="single"/>
                <w:lang w:val="en-US" w:eastAsia="zh-CN"/>
              </w:rPr>
              <w:t xml:space="preserve">           </w:t>
            </w:r>
          </w:p>
        </w:tc>
      </w:tr>
      <w:tr w14:paraId="3218AA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8" w:type="dxa"/>
            <w:noWrap w:val="0"/>
            <w:vAlign w:val="center"/>
          </w:tcPr>
          <w:p w14:paraId="7BC30C1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7B7DACF7">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信誉要求证明材料</w:t>
            </w:r>
          </w:p>
        </w:tc>
        <w:tc>
          <w:tcPr>
            <w:tcW w:w="6689" w:type="dxa"/>
            <w:noWrap w:val="0"/>
            <w:vAlign w:val="center"/>
          </w:tcPr>
          <w:p w14:paraId="62028EF3">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rPr>
              <w:t>不适用</w:t>
            </w:r>
          </w:p>
          <w:p w14:paraId="5C41DAA7">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default" w:eastAsia="宋体"/>
                <w:color w:val="000000"/>
                <w:sz w:val="24"/>
                <w:szCs w:val="24"/>
                <w:highlight w:val="none"/>
                <w:u w:val="single"/>
                <w:lang w:val="en-US" w:eastAsia="zh-CN"/>
              </w:rPr>
            </w:pPr>
            <w:r>
              <w:rPr>
                <w:rFonts w:hint="eastAsia"/>
                <w:color w:val="000000"/>
                <w:sz w:val="24"/>
                <w:szCs w:val="24"/>
                <w:highlight w:val="none"/>
                <w:lang w:eastAsia="zh-CN"/>
              </w:rPr>
              <w:t>☑</w:t>
            </w:r>
            <w:r>
              <w:rPr>
                <w:rFonts w:hint="eastAsia"/>
                <w:color w:val="000000"/>
                <w:sz w:val="24"/>
                <w:szCs w:val="24"/>
                <w:highlight w:val="none"/>
              </w:rPr>
              <w:t>适用。供应商应提供相关信誉情况的证明材料，包括</w:t>
            </w:r>
            <w:r>
              <w:rPr>
                <w:rFonts w:hint="eastAsia"/>
                <w:color w:val="000000"/>
                <w:sz w:val="24"/>
                <w:szCs w:val="24"/>
                <w:highlight w:val="none"/>
                <w:lang w:eastAsia="zh-CN"/>
              </w:rPr>
              <w:t>：</w:t>
            </w:r>
            <w:r>
              <w:rPr>
                <w:rFonts w:hint="eastAsia"/>
                <w:color w:val="000000"/>
                <w:sz w:val="24"/>
                <w:szCs w:val="24"/>
                <w:highlight w:val="none"/>
                <w:u w:val="single"/>
                <w:lang w:val="en-US" w:eastAsia="zh-CN"/>
              </w:rPr>
              <w:t xml:space="preserve">详见询比公告 </w:t>
            </w:r>
          </w:p>
        </w:tc>
      </w:tr>
      <w:tr w14:paraId="7CE68D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8" w:type="dxa"/>
            <w:noWrap w:val="0"/>
            <w:vAlign w:val="center"/>
          </w:tcPr>
          <w:p w14:paraId="7D95E63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ermStart w:id="3" w:edGrp="everyone" w:colFirst="2" w:colLast="2"/>
          </w:p>
        </w:tc>
        <w:tc>
          <w:tcPr>
            <w:tcW w:w="2261" w:type="dxa"/>
            <w:gridSpan w:val="2"/>
            <w:noWrap w:val="0"/>
            <w:vAlign w:val="center"/>
          </w:tcPr>
          <w:p w14:paraId="64F3D9B8">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承担本项目的主要人员要求 证明材料</w:t>
            </w:r>
          </w:p>
        </w:tc>
        <w:tc>
          <w:tcPr>
            <w:tcW w:w="6689" w:type="dxa"/>
            <w:noWrap w:val="0"/>
            <w:vAlign w:val="center"/>
          </w:tcPr>
          <w:p w14:paraId="2A8F2B5C">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rPr>
              <w:t>不适用</w:t>
            </w:r>
          </w:p>
          <w:p w14:paraId="4D8AE690">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□适用。供应商应提供拟委任的主要人员汇总表和主要人员简历表（格式见第六章“响应文件格式”</w:t>
            </w:r>
            <w:r>
              <w:rPr>
                <w:rFonts w:hint="eastAsia"/>
                <w:color w:val="000000"/>
                <w:sz w:val="24"/>
                <w:szCs w:val="24"/>
                <w:highlight w:val="none"/>
                <w:lang w:val="en-US" w:eastAsia="zh-CN"/>
              </w:rPr>
              <w:t>八</w:t>
            </w:r>
            <w:r>
              <w:rPr>
                <w:rFonts w:hint="eastAsia"/>
                <w:color w:val="000000"/>
                <w:sz w:val="24"/>
                <w:szCs w:val="24"/>
                <w:highlight w:val="none"/>
              </w:rPr>
              <w:t>、资格审查资料）。供应商应填报满足第一章“询比采购公告</w:t>
            </w:r>
            <w:r>
              <w:rPr>
                <w:rFonts w:hint="eastAsia"/>
                <w:color w:val="000000"/>
                <w:sz w:val="24"/>
                <w:szCs w:val="24"/>
                <w:highlight w:val="none"/>
                <w:lang w:val="en-US" w:eastAsia="zh-CN"/>
              </w:rPr>
              <w:t>或询</w:t>
            </w:r>
            <w:r>
              <w:rPr>
                <w:rFonts w:hint="eastAsia"/>
                <w:color w:val="000000"/>
                <w:sz w:val="24"/>
                <w:szCs w:val="24"/>
                <w:highlight w:val="none"/>
              </w:rPr>
              <w:t>比采购邀请书”规定的项目负责人和其他主要人员的相关信息，并按如下要求提供相关证明文件：</w:t>
            </w:r>
          </w:p>
          <w:p w14:paraId="107645FD">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eastAsia="宋体"/>
                <w:color w:val="000000"/>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rPr>
              <w:t>注：一般工程和服务项目有本项要求。采购人可在此处明确对有关人员职称证书、执业 证书、社保缴费证明及业绩证明等的具体要求。</w:t>
            </w:r>
            <w:r>
              <w:rPr>
                <w:rFonts w:hint="eastAsia"/>
                <w:color w:val="000000"/>
                <w:sz w:val="24"/>
                <w:szCs w:val="24"/>
                <w:highlight w:val="none"/>
                <w:lang w:eastAsia="zh-CN"/>
              </w:rPr>
              <w:t>）</w:t>
            </w:r>
          </w:p>
        </w:tc>
      </w:tr>
      <w:permEnd w:id="3"/>
      <w:tr w14:paraId="5F85F7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noWrap w:val="0"/>
            <w:vAlign w:val="center"/>
          </w:tcPr>
          <w:p w14:paraId="54A0671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72221087">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lang w:val="en-US" w:eastAsia="zh-CN"/>
              </w:rPr>
              <w:t>其他要求的证明材料</w:t>
            </w:r>
          </w:p>
        </w:tc>
        <w:tc>
          <w:tcPr>
            <w:tcW w:w="6689" w:type="dxa"/>
            <w:noWrap w:val="0"/>
            <w:vAlign w:val="center"/>
          </w:tcPr>
          <w:p w14:paraId="4C782C7A">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eastAsia="宋体"/>
                <w:color w:val="000000"/>
                <w:sz w:val="24"/>
                <w:szCs w:val="24"/>
                <w:highlight w:val="none"/>
                <w:lang w:val="en-US" w:eastAsia="zh-CN"/>
              </w:rPr>
            </w:pPr>
            <w:r>
              <w:rPr>
                <w:rFonts w:hint="eastAsia"/>
                <w:color w:val="000000"/>
                <w:sz w:val="24"/>
                <w:szCs w:val="24"/>
                <w:highlight w:val="none"/>
                <w:lang w:val="en-US" w:eastAsia="zh-CN"/>
              </w:rPr>
              <w:t>/</w:t>
            </w:r>
          </w:p>
        </w:tc>
      </w:tr>
      <w:tr w14:paraId="1A7788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4DBAE6F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755F902B">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lang w:val="zh-CN" w:eastAsia="zh-CN"/>
              </w:rPr>
            </w:pPr>
            <w:r>
              <w:rPr>
                <w:rFonts w:hint="eastAsia" w:ascii="Calibri" w:hAnsi="Calibri" w:eastAsia="宋体" w:cs="Times New Roman"/>
                <w:color w:val="000000"/>
                <w:sz w:val="24"/>
                <w:szCs w:val="24"/>
                <w:highlight w:val="none"/>
              </w:rPr>
              <w:t>联合体要求的证明材料</w:t>
            </w:r>
          </w:p>
        </w:tc>
        <w:tc>
          <w:tcPr>
            <w:tcW w:w="6689" w:type="dxa"/>
            <w:noWrap w:val="0"/>
            <w:vAlign w:val="center"/>
          </w:tcPr>
          <w:p w14:paraId="5FC64335">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lang w:bidi="he-IL"/>
              </w:rPr>
            </w:pPr>
            <w:r>
              <w:rPr>
                <w:rFonts w:hint="eastAsia"/>
                <w:color w:val="000000"/>
                <w:sz w:val="24"/>
                <w:szCs w:val="24"/>
                <w:highlight w:val="none"/>
                <w:lang w:eastAsia="zh-CN" w:bidi="he-IL"/>
              </w:rPr>
              <w:t>☑</w:t>
            </w:r>
            <w:r>
              <w:rPr>
                <w:rFonts w:hint="eastAsia"/>
                <w:color w:val="000000"/>
                <w:sz w:val="24"/>
                <w:szCs w:val="24"/>
                <w:highlight w:val="none"/>
                <w:lang w:bidi="he-IL"/>
              </w:rPr>
              <w:t>不适用</w:t>
            </w:r>
          </w:p>
          <w:p w14:paraId="7E9888F1">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kern w:val="2"/>
                <w:sz w:val="24"/>
                <w:szCs w:val="24"/>
                <w:highlight w:val="none"/>
                <w:lang w:val="zh-CN" w:eastAsia="zh-CN" w:bidi="he-IL"/>
              </w:rPr>
            </w:pPr>
            <w:r>
              <w:rPr>
                <w:rFonts w:hint="eastAsia"/>
                <w:color w:val="000000"/>
                <w:sz w:val="24"/>
                <w:szCs w:val="24"/>
                <w:highlight w:val="none"/>
                <w:lang w:bidi="he-IL"/>
              </w:rPr>
              <w:t>□适用。供应商应按照采购文件提供的格式 (格式见第六章“响应文件格式”联合体协 议书）拟订联合体协议书，并提供联合体协议 书的原件。联合体协议书应明确联合体各方的 分工</w:t>
            </w:r>
          </w:p>
        </w:tc>
      </w:tr>
      <w:tr w14:paraId="54958F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49809B7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4F10917F">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对关键条款进行响应的证据 或证明材料要求</w:t>
            </w:r>
          </w:p>
        </w:tc>
        <w:tc>
          <w:tcPr>
            <w:tcW w:w="6689" w:type="dxa"/>
            <w:noWrap w:val="0"/>
            <w:vAlign w:val="center"/>
          </w:tcPr>
          <w:p w14:paraId="78C9D622">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eastAsia="宋体"/>
                <w:color w:val="000000"/>
                <w:sz w:val="24"/>
                <w:szCs w:val="24"/>
                <w:highlight w:val="none"/>
                <w:lang w:val="en-US" w:eastAsia="zh-CN"/>
              </w:rPr>
            </w:pPr>
            <w:r>
              <w:rPr>
                <w:rFonts w:hint="eastAsia"/>
                <w:color w:val="000000"/>
                <w:sz w:val="24"/>
                <w:szCs w:val="24"/>
                <w:highlight w:val="none"/>
                <w:lang w:val="en-US" w:eastAsia="zh-CN"/>
              </w:rPr>
              <w:t>/</w:t>
            </w:r>
          </w:p>
        </w:tc>
      </w:tr>
      <w:tr w14:paraId="3FF8CB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1A38E43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4281DFC9">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响应文件份数及电子版 要求</w:t>
            </w:r>
          </w:p>
        </w:tc>
        <w:tc>
          <w:tcPr>
            <w:tcW w:w="6689" w:type="dxa"/>
            <w:noWrap w:val="0"/>
            <w:vAlign w:val="center"/>
          </w:tcPr>
          <w:p w14:paraId="61BA5ECB">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响应文件</w:t>
            </w:r>
            <w:r>
              <w:rPr>
                <w:rFonts w:hint="eastAsia"/>
                <w:color w:val="000000"/>
                <w:sz w:val="24"/>
                <w:szCs w:val="24"/>
                <w:highlight w:val="none"/>
                <w:lang w:val="en-US" w:eastAsia="zh-CN"/>
              </w:rPr>
              <w:t>正本1份，</w:t>
            </w:r>
            <w:r>
              <w:rPr>
                <w:rFonts w:hint="eastAsia"/>
                <w:color w:val="000000"/>
                <w:sz w:val="24"/>
                <w:szCs w:val="24"/>
                <w:highlight w:val="none"/>
              </w:rPr>
              <w:t>副本</w:t>
            </w:r>
            <w:r>
              <w:rPr>
                <w:rFonts w:hint="eastAsia"/>
                <w:color w:val="000000"/>
                <w:sz w:val="24"/>
                <w:szCs w:val="24"/>
                <w:highlight w:val="none"/>
                <w:lang w:val="en-US" w:eastAsia="zh-CN"/>
              </w:rPr>
              <w:t>2</w:t>
            </w:r>
            <w:r>
              <w:rPr>
                <w:rFonts w:hint="eastAsia"/>
                <w:color w:val="000000"/>
                <w:sz w:val="24"/>
                <w:szCs w:val="24"/>
                <w:highlight w:val="none"/>
              </w:rPr>
              <w:t>份</w:t>
            </w:r>
          </w:p>
          <w:p w14:paraId="54D93FDA">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是否要求提供电子版响应文件：</w:t>
            </w:r>
          </w:p>
          <w:p w14:paraId="469084C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rPr>
              <w:t>不要求</w:t>
            </w:r>
          </w:p>
          <w:p w14:paraId="494A27EC">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default"/>
                <w:color w:val="000000"/>
                <w:sz w:val="24"/>
                <w:szCs w:val="24"/>
                <w:highlight w:val="none"/>
                <w:u w:val="single"/>
                <w:lang w:val="en-US" w:eastAsia="zh-CN"/>
              </w:rPr>
            </w:pPr>
            <w:r>
              <w:rPr>
                <w:rFonts w:hint="eastAsia"/>
                <w:color w:val="000000"/>
                <w:sz w:val="24"/>
                <w:szCs w:val="24"/>
                <w:highlight w:val="none"/>
                <w:lang w:eastAsia="zh-CN"/>
              </w:rPr>
              <w:t>☑</w:t>
            </w:r>
            <w:r>
              <w:rPr>
                <w:rFonts w:hint="eastAsia"/>
                <w:color w:val="000000"/>
                <w:sz w:val="24"/>
                <w:szCs w:val="24"/>
                <w:highlight w:val="none"/>
              </w:rPr>
              <w:t>要求，提供电子版响应文件的形式：</w:t>
            </w:r>
            <w:r>
              <w:rPr>
                <w:rFonts w:hint="eastAsia"/>
                <w:color w:val="000000"/>
                <w:sz w:val="24"/>
                <w:szCs w:val="24"/>
                <w:highlight w:val="none"/>
                <w:u w:val="single"/>
                <w:lang w:val="en-US" w:eastAsia="zh-CN"/>
              </w:rPr>
              <w:t xml:space="preserve">    随响应文件正本封装或单独封装。电子版文件无需加盖单位公章。    </w:t>
            </w:r>
          </w:p>
        </w:tc>
      </w:tr>
      <w:tr w14:paraId="04A111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7F7DB49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5D074800">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分册装订要求</w:t>
            </w:r>
          </w:p>
        </w:tc>
        <w:tc>
          <w:tcPr>
            <w:tcW w:w="6689" w:type="dxa"/>
            <w:noWrap w:val="0"/>
            <w:vAlign w:val="center"/>
          </w:tcPr>
          <w:p w14:paraId="07970007">
            <w:pPr>
              <w:keepNext w:val="0"/>
              <w:keepLines w:val="0"/>
              <w:pageBreakBefore w:val="0"/>
              <w:tabs>
                <w:tab w:val="left" w:pos="0"/>
              </w:tabs>
              <w:kinsoku/>
              <w:wordWrap/>
              <w:overflowPunct/>
              <w:topLinePunct w:val="0"/>
              <w:autoSpaceDE/>
              <w:autoSpaceDN/>
              <w:bidi w:val="0"/>
              <w:adjustRightInd/>
              <w:snapToGrid/>
              <w:spacing w:line="400" w:lineRule="exact"/>
              <w:textAlignment w:val="auto"/>
              <w:rPr>
                <w:rFonts w:hint="eastAsia"/>
                <w:color w:val="000000"/>
                <w:sz w:val="24"/>
                <w:szCs w:val="24"/>
                <w:highlight w:val="none"/>
              </w:rPr>
            </w:pPr>
            <w:r>
              <w:rPr>
                <w:rFonts w:hint="eastAsia"/>
                <w:color w:val="000000"/>
                <w:sz w:val="24"/>
                <w:szCs w:val="24"/>
                <w:highlight w:val="none"/>
              </w:rPr>
              <w:t>（1）</w:t>
            </w:r>
            <w:r>
              <w:rPr>
                <w:rFonts w:hint="eastAsia" w:ascii="宋体" w:hAnsi="宋体"/>
                <w:b w:val="0"/>
                <w:bCs/>
                <w:color w:val="auto"/>
                <w:sz w:val="24"/>
                <w:szCs w:val="24"/>
              </w:rPr>
              <w:t>应文件</w:t>
            </w:r>
            <w:r>
              <w:rPr>
                <w:rFonts w:hint="eastAsia" w:ascii="宋体" w:hAnsi="宋体"/>
                <w:b w:val="0"/>
                <w:bCs/>
                <w:color w:val="auto"/>
                <w:sz w:val="24"/>
                <w:szCs w:val="24"/>
                <w:lang w:eastAsia="zh-CN"/>
              </w:rPr>
              <w:t>（纸质文件）提供</w:t>
            </w:r>
            <w:r>
              <w:rPr>
                <w:rFonts w:hint="eastAsia" w:ascii="宋体" w:hAnsi="宋体"/>
                <w:b w:val="0"/>
                <w:bCs/>
                <w:color w:val="auto"/>
                <w:sz w:val="24"/>
                <w:szCs w:val="24"/>
                <w:u w:val="single"/>
                <w:lang w:val="en-US" w:eastAsia="zh-CN"/>
              </w:rPr>
              <w:t xml:space="preserve"> 3</w:t>
            </w:r>
            <w:r>
              <w:rPr>
                <w:rFonts w:hint="eastAsia" w:ascii="宋体" w:hAnsi="宋体"/>
                <w:b w:val="0"/>
                <w:bCs/>
                <w:color w:val="auto"/>
                <w:sz w:val="24"/>
                <w:szCs w:val="24"/>
                <w:lang w:val="en-US" w:eastAsia="zh-CN"/>
              </w:rPr>
              <w:t>份，其中</w:t>
            </w:r>
            <w:r>
              <w:rPr>
                <w:rFonts w:hint="eastAsia" w:ascii="宋体" w:hAnsi="宋体" w:cs="Times New Roman"/>
                <w:b w:val="0"/>
                <w:bCs/>
                <w:color w:val="auto"/>
                <w:sz w:val="24"/>
                <w:szCs w:val="24"/>
                <w:lang w:eastAsia="zh-CN"/>
              </w:rPr>
              <w:t>正本1份，副本</w:t>
            </w:r>
            <w:r>
              <w:rPr>
                <w:rFonts w:hint="eastAsia" w:ascii="宋体" w:hAnsi="宋体" w:cs="Times New Roman"/>
                <w:b w:val="0"/>
                <w:bCs/>
                <w:color w:val="auto"/>
                <w:sz w:val="24"/>
                <w:szCs w:val="24"/>
                <w:lang w:val="en-US" w:eastAsia="zh-CN"/>
              </w:rPr>
              <w:t>2</w:t>
            </w:r>
            <w:r>
              <w:rPr>
                <w:rFonts w:hint="eastAsia" w:ascii="宋体" w:hAnsi="宋体" w:cs="Times New Roman"/>
                <w:b w:val="0"/>
                <w:bCs/>
                <w:color w:val="auto"/>
                <w:sz w:val="24"/>
                <w:szCs w:val="24"/>
                <w:lang w:eastAsia="zh-CN"/>
              </w:rPr>
              <w:t>份，</w:t>
            </w:r>
            <w:r>
              <w:rPr>
                <w:rFonts w:hint="eastAsia" w:ascii="宋体" w:hAnsi="宋体" w:cs="Arial"/>
                <w:color w:val="auto"/>
                <w:sz w:val="24"/>
                <w:szCs w:val="24"/>
              </w:rPr>
              <w:t>胶装装订</w:t>
            </w:r>
            <w:r>
              <w:rPr>
                <w:rFonts w:hint="eastAsia" w:ascii="宋体" w:hAnsi="宋体" w:cs="Arial"/>
                <w:color w:val="auto"/>
                <w:sz w:val="24"/>
                <w:szCs w:val="24"/>
                <w:lang w:eastAsia="zh-CN"/>
              </w:rPr>
              <w:t>，封面加盖公章。</w:t>
            </w:r>
            <w:r>
              <w:rPr>
                <w:rFonts w:hint="eastAsia" w:ascii="宋体" w:hAnsi="宋体" w:cs="Arial"/>
                <w:color w:val="auto"/>
                <w:sz w:val="24"/>
                <w:szCs w:val="24"/>
              </w:rPr>
              <w:t>密封封装</w:t>
            </w:r>
            <w:r>
              <w:rPr>
                <w:rFonts w:hint="eastAsia" w:ascii="宋体" w:hAnsi="宋体" w:cs="Arial"/>
                <w:color w:val="auto"/>
                <w:sz w:val="24"/>
                <w:szCs w:val="24"/>
                <w:lang w:eastAsia="zh-CN"/>
              </w:rPr>
              <w:t>在一个封套内，密</w:t>
            </w:r>
            <w:r>
              <w:rPr>
                <w:rFonts w:hint="eastAsia" w:ascii="宋体" w:hAnsi="宋体" w:cs="Arial"/>
                <w:color w:val="auto"/>
                <w:sz w:val="24"/>
                <w:szCs w:val="24"/>
              </w:rPr>
              <w:t>封袋上标明项目名称、项目编号、所投包号</w:t>
            </w:r>
            <w:r>
              <w:rPr>
                <w:rFonts w:hint="eastAsia" w:ascii="宋体" w:hAnsi="宋体" w:cs="Arial"/>
                <w:color w:val="auto"/>
                <w:sz w:val="24"/>
                <w:szCs w:val="24"/>
                <w:lang w:eastAsia="zh-CN"/>
              </w:rPr>
              <w:t>及包名</w:t>
            </w:r>
            <w:r>
              <w:rPr>
                <w:rFonts w:hint="eastAsia" w:ascii="宋体" w:hAnsi="宋体" w:cs="Arial"/>
                <w:color w:val="auto"/>
                <w:sz w:val="24"/>
                <w:szCs w:val="24"/>
              </w:rPr>
              <w:t>（如果项目分有多个包）、</w:t>
            </w:r>
            <w:r>
              <w:rPr>
                <w:rFonts w:hint="eastAsia" w:ascii="宋体" w:hAnsi="宋体" w:cs="Arial"/>
                <w:color w:val="auto"/>
                <w:sz w:val="24"/>
                <w:szCs w:val="24"/>
                <w:lang w:eastAsia="zh-CN"/>
              </w:rPr>
              <w:t>供应商</w:t>
            </w:r>
            <w:r>
              <w:rPr>
                <w:rFonts w:hint="eastAsia" w:ascii="宋体" w:hAnsi="宋体" w:cs="Arial"/>
                <w:color w:val="auto"/>
                <w:sz w:val="24"/>
                <w:szCs w:val="24"/>
              </w:rPr>
              <w:t>全称。</w:t>
            </w:r>
          </w:p>
          <w:p w14:paraId="7B6D0C48">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color w:val="000000"/>
                <w:sz w:val="24"/>
                <w:szCs w:val="24"/>
                <w:highlight w:val="none"/>
              </w:rPr>
            </w:pPr>
            <w:r>
              <w:rPr>
                <w:rFonts w:hint="eastAsia"/>
                <w:color w:val="000000"/>
                <w:sz w:val="24"/>
                <w:szCs w:val="24"/>
                <w:highlight w:val="none"/>
              </w:rPr>
              <w:t>（2）电子版响应文件单独封装。</w:t>
            </w:r>
          </w:p>
          <w:p w14:paraId="27A6541A">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color w:val="000000"/>
                <w:sz w:val="24"/>
                <w:szCs w:val="24"/>
                <w:highlight w:val="none"/>
              </w:rPr>
            </w:pPr>
            <w:r>
              <w:rPr>
                <w:rFonts w:hint="eastAsia"/>
                <w:color w:val="000000"/>
                <w:sz w:val="24"/>
                <w:szCs w:val="24"/>
                <w:highlight w:val="none"/>
              </w:rPr>
              <w:t>（</w:t>
            </w:r>
            <w:r>
              <w:rPr>
                <w:rFonts w:hint="eastAsia"/>
                <w:color w:val="000000"/>
                <w:sz w:val="24"/>
                <w:szCs w:val="24"/>
                <w:highlight w:val="none"/>
                <w:lang w:val="en-US" w:eastAsia="zh-CN"/>
              </w:rPr>
              <w:t>3</w:t>
            </w:r>
            <w:r>
              <w:rPr>
                <w:rFonts w:hint="eastAsia"/>
                <w:color w:val="000000"/>
                <w:sz w:val="24"/>
                <w:szCs w:val="24"/>
                <w:highlight w:val="none"/>
              </w:rPr>
              <w:t>）如果响应文件没有按照本</w:t>
            </w:r>
            <w:r>
              <w:rPr>
                <w:rFonts w:hint="eastAsia"/>
                <w:color w:val="000000"/>
                <w:sz w:val="24"/>
                <w:szCs w:val="24"/>
                <w:highlight w:val="none"/>
                <w:lang w:val="en-US" w:eastAsia="zh-CN"/>
              </w:rPr>
              <w:t>询比</w:t>
            </w:r>
            <w:r>
              <w:rPr>
                <w:rFonts w:hint="eastAsia"/>
                <w:color w:val="000000"/>
                <w:sz w:val="24"/>
                <w:szCs w:val="24"/>
                <w:highlight w:val="none"/>
              </w:rPr>
              <w:t>文件规定装订并密封，采购人有权将其响应文件交由评标委员会做无效标处理。</w:t>
            </w:r>
          </w:p>
          <w:p w14:paraId="07ED8782">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color w:val="000000"/>
                <w:sz w:val="24"/>
                <w:szCs w:val="24"/>
                <w:highlight w:val="none"/>
              </w:rPr>
            </w:pPr>
            <w:r>
              <w:rPr>
                <w:rFonts w:hint="eastAsia"/>
                <w:color w:val="000000"/>
                <w:sz w:val="24"/>
                <w:szCs w:val="24"/>
                <w:highlight w:val="none"/>
              </w:rPr>
              <w:t>（</w:t>
            </w:r>
            <w:r>
              <w:rPr>
                <w:rFonts w:hint="eastAsia"/>
                <w:color w:val="000000"/>
                <w:sz w:val="24"/>
                <w:szCs w:val="24"/>
                <w:highlight w:val="none"/>
                <w:lang w:val="en-US" w:eastAsia="zh-CN"/>
              </w:rPr>
              <w:t>4</w:t>
            </w:r>
            <w:r>
              <w:rPr>
                <w:rFonts w:hint="eastAsia"/>
                <w:color w:val="000000"/>
                <w:sz w:val="24"/>
                <w:szCs w:val="24"/>
                <w:highlight w:val="none"/>
              </w:rPr>
              <w:t>）如响应文件较厚，可以分册装订。</w:t>
            </w:r>
          </w:p>
          <w:p w14:paraId="24B40E28">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color w:val="000000"/>
                <w:sz w:val="24"/>
                <w:szCs w:val="24"/>
                <w:highlight w:val="none"/>
              </w:rPr>
            </w:pPr>
            <w:r>
              <w:rPr>
                <w:rFonts w:hint="eastAsia"/>
                <w:color w:val="000000"/>
                <w:sz w:val="24"/>
                <w:szCs w:val="24"/>
                <w:highlight w:val="none"/>
              </w:rPr>
              <w:t>（</w:t>
            </w:r>
            <w:r>
              <w:rPr>
                <w:rFonts w:hint="eastAsia"/>
                <w:color w:val="000000"/>
                <w:sz w:val="24"/>
                <w:szCs w:val="24"/>
                <w:highlight w:val="none"/>
                <w:lang w:val="en-US" w:eastAsia="zh-CN"/>
              </w:rPr>
              <w:t>5</w:t>
            </w:r>
            <w:r>
              <w:rPr>
                <w:rFonts w:hint="eastAsia"/>
                <w:color w:val="000000"/>
                <w:sz w:val="24"/>
                <w:szCs w:val="24"/>
                <w:highlight w:val="none"/>
              </w:rPr>
              <w:t>）建议响应文件采用左侧胶装的方式装订。</w:t>
            </w:r>
          </w:p>
        </w:tc>
      </w:tr>
      <w:tr w14:paraId="5AD99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2B56BD5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465B023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封套上应载明的信息</w:t>
            </w:r>
          </w:p>
        </w:tc>
        <w:tc>
          <w:tcPr>
            <w:tcW w:w="6689" w:type="dxa"/>
            <w:noWrap w:val="0"/>
            <w:vAlign w:val="center"/>
          </w:tcPr>
          <w:p w14:paraId="63886B92">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Calibri" w:hAnsi="Calibri" w:eastAsia="宋体" w:cs="Times New Roman"/>
                <w:color w:val="auto"/>
                <w:sz w:val="24"/>
                <w:szCs w:val="24"/>
                <w:highlight w:val="none"/>
                <w:u w:val="single"/>
                <w:lang w:val="en-US" w:eastAsia="zh-CN"/>
              </w:rPr>
            </w:pPr>
            <w:r>
              <w:rPr>
                <w:rFonts w:hint="eastAsia" w:cs="Times New Roman"/>
                <w:color w:val="000000"/>
                <w:sz w:val="24"/>
                <w:szCs w:val="24"/>
                <w:highlight w:val="none"/>
                <w:u w:val="single"/>
                <w:lang w:val="en-US" w:eastAsia="zh-CN"/>
              </w:rPr>
              <w:t>皖北卫生职业学院小报告厅改造项目</w:t>
            </w:r>
            <w:r>
              <w:rPr>
                <w:rFonts w:hint="eastAsia" w:ascii="Calibri" w:hAnsi="Calibri" w:eastAsia="宋体" w:cs="Times New Roman"/>
                <w:color w:val="auto"/>
                <w:sz w:val="24"/>
                <w:szCs w:val="24"/>
                <w:highlight w:val="none"/>
                <w:u w:val="single"/>
                <w:lang w:val="en-US" w:eastAsia="zh-CN"/>
              </w:rPr>
              <w:t>响应文件</w:t>
            </w:r>
          </w:p>
          <w:p w14:paraId="68B38547">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Calibri" w:hAnsi="Calibri" w:eastAsia="宋体" w:cs="Times New Roman"/>
                <w:color w:val="000000"/>
                <w:sz w:val="24"/>
                <w:szCs w:val="24"/>
                <w:highlight w:val="none"/>
                <w:u w:val="single"/>
                <w:lang w:val="en-US" w:eastAsia="zh-CN"/>
              </w:rPr>
            </w:pPr>
            <w:r>
              <w:rPr>
                <w:rFonts w:hint="eastAsia" w:ascii="Calibri" w:hAnsi="Calibri" w:eastAsia="宋体" w:cs="Times New Roman"/>
                <w:color w:val="auto"/>
                <w:sz w:val="24"/>
                <w:szCs w:val="24"/>
                <w:highlight w:val="none"/>
                <w:u w:val="single"/>
                <w:lang w:val="en-US" w:eastAsia="zh-CN"/>
              </w:rPr>
              <w:t>注明：在    年    月   日   时   分前不得</w:t>
            </w:r>
            <w:r>
              <w:rPr>
                <w:rFonts w:hint="eastAsia" w:ascii="Calibri" w:hAnsi="Calibri" w:eastAsia="宋体" w:cs="Times New Roman"/>
                <w:color w:val="000000"/>
                <w:sz w:val="24"/>
                <w:szCs w:val="24"/>
                <w:highlight w:val="none"/>
                <w:u w:val="single"/>
                <w:lang w:val="en-US" w:eastAsia="zh-CN"/>
              </w:rPr>
              <w:t>开启（注：本处与响应截止时间一致）</w:t>
            </w:r>
          </w:p>
          <w:p w14:paraId="3705E23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Calibri" w:hAnsi="Calibri" w:eastAsia="宋体" w:cs="Times New Roman"/>
                <w:color w:val="000000"/>
                <w:sz w:val="24"/>
                <w:szCs w:val="24"/>
                <w:highlight w:val="none"/>
                <w:u w:val="single"/>
                <w:lang w:val="en-US" w:eastAsia="zh-CN"/>
              </w:rPr>
            </w:pPr>
            <w:r>
              <w:rPr>
                <w:rFonts w:hint="eastAsia" w:ascii="Calibri" w:hAnsi="Calibri" w:eastAsia="宋体" w:cs="Times New Roman"/>
                <w:color w:val="000000"/>
                <w:sz w:val="24"/>
                <w:szCs w:val="24"/>
                <w:highlight w:val="none"/>
                <w:u w:val="single"/>
                <w:lang w:val="en-US" w:eastAsia="zh-CN"/>
              </w:rPr>
              <w:t>采购人名称：</w:t>
            </w:r>
            <w:r>
              <w:rPr>
                <w:rFonts w:hint="eastAsia" w:cs="Times New Roman"/>
                <w:color w:val="000000"/>
                <w:sz w:val="24"/>
                <w:szCs w:val="24"/>
                <w:highlight w:val="none"/>
                <w:u w:val="single"/>
                <w:lang w:val="en-US" w:eastAsia="zh-CN"/>
              </w:rPr>
              <w:t>皖北卫生职业学院</w:t>
            </w:r>
            <w:r>
              <w:rPr>
                <w:rFonts w:hint="eastAsia" w:ascii="Calibri" w:hAnsi="Calibri" w:eastAsia="宋体" w:cs="Times New Roman"/>
                <w:color w:val="000000"/>
                <w:sz w:val="24"/>
                <w:szCs w:val="24"/>
                <w:highlight w:val="none"/>
                <w:u w:val="single"/>
                <w:lang w:val="en-US" w:eastAsia="zh-CN"/>
              </w:rPr>
              <w:t xml:space="preserve"> </w:t>
            </w:r>
          </w:p>
          <w:p w14:paraId="15F9B942">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宋体" w:hAnsi="宋体" w:eastAsia="宋体" w:cs="Times New Roman"/>
                <w:b/>
                <w:color w:val="auto"/>
                <w:kern w:val="2"/>
                <w:sz w:val="24"/>
                <w:szCs w:val="24"/>
                <w:highlight w:val="none"/>
                <w:lang w:val="zh-CN" w:eastAsia="zh-CN" w:bidi="ar-SA"/>
              </w:rPr>
            </w:pPr>
            <w:r>
              <w:rPr>
                <w:rFonts w:hint="eastAsia" w:ascii="Calibri" w:hAnsi="Calibri" w:eastAsia="宋体" w:cs="Times New Roman"/>
                <w:color w:val="000000"/>
                <w:sz w:val="24"/>
                <w:szCs w:val="24"/>
                <w:highlight w:val="none"/>
                <w:u w:val="single"/>
                <w:lang w:val="en-US" w:eastAsia="zh-CN"/>
              </w:rPr>
              <w:t xml:space="preserve">供应商名称：           </w:t>
            </w:r>
          </w:p>
        </w:tc>
      </w:tr>
      <w:tr w14:paraId="4385E2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323259F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496A9F22">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lang w:val="zh-CN" w:eastAsia="zh-CN"/>
              </w:rPr>
            </w:pPr>
            <w:r>
              <w:rPr>
                <w:rFonts w:hint="eastAsia" w:ascii="Calibri" w:hAnsi="Calibri" w:eastAsia="宋体" w:cs="Times New Roman"/>
                <w:color w:val="000000"/>
                <w:sz w:val="24"/>
                <w:szCs w:val="24"/>
                <w:highlight w:val="none"/>
                <w:lang w:eastAsia="zh-CN"/>
              </w:rPr>
              <w:t>递交响应文件的</w:t>
            </w:r>
            <w:r>
              <w:rPr>
                <w:rFonts w:hint="eastAsia" w:ascii="Calibri" w:hAnsi="Calibri" w:eastAsia="宋体" w:cs="Times New Roman"/>
                <w:color w:val="000000"/>
                <w:sz w:val="24"/>
                <w:szCs w:val="24"/>
                <w:highlight w:val="none"/>
                <w:lang w:val="en-US" w:eastAsia="zh-CN"/>
              </w:rPr>
              <w:t>时间和</w:t>
            </w:r>
            <w:r>
              <w:rPr>
                <w:rFonts w:hint="eastAsia" w:ascii="Calibri" w:hAnsi="Calibri" w:eastAsia="宋体" w:cs="Times New Roman"/>
                <w:color w:val="000000"/>
                <w:sz w:val="24"/>
                <w:szCs w:val="24"/>
                <w:highlight w:val="none"/>
                <w:lang w:eastAsia="zh-CN"/>
              </w:rPr>
              <w:t>地点</w:t>
            </w:r>
          </w:p>
        </w:tc>
        <w:tc>
          <w:tcPr>
            <w:tcW w:w="6689" w:type="dxa"/>
            <w:noWrap w:val="0"/>
            <w:vAlign w:val="center"/>
          </w:tcPr>
          <w:p w14:paraId="317F59A0">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themeColor="text1"/>
                <w:sz w:val="24"/>
                <w:szCs w:val="24"/>
                <w:highlight w:val="none"/>
                <w:u w:val="single"/>
                <w:lang w:val="en-US" w:eastAsia="zh-CN"/>
                <w14:textFill>
                  <w14:solidFill>
                    <w14:schemeClr w14:val="tx1"/>
                  </w14:solidFill>
                </w14:textFill>
              </w:rPr>
            </w:pPr>
            <w:r>
              <w:rPr>
                <w:rFonts w:hint="eastAsia" w:ascii="Calibri" w:hAnsi="Calibri" w:eastAsia="宋体" w:cs="Times New Roman"/>
                <w:color w:val="auto"/>
                <w:sz w:val="24"/>
                <w:szCs w:val="24"/>
                <w:highlight w:val="none"/>
                <w:lang w:val="en-US" w:eastAsia="zh-CN"/>
              </w:rPr>
              <w:t>时</w:t>
            </w: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间</w:t>
            </w:r>
            <w:r>
              <w:rPr>
                <w:rFonts w:hint="eastAsia" w:ascii="Calibri" w:hAnsi="Calibri" w:eastAsia="宋体" w:cs="Times New Roman"/>
                <w:color w:val="000000" w:themeColor="text1"/>
                <w:sz w:val="24"/>
                <w:szCs w:val="24"/>
                <w:highlight w:val="none"/>
                <w:u w:val="single"/>
                <w:lang w:val="en-US" w:eastAsia="zh-CN"/>
                <w14:textFill>
                  <w14:solidFill>
                    <w14:schemeClr w14:val="tx1"/>
                  </w14:solidFill>
                </w14:textFill>
              </w:rPr>
              <w:t>：2025年</w:t>
            </w:r>
            <w:r>
              <w:rPr>
                <w:rFonts w:hint="eastAsia" w:cs="Times New Roman"/>
                <w:color w:val="000000" w:themeColor="text1"/>
                <w:sz w:val="24"/>
                <w:szCs w:val="24"/>
                <w:highlight w:val="none"/>
                <w:u w:val="single"/>
                <w:lang w:val="en-US" w:eastAsia="zh-CN"/>
                <w14:textFill>
                  <w14:solidFill>
                    <w14:schemeClr w14:val="tx1"/>
                  </w14:solidFill>
                </w14:textFill>
              </w:rPr>
              <w:t>0</w:t>
            </w:r>
            <w:r>
              <w:rPr>
                <w:rFonts w:hint="eastAsia" w:ascii="Calibri" w:hAnsi="Calibri" w:eastAsia="宋体" w:cs="Times New Roman"/>
                <w:color w:val="000000" w:themeColor="text1"/>
                <w:sz w:val="24"/>
                <w:szCs w:val="24"/>
                <w:highlight w:val="none"/>
                <w:u w:val="single"/>
                <w:lang w:val="en-US" w:eastAsia="zh-CN"/>
                <w14:textFill>
                  <w14:solidFill>
                    <w14:schemeClr w14:val="tx1"/>
                  </w14:solidFill>
                </w14:textFill>
              </w:rPr>
              <w:t xml:space="preserve">5 月 </w:t>
            </w:r>
            <w:r>
              <w:rPr>
                <w:rFonts w:hint="eastAsia" w:cs="Times New Roman"/>
                <w:color w:val="000000" w:themeColor="text1"/>
                <w:sz w:val="24"/>
                <w:szCs w:val="24"/>
                <w:highlight w:val="none"/>
                <w:u w:val="single"/>
                <w:lang w:val="en-US" w:eastAsia="zh-CN"/>
                <w14:textFill>
                  <w14:solidFill>
                    <w14:schemeClr w14:val="tx1"/>
                  </w14:solidFill>
                </w14:textFill>
              </w:rPr>
              <w:t>16</w:t>
            </w:r>
            <w:bookmarkStart w:id="127" w:name="_GoBack"/>
            <w:bookmarkEnd w:id="127"/>
            <w:r>
              <w:rPr>
                <w:rFonts w:hint="eastAsia" w:ascii="Calibri" w:hAnsi="Calibri" w:eastAsia="宋体" w:cs="Times New Roman"/>
                <w:color w:val="000000" w:themeColor="text1"/>
                <w:sz w:val="24"/>
                <w:szCs w:val="24"/>
                <w:highlight w:val="none"/>
                <w:u w:val="single"/>
                <w:lang w:val="en-US" w:eastAsia="zh-CN"/>
                <w14:textFill>
                  <w14:solidFill>
                    <w14:schemeClr w14:val="tx1"/>
                  </w14:solidFill>
                </w14:textFill>
              </w:rPr>
              <w:t xml:space="preserve"> 日15时00分 </w:t>
            </w:r>
          </w:p>
          <w:p w14:paraId="73BFADDB">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地点：</w:t>
            </w:r>
            <w:r>
              <w:rPr>
                <w:rFonts w:hint="eastAsia" w:ascii="Calibri" w:hAnsi="Calibri" w:eastAsia="宋体" w:cs="Times New Roman"/>
                <w:color w:val="000000" w:themeColor="text1"/>
                <w:sz w:val="24"/>
                <w:szCs w:val="24"/>
                <w:highlight w:val="none"/>
                <w:u w:val="single"/>
                <w:lang w:val="en-US" w:eastAsia="zh-CN"/>
                <w14:textFill>
                  <w14:solidFill>
                    <w14:schemeClr w14:val="tx1"/>
                  </w14:solidFill>
                </w14:textFill>
              </w:rPr>
              <w:t>皖北卫生职业学院图书馆3楼录播室</w:t>
            </w:r>
          </w:p>
        </w:tc>
      </w:tr>
      <w:tr w14:paraId="2F8E47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68E9B94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3259E932">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是否退还响应文件</w:t>
            </w:r>
          </w:p>
        </w:tc>
        <w:tc>
          <w:tcPr>
            <w:tcW w:w="6689" w:type="dxa"/>
            <w:noWrap w:val="0"/>
            <w:vAlign w:val="center"/>
          </w:tcPr>
          <w:p w14:paraId="34D3C87A">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rPr>
              <w:t>否</w:t>
            </w:r>
          </w:p>
          <w:p w14:paraId="173820FC">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default" w:eastAsia="宋体"/>
                <w:color w:val="000000"/>
                <w:sz w:val="24"/>
                <w:szCs w:val="24"/>
                <w:highlight w:val="none"/>
                <w:u w:val="single"/>
                <w:lang w:val="en-US" w:eastAsia="zh-CN"/>
              </w:rPr>
            </w:pPr>
            <w:r>
              <w:rPr>
                <w:rFonts w:hint="eastAsia"/>
                <w:color w:val="000000"/>
                <w:sz w:val="24"/>
                <w:szCs w:val="24"/>
                <w:highlight w:val="none"/>
              </w:rPr>
              <w:t>□是，退还时间</w:t>
            </w:r>
            <w:r>
              <w:rPr>
                <w:rFonts w:hint="eastAsia"/>
                <w:color w:val="000000"/>
                <w:sz w:val="24"/>
                <w:szCs w:val="24"/>
                <w:highlight w:val="none"/>
                <w:lang w:eastAsia="zh-CN"/>
              </w:rPr>
              <w:t>：</w:t>
            </w:r>
            <w:r>
              <w:rPr>
                <w:rFonts w:hint="eastAsia"/>
                <w:color w:val="000000"/>
                <w:sz w:val="24"/>
                <w:szCs w:val="24"/>
                <w:highlight w:val="none"/>
                <w:u w:val="single"/>
                <w:lang w:val="en-US" w:eastAsia="zh-CN"/>
              </w:rPr>
              <w:t xml:space="preserve">           </w:t>
            </w:r>
          </w:p>
        </w:tc>
      </w:tr>
      <w:tr w14:paraId="200EA9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35EE0D7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40F1D65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供应商撤回响应文件情况下退还响应保证金的时间</w:t>
            </w:r>
          </w:p>
        </w:tc>
        <w:tc>
          <w:tcPr>
            <w:tcW w:w="6689" w:type="dxa"/>
            <w:noWrap w:val="0"/>
            <w:vAlign w:val="center"/>
          </w:tcPr>
          <w:p w14:paraId="1C6FFC0B">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自采购人收到供应商递交的书面通知之日起</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w:t>
            </w:r>
            <w:r>
              <w:rPr>
                <w:rFonts w:hint="eastAsia"/>
                <w:color w:val="000000"/>
                <w:sz w:val="24"/>
                <w:szCs w:val="24"/>
                <w:highlight w:val="none"/>
                <w:lang w:val="en-US" w:eastAsia="zh-CN"/>
              </w:rPr>
              <w:t>工作日</w:t>
            </w:r>
            <w:r>
              <w:rPr>
                <w:rFonts w:hint="eastAsia"/>
                <w:color w:val="000000"/>
                <w:sz w:val="24"/>
                <w:szCs w:val="24"/>
                <w:highlight w:val="none"/>
              </w:rPr>
              <w:t>内</w:t>
            </w:r>
          </w:p>
        </w:tc>
      </w:tr>
      <w:tr w14:paraId="504EBA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2F465F6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52CCA333">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lang w:val="en-US" w:eastAsia="zh-CN"/>
              </w:rPr>
              <w:t>开启程序</w:t>
            </w:r>
          </w:p>
        </w:tc>
        <w:tc>
          <w:tcPr>
            <w:tcW w:w="6689" w:type="dxa"/>
            <w:noWrap w:val="0"/>
            <w:vAlign w:val="center"/>
          </w:tcPr>
          <w:p w14:paraId="42A30513">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密封情况检查：由各供应商授权代表检查</w:t>
            </w:r>
          </w:p>
          <w:p w14:paraId="3EFE0773">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ascii="Calibri" w:hAnsi="Calibri" w:eastAsia="宋体" w:cs="Times New Roman"/>
                <w:color w:val="000000"/>
                <w:sz w:val="24"/>
                <w:szCs w:val="24"/>
                <w:highlight w:val="none"/>
                <w:lang w:val="en-US" w:eastAsia="zh-CN"/>
              </w:rPr>
              <w:t>开启顺序：递交响应文件的先后递交顺序</w:t>
            </w:r>
          </w:p>
        </w:tc>
      </w:tr>
      <w:tr w14:paraId="7C200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2449AC1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4B5F1FF9">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lang w:val="zh-CN" w:eastAsia="zh-CN"/>
              </w:rPr>
            </w:pPr>
            <w:r>
              <w:rPr>
                <w:rFonts w:hint="eastAsia" w:ascii="Calibri" w:hAnsi="Calibri" w:eastAsia="宋体" w:cs="Times New Roman"/>
                <w:color w:val="000000"/>
                <w:sz w:val="24"/>
                <w:szCs w:val="24"/>
                <w:highlight w:val="none"/>
              </w:rPr>
              <w:t>成交供应商的数量</w:t>
            </w:r>
          </w:p>
        </w:tc>
        <w:tc>
          <w:tcPr>
            <w:tcW w:w="6689" w:type="dxa"/>
            <w:noWrap w:val="0"/>
            <w:vAlign w:val="center"/>
          </w:tcPr>
          <w:p w14:paraId="59FA8127">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Arial"/>
                <w:b w:val="0"/>
                <w:bCs/>
                <w:color w:val="auto"/>
                <w:kern w:val="0"/>
                <w:sz w:val="24"/>
                <w:szCs w:val="24"/>
                <w:highlight w:val="none"/>
                <w:u w:val="single"/>
                <w:lang w:val="en-US" w:eastAsia="zh-CN" w:bidi="ar-SA"/>
              </w:rPr>
            </w:pPr>
            <w:r>
              <w:rPr>
                <w:rFonts w:hint="eastAsia" w:ascii="宋体" w:hAnsi="宋体" w:cs="Arial"/>
                <w:b w:val="0"/>
                <w:bCs/>
                <w:color w:val="auto"/>
                <w:sz w:val="24"/>
                <w:szCs w:val="24"/>
                <w:highlight w:val="none"/>
                <w:lang w:val="en-US" w:eastAsia="zh-CN"/>
              </w:rPr>
              <w:t>数量：</w:t>
            </w:r>
            <w:r>
              <w:rPr>
                <w:rFonts w:hint="eastAsia" w:ascii="宋体" w:hAnsi="宋体" w:cs="Arial"/>
                <w:b w:val="0"/>
                <w:bCs/>
                <w:color w:val="auto"/>
                <w:sz w:val="24"/>
                <w:szCs w:val="24"/>
                <w:highlight w:val="none"/>
                <w:u w:val="single"/>
                <w:lang w:val="en-US" w:eastAsia="zh-CN"/>
              </w:rPr>
              <w:t xml:space="preserve">   1个      </w:t>
            </w:r>
          </w:p>
        </w:tc>
      </w:tr>
      <w:tr w14:paraId="3E2AFF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0A71E41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0A67461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Calibri" w:hAnsi="Calibri" w:eastAsia="宋体" w:cs="Times New Roman"/>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（适用于工程施工类项目）</w:t>
            </w:r>
          </w:p>
        </w:tc>
        <w:tc>
          <w:tcPr>
            <w:tcW w:w="6689" w:type="dxa"/>
            <w:noWrap w:val="0"/>
            <w:vAlign w:val="center"/>
          </w:tcPr>
          <w:p w14:paraId="5149F42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根据宿州市根治拖欠农民工工资工作领导小组办公室《关于落实农民工工资专用账户管理有关规定的通知》（宿治欠办〔2020〕15号）及安徽省人力资源和社会保障厅等9部门《贯彻落实〈工程建设领域农民工工资专用账户管理暂行办法〉的通知》（皖人社发〔2022〕5号）文件要求，投标单位中标后必须依法设立农民工工资专用账户，专项用于支付该工程建设项目农民工工资，未按规定设立的，取消中标资格。</w:t>
            </w:r>
          </w:p>
          <w:p w14:paraId="3A39A10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根据安徽省人力资源和社会保障厅等8部门《关于印发〈安徽省工程建设领域农民工工资保证金实施办法〉的通知》（皖人社发〔2022〕8号）及《关于进一步落实农民工工资保证金三方监管工作的通知》（宿人社秘〔2021〕229号）要求，施工总承包单位须到人社部门办理农民工工资保证金手续，如未按规定办理的，将视为放弃中标资格，没收其投标保证金。 </w:t>
            </w:r>
          </w:p>
          <w:p w14:paraId="2AC353E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农民工工资保证金差异化缴存参照《关于进一步完善工程建设领域农民工工资保证金制度的通知》（皖人社秘〔2019〕12号）及《关于进一步落实农民工工资保证金三方监管工作的通知》（宿人社秘〔2021〕229号）文件执行。</w:t>
            </w:r>
          </w:p>
          <w:p w14:paraId="4B8F151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办理部门：宿州市劳动保障监察综合执法支队</w:t>
            </w:r>
          </w:p>
          <w:p w14:paraId="086688A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地点：南翔云集10号楼宿州市公共人力资源服务中心521室</w:t>
            </w:r>
          </w:p>
          <w:p w14:paraId="7D9EC63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联系人：王蓓蕾</w:t>
            </w:r>
          </w:p>
          <w:p w14:paraId="6417C2A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联系电话：0557-3052082</w:t>
            </w:r>
          </w:p>
          <w:p w14:paraId="1917BB7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eastAsia="宋体"/>
                <w:color w:val="000000" w:themeColor="text1"/>
                <w:sz w:val="24"/>
                <w:szCs w:val="24"/>
                <w:highlight w:val="none"/>
                <w:lang w:val="en-US" w:eastAsia="zh-CN"/>
                <w14:textFill>
                  <w14:solidFill>
                    <w14:schemeClr w14:val="tx1"/>
                  </w14:solidFill>
                </w14:textFill>
              </w:rPr>
            </w:pPr>
            <w:r>
              <w:rPr>
                <w:rFonts w:hint="eastAsia" w:ascii="Calibri" w:hAnsi="Calibri"/>
                <w:color w:val="000000" w:themeColor="text1"/>
                <w:sz w:val="24"/>
                <w:szCs w:val="24"/>
                <w14:textFill>
                  <w14:solidFill>
                    <w14:schemeClr w14:val="tx1"/>
                  </w14:solidFill>
                </w14:textFill>
              </w:rPr>
              <w:t>注：该项适用于工程施工类项目</w:t>
            </w:r>
          </w:p>
        </w:tc>
      </w:tr>
      <w:tr w14:paraId="105843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56DD21B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46B42276">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Calibri" w:hAnsi="Calibri" w:eastAsia="宋体" w:cs="Times New Roman"/>
                <w:color w:val="000000"/>
                <w:sz w:val="24"/>
                <w:szCs w:val="24"/>
                <w:highlight w:val="none"/>
                <w:lang w:val="zh-CN" w:eastAsia="zh-CN"/>
              </w:rPr>
            </w:pPr>
            <w:r>
              <w:rPr>
                <w:rFonts w:hint="eastAsia" w:ascii="Calibri" w:hAnsi="Calibri" w:eastAsia="宋体" w:cs="Times New Roman"/>
                <w:color w:val="000000"/>
                <w:sz w:val="24"/>
                <w:szCs w:val="24"/>
                <w:highlight w:val="none"/>
              </w:rPr>
              <w:t>发布成交公告</w:t>
            </w:r>
          </w:p>
        </w:tc>
        <w:tc>
          <w:tcPr>
            <w:tcW w:w="6689" w:type="dxa"/>
            <w:noWrap w:val="0"/>
            <w:vAlign w:val="center"/>
          </w:tcPr>
          <w:p w14:paraId="6596499D">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cs="Arial"/>
                <w:b w:val="0"/>
                <w:bCs/>
                <w:color w:val="auto"/>
                <w:sz w:val="24"/>
                <w:szCs w:val="24"/>
                <w:highlight w:val="none"/>
                <w:lang w:val="en-US" w:eastAsia="zh-CN"/>
              </w:rPr>
            </w:pPr>
            <w:r>
              <w:rPr>
                <w:rFonts w:hint="eastAsia" w:ascii="宋体" w:hAnsi="宋体" w:cs="Arial"/>
                <w:b w:val="0"/>
                <w:bCs/>
                <w:color w:val="auto"/>
                <w:sz w:val="24"/>
                <w:szCs w:val="24"/>
                <w:highlight w:val="none"/>
                <w:lang w:val="en-US" w:eastAsia="zh-CN"/>
              </w:rPr>
              <w:t>公示媒介： 皖北卫生职业学院网</w:t>
            </w:r>
          </w:p>
          <w:p w14:paraId="207865D1">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eastAsia="宋体" w:cs="Arial"/>
                <w:b w:val="0"/>
                <w:bCs/>
                <w:color w:val="auto"/>
                <w:kern w:val="0"/>
                <w:sz w:val="24"/>
                <w:szCs w:val="24"/>
                <w:highlight w:val="none"/>
                <w:lang w:val="en-US" w:eastAsia="zh-CN" w:bidi="ar-SA"/>
              </w:rPr>
            </w:pPr>
            <w:r>
              <w:rPr>
                <w:rFonts w:hint="eastAsia" w:ascii="宋体" w:hAnsi="宋体" w:cs="Arial"/>
                <w:b w:val="0"/>
                <w:bCs/>
                <w:color w:val="auto"/>
                <w:sz w:val="24"/>
                <w:szCs w:val="24"/>
                <w:highlight w:val="none"/>
                <w:lang w:val="en-US" w:eastAsia="zh-CN"/>
              </w:rPr>
              <w:t>公示期限：1个工作日</w:t>
            </w:r>
          </w:p>
        </w:tc>
      </w:tr>
      <w:tr w14:paraId="1BD08B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2BA23C2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3532FA32">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履约保证金</w:t>
            </w:r>
          </w:p>
        </w:tc>
        <w:tc>
          <w:tcPr>
            <w:tcW w:w="6689" w:type="dxa"/>
            <w:noWrap w:val="0"/>
            <w:vAlign w:val="center"/>
          </w:tcPr>
          <w:p w14:paraId="6B8652F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□不要求递交</w:t>
            </w:r>
          </w:p>
          <w:p w14:paraId="0C781B1D">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lang w:eastAsia="zh-CN"/>
              </w:rPr>
              <w:t>☑</w:t>
            </w:r>
            <w:r>
              <w:rPr>
                <w:rFonts w:hint="eastAsia"/>
                <w:color w:val="000000"/>
                <w:sz w:val="24"/>
                <w:szCs w:val="24"/>
                <w:highlight w:val="none"/>
              </w:rPr>
              <w:t>要求递交</w:t>
            </w:r>
          </w:p>
          <w:p w14:paraId="4B7D3FC2">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 xml:space="preserve">履约保证金金额： </w:t>
            </w:r>
            <w:r>
              <w:rPr>
                <w:rFonts w:hint="eastAsia"/>
                <w:color w:val="000000"/>
                <w:sz w:val="24"/>
                <w:szCs w:val="24"/>
                <w:highlight w:val="none"/>
                <w:u w:val="single"/>
                <w:lang w:val="en-US" w:eastAsia="zh-CN"/>
              </w:rPr>
              <w:t xml:space="preserve">   成交金额的 2 %    </w:t>
            </w:r>
          </w:p>
          <w:p w14:paraId="2593BE65">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履约保证金形式：</w:t>
            </w:r>
            <w:r>
              <w:rPr>
                <w:rFonts w:hint="eastAsia"/>
                <w:color w:val="000000"/>
                <w:sz w:val="24"/>
                <w:szCs w:val="24"/>
                <w:highlight w:val="none"/>
                <w:u w:val="single"/>
                <w:lang w:val="en-US" w:eastAsia="zh-CN"/>
              </w:rPr>
              <w:t xml:space="preserve">  电汇、银行转账、现金等   </w:t>
            </w:r>
          </w:p>
          <w:p w14:paraId="3062D604">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 xml:space="preserve">履约保证金有效期限： </w:t>
            </w:r>
            <w:r>
              <w:rPr>
                <w:rFonts w:hint="eastAsia"/>
                <w:color w:val="000000"/>
                <w:sz w:val="24"/>
                <w:szCs w:val="24"/>
                <w:highlight w:val="none"/>
                <w:u w:val="single"/>
                <w:lang w:val="en-US" w:eastAsia="zh-CN"/>
              </w:rPr>
              <w:t xml:space="preserve"> </w:t>
            </w:r>
            <w:r>
              <w:rPr>
                <w:rFonts w:hint="eastAsia" w:ascii="Calibri" w:hAnsi="Calibri" w:eastAsia="宋体" w:cs="Times New Roman"/>
                <w:color w:val="000000"/>
                <w:sz w:val="24"/>
                <w:szCs w:val="24"/>
                <w:highlight w:val="none"/>
                <w:u w:val="single"/>
                <w:lang w:val="en-US" w:eastAsia="zh-CN"/>
              </w:rPr>
              <w:t>至本项目全部履约</w:t>
            </w:r>
            <w:r>
              <w:rPr>
                <w:rFonts w:hint="default" w:ascii="Calibri" w:hAnsi="Calibri" w:eastAsia="宋体" w:cs="Times New Roman"/>
                <w:color w:val="000000"/>
                <w:sz w:val="24"/>
                <w:szCs w:val="24"/>
                <w:highlight w:val="none"/>
                <w:u w:val="single"/>
                <w:lang w:val="en-US" w:eastAsia="zh-CN"/>
              </w:rPr>
              <w:t>完成并验收合格</w:t>
            </w:r>
          </w:p>
          <w:p w14:paraId="004B984A">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color w:val="000000"/>
                <w:sz w:val="24"/>
                <w:szCs w:val="24"/>
                <w:highlight w:val="none"/>
              </w:rPr>
            </w:pPr>
            <w:r>
              <w:rPr>
                <w:rFonts w:hint="eastAsia"/>
                <w:color w:val="000000"/>
                <w:sz w:val="24"/>
                <w:szCs w:val="24"/>
                <w:highlight w:val="none"/>
              </w:rPr>
              <w:t>递交时间：</w:t>
            </w:r>
            <w:r>
              <w:rPr>
                <w:rFonts w:hint="eastAsia"/>
                <w:color w:val="000000"/>
                <w:sz w:val="24"/>
                <w:szCs w:val="24"/>
                <w:highlight w:val="none"/>
                <w:u w:val="single"/>
                <w:lang w:val="en-US" w:eastAsia="zh-CN"/>
              </w:rPr>
              <w:t xml:space="preserve">   签订合同前递交至采购人指定账户      </w:t>
            </w:r>
          </w:p>
          <w:p w14:paraId="5B7BDB5C">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default" w:eastAsia="宋体"/>
                <w:color w:val="000000"/>
                <w:sz w:val="24"/>
                <w:szCs w:val="24"/>
                <w:highlight w:val="none"/>
                <w:u w:val="single"/>
                <w:lang w:val="en-US" w:eastAsia="zh-CN"/>
              </w:rPr>
            </w:pPr>
            <w:r>
              <w:rPr>
                <w:rFonts w:hint="eastAsia"/>
                <w:color w:val="000000"/>
                <w:sz w:val="24"/>
                <w:szCs w:val="24"/>
                <w:highlight w:val="none"/>
              </w:rPr>
              <w:t>其他要求：</w:t>
            </w:r>
            <w:r>
              <w:rPr>
                <w:rFonts w:hint="eastAsia"/>
                <w:color w:val="000000"/>
                <w:sz w:val="24"/>
                <w:szCs w:val="24"/>
                <w:highlight w:val="none"/>
                <w:u w:val="single"/>
                <w:lang w:val="en-US" w:eastAsia="zh-CN"/>
              </w:rPr>
              <w:t xml:space="preserve">    /        </w:t>
            </w:r>
          </w:p>
        </w:tc>
      </w:tr>
      <w:tr w14:paraId="507617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7F90C3D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532A3CC2">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rPr>
              <w:t>签约合同价</w:t>
            </w:r>
          </w:p>
        </w:tc>
        <w:tc>
          <w:tcPr>
            <w:tcW w:w="6689" w:type="dxa"/>
            <w:noWrap w:val="0"/>
            <w:vAlign w:val="center"/>
          </w:tcPr>
          <w:p w14:paraId="2B6B104E">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eastAsia="宋体"/>
                <w:color w:val="000000"/>
                <w:sz w:val="24"/>
                <w:szCs w:val="24"/>
                <w:highlight w:val="none"/>
                <w:lang w:val="en-US" w:eastAsia="zh-CN"/>
              </w:rPr>
            </w:pPr>
            <w:r>
              <w:rPr>
                <w:rFonts w:hint="eastAsia"/>
                <w:color w:val="000000"/>
                <w:sz w:val="24"/>
                <w:szCs w:val="24"/>
                <w:highlight w:val="none"/>
                <w:lang w:val="en-US" w:eastAsia="zh-CN"/>
              </w:rPr>
              <w:t>成交价</w:t>
            </w:r>
          </w:p>
        </w:tc>
      </w:tr>
      <w:tr w14:paraId="07207D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48F0CBC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2065FDCD">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sz w:val="24"/>
                <w:szCs w:val="24"/>
                <w:highlight w:val="none"/>
                <w:lang w:val="zh-CN" w:eastAsia="zh-CN"/>
              </w:rPr>
            </w:pPr>
            <w:r>
              <w:rPr>
                <w:rFonts w:hint="eastAsia" w:ascii="Calibri" w:hAnsi="Calibri" w:eastAsia="宋体" w:cs="Times New Roman"/>
                <w:color w:val="000000"/>
                <w:sz w:val="24"/>
                <w:szCs w:val="24"/>
                <w:highlight w:val="none"/>
              </w:rPr>
              <w:t>异议渠道</w:t>
            </w:r>
          </w:p>
        </w:tc>
        <w:tc>
          <w:tcPr>
            <w:tcW w:w="6689" w:type="dxa"/>
            <w:noWrap w:val="0"/>
            <w:vAlign w:val="center"/>
          </w:tcPr>
          <w:p w14:paraId="027DBD02">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cs="Arial"/>
                <w:b w:val="0"/>
                <w:bCs/>
                <w:color w:val="auto"/>
                <w:sz w:val="24"/>
                <w:szCs w:val="24"/>
                <w:highlight w:val="none"/>
                <w:lang w:val="en-US" w:eastAsia="zh-CN"/>
              </w:rPr>
            </w:pPr>
            <w:r>
              <w:rPr>
                <w:rFonts w:hint="eastAsia" w:ascii="宋体" w:hAnsi="宋体" w:cs="Arial"/>
                <w:b w:val="0"/>
                <w:bCs/>
                <w:color w:val="auto"/>
                <w:sz w:val="24"/>
                <w:szCs w:val="24"/>
                <w:highlight w:val="none"/>
                <w:lang w:val="en-US" w:eastAsia="zh-CN"/>
              </w:rPr>
              <w:t>联系人：薄主任</w:t>
            </w:r>
          </w:p>
          <w:p w14:paraId="7EB65237">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cs="Arial"/>
                <w:b w:val="0"/>
                <w:bCs/>
                <w:color w:val="auto"/>
                <w:sz w:val="24"/>
                <w:szCs w:val="24"/>
                <w:highlight w:val="none"/>
                <w:lang w:val="en-US" w:eastAsia="zh-CN"/>
              </w:rPr>
            </w:pPr>
            <w:r>
              <w:rPr>
                <w:rFonts w:hint="eastAsia" w:ascii="宋体" w:hAnsi="宋体" w:cs="Arial"/>
                <w:b w:val="0"/>
                <w:bCs/>
                <w:color w:val="auto"/>
                <w:sz w:val="24"/>
                <w:szCs w:val="24"/>
                <w:highlight w:val="none"/>
                <w:lang w:val="en-US" w:eastAsia="zh-CN"/>
              </w:rPr>
              <w:t>联系电话：13805573335　</w:t>
            </w:r>
          </w:p>
          <w:p w14:paraId="0CFD8FBE">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cs="Arial"/>
                <w:b w:val="0"/>
                <w:bCs/>
                <w:color w:val="auto"/>
                <w:sz w:val="24"/>
                <w:szCs w:val="24"/>
                <w:highlight w:val="none"/>
                <w:lang w:val="en-US" w:eastAsia="zh-CN"/>
              </w:rPr>
            </w:pPr>
            <w:r>
              <w:rPr>
                <w:rFonts w:hint="eastAsia" w:ascii="宋体" w:hAnsi="宋体" w:cs="Arial"/>
                <w:b w:val="0"/>
                <w:bCs/>
                <w:color w:val="auto"/>
                <w:sz w:val="24"/>
                <w:szCs w:val="24"/>
                <w:highlight w:val="none"/>
                <w:lang w:val="en-US" w:eastAsia="zh-CN"/>
              </w:rPr>
              <w:t>通信地址：皖北卫生职业学院</w:t>
            </w:r>
          </w:p>
          <w:p w14:paraId="2DF2B301">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eastAsia="宋体" w:cs="Arial"/>
                <w:b w:val="0"/>
                <w:bCs/>
                <w:color w:val="auto"/>
                <w:kern w:val="0"/>
                <w:sz w:val="24"/>
                <w:szCs w:val="24"/>
                <w:highlight w:val="none"/>
                <w:lang w:val="en-US" w:eastAsia="zh-CN" w:bidi="ar-SA"/>
              </w:rPr>
            </w:pPr>
            <w:r>
              <w:rPr>
                <w:rFonts w:hint="eastAsia" w:ascii="宋体" w:hAnsi="宋体" w:cs="Arial"/>
                <w:b w:val="0"/>
                <w:bCs/>
                <w:color w:val="auto"/>
                <w:sz w:val="24"/>
                <w:szCs w:val="24"/>
                <w:highlight w:val="none"/>
                <w:lang w:val="en-US" w:eastAsia="zh-CN"/>
              </w:rPr>
              <w:t>其他：以书面材料形式提交。</w:t>
            </w:r>
          </w:p>
        </w:tc>
      </w:tr>
      <w:tr w14:paraId="111764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02E8C58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5C93526A">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lang w:val="zh-CN" w:eastAsia="zh-CN"/>
              </w:rPr>
            </w:pPr>
            <w:r>
              <w:rPr>
                <w:rFonts w:hint="eastAsia" w:ascii="Calibri" w:hAnsi="Calibri" w:eastAsia="宋体" w:cs="Times New Roman"/>
                <w:color w:val="000000"/>
                <w:sz w:val="24"/>
                <w:szCs w:val="24"/>
                <w:highlight w:val="none"/>
              </w:rPr>
              <w:t>可以调解异议争议的行业组织或专业咨询机构</w:t>
            </w:r>
          </w:p>
        </w:tc>
        <w:tc>
          <w:tcPr>
            <w:tcW w:w="6689" w:type="dxa"/>
            <w:noWrap w:val="0"/>
            <w:vAlign w:val="center"/>
          </w:tcPr>
          <w:p w14:paraId="799CE2B0">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eastAsia="宋体" w:cs="Arial"/>
                <w:b w:val="0"/>
                <w:bCs/>
                <w:color w:val="auto"/>
                <w:kern w:val="0"/>
                <w:sz w:val="24"/>
                <w:szCs w:val="24"/>
                <w:highlight w:val="none"/>
                <w:lang w:val="en-US" w:eastAsia="zh-CN" w:bidi="ar-SA"/>
              </w:rPr>
            </w:pPr>
            <w:r>
              <w:rPr>
                <w:rFonts w:hint="eastAsia" w:ascii="宋体" w:hAnsi="宋体" w:cs="Arial"/>
                <w:b w:val="0"/>
                <w:bCs/>
                <w:color w:val="auto"/>
                <w:kern w:val="0"/>
                <w:sz w:val="24"/>
                <w:szCs w:val="24"/>
                <w:highlight w:val="none"/>
                <w:lang w:val="en-US" w:eastAsia="zh-CN" w:bidi="ar-SA"/>
              </w:rPr>
              <w:t>/</w:t>
            </w:r>
          </w:p>
        </w:tc>
      </w:tr>
      <w:tr w14:paraId="6027D7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42FC9C9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7CA2C77A">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default" w:ascii="Calibri" w:hAnsi="Calibri" w:eastAsia="宋体" w:cs="Times New Roman"/>
                <w:color w:val="000000"/>
                <w:sz w:val="24"/>
                <w:szCs w:val="24"/>
                <w:highlight w:val="none"/>
                <w:lang w:val="en-US" w:eastAsia="zh-CN"/>
              </w:rPr>
            </w:pPr>
            <w:r>
              <w:rPr>
                <w:rFonts w:hint="eastAsia" w:cs="Times New Roman"/>
                <w:color w:val="000000"/>
                <w:sz w:val="24"/>
                <w:szCs w:val="24"/>
                <w:highlight w:val="none"/>
                <w:lang w:val="en-US" w:eastAsia="zh-CN"/>
              </w:rPr>
              <w:t>本项目中小企业划分标准所属行业</w:t>
            </w:r>
          </w:p>
        </w:tc>
        <w:tc>
          <w:tcPr>
            <w:tcW w:w="6689" w:type="dxa"/>
            <w:noWrap w:val="0"/>
            <w:vAlign w:val="center"/>
          </w:tcPr>
          <w:p w14:paraId="0F4F56B1">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cs="Arial"/>
                <w:b w:val="0"/>
                <w:bCs/>
                <w:color w:val="auto"/>
                <w:kern w:val="0"/>
                <w:sz w:val="24"/>
                <w:szCs w:val="24"/>
                <w:highlight w:val="none"/>
                <w:lang w:val="en-US" w:eastAsia="zh-CN" w:bidi="ar-SA"/>
              </w:rPr>
            </w:pPr>
            <w:r>
              <w:rPr>
                <w:rFonts w:hint="eastAsia" w:ascii="宋体" w:hAnsi="宋体" w:cs="Arial"/>
                <w:b w:val="0"/>
                <w:bCs/>
                <w:color w:val="auto"/>
                <w:kern w:val="0"/>
                <w:sz w:val="24"/>
                <w:szCs w:val="24"/>
                <w:highlight w:val="none"/>
                <w:lang w:val="en-US" w:eastAsia="zh-CN" w:bidi="ar-SA"/>
              </w:rPr>
              <w:t>建筑业</w:t>
            </w:r>
          </w:p>
        </w:tc>
      </w:tr>
      <w:tr w14:paraId="624189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2E60DC2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32D34D09">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rPr>
              <w:t>采购代理服务</w:t>
            </w:r>
            <w:r>
              <w:rPr>
                <w:rFonts w:hint="eastAsia" w:cs="Times New Roman"/>
                <w:color w:val="000000"/>
                <w:sz w:val="24"/>
                <w:szCs w:val="24"/>
                <w:highlight w:val="none"/>
                <w:lang w:val="en-US" w:eastAsia="zh-CN"/>
              </w:rPr>
              <w:t>相关</w:t>
            </w:r>
            <w:r>
              <w:rPr>
                <w:rFonts w:hint="eastAsia" w:ascii="Calibri" w:hAnsi="Calibri" w:eastAsia="宋体" w:cs="Times New Roman"/>
                <w:color w:val="000000"/>
                <w:sz w:val="24"/>
                <w:szCs w:val="24"/>
                <w:highlight w:val="none"/>
              </w:rPr>
              <w:t>费</w:t>
            </w:r>
            <w:r>
              <w:rPr>
                <w:rFonts w:hint="eastAsia" w:cs="Times New Roman"/>
                <w:color w:val="000000"/>
                <w:sz w:val="24"/>
                <w:szCs w:val="24"/>
                <w:highlight w:val="none"/>
                <w:lang w:val="en-US" w:eastAsia="zh-CN"/>
              </w:rPr>
              <w:t>用</w:t>
            </w:r>
          </w:p>
        </w:tc>
        <w:tc>
          <w:tcPr>
            <w:tcW w:w="6689" w:type="dxa"/>
            <w:noWrap w:val="0"/>
            <w:vAlign w:val="center"/>
          </w:tcPr>
          <w:p w14:paraId="664FB0EA">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cs="Arial"/>
                <w:color w:val="auto"/>
                <w:sz w:val="24"/>
                <w:szCs w:val="24"/>
                <w:highlight w:val="none"/>
              </w:rPr>
            </w:pPr>
            <w:r>
              <w:rPr>
                <w:rFonts w:hint="eastAsia" w:ascii="宋体" w:hAnsi="宋体" w:cs="Arial"/>
                <w:color w:val="auto"/>
                <w:sz w:val="24"/>
                <w:szCs w:val="24"/>
                <w:highlight w:val="none"/>
                <w:lang w:eastAsia="zh-CN"/>
              </w:rPr>
              <w:t>□</w:t>
            </w:r>
            <w:r>
              <w:rPr>
                <w:rFonts w:hint="eastAsia" w:ascii="宋体" w:hAnsi="宋体" w:cs="Arial"/>
                <w:color w:val="auto"/>
                <w:sz w:val="24"/>
                <w:szCs w:val="24"/>
                <w:highlight w:val="none"/>
              </w:rPr>
              <w:t>不要求承担</w:t>
            </w:r>
          </w:p>
          <w:p w14:paraId="6A93CC0A">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cs="Arial"/>
                <w:color w:val="auto"/>
                <w:sz w:val="24"/>
                <w:szCs w:val="24"/>
                <w:highlight w:val="none"/>
              </w:rPr>
            </w:pPr>
            <w:r>
              <w:rPr>
                <w:rFonts w:hint="eastAsia" w:ascii="宋体" w:hAnsi="宋体" w:cs="Arial"/>
                <w:color w:val="auto"/>
                <w:sz w:val="24"/>
                <w:szCs w:val="24"/>
                <w:highlight w:val="none"/>
                <w:lang w:eastAsia="zh-CN"/>
              </w:rPr>
              <w:t>☑</w:t>
            </w:r>
            <w:r>
              <w:rPr>
                <w:rFonts w:hint="eastAsia" w:ascii="宋体" w:hAnsi="宋体" w:cs="Arial"/>
                <w:color w:val="auto"/>
                <w:sz w:val="24"/>
                <w:szCs w:val="24"/>
                <w:highlight w:val="none"/>
              </w:rPr>
              <w:t>要求承担</w:t>
            </w:r>
          </w:p>
          <w:p w14:paraId="71D5835D">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left"/>
              <w:textAlignment w:val="baseline"/>
              <w:rPr>
                <w:rFonts w:hint="eastAsia"/>
                <w:color w:val="auto"/>
                <w:sz w:val="24"/>
                <w:szCs w:val="24"/>
              </w:rPr>
            </w:pPr>
            <w:r>
              <w:rPr>
                <w:rFonts w:hint="eastAsia" w:ascii="宋体" w:hAnsi="宋体" w:eastAsia="宋体" w:cs="宋体"/>
                <w:color w:val="auto"/>
                <w:sz w:val="24"/>
                <w:szCs w:val="24"/>
                <w:lang w:eastAsia="zh-CN"/>
              </w:rPr>
              <w:t>交供应商</w:t>
            </w:r>
            <w:r>
              <w:rPr>
                <w:rFonts w:hint="eastAsia" w:ascii="宋体" w:hAnsi="宋体" w:eastAsia="宋体" w:cs="宋体"/>
                <w:color w:val="auto"/>
                <w:sz w:val="24"/>
                <w:szCs w:val="24"/>
              </w:rPr>
              <w:t>需缴纳招标代理、</w:t>
            </w:r>
            <w:r>
              <w:rPr>
                <w:rFonts w:hint="eastAsia" w:ascii="宋体" w:hAnsi="宋体" w:eastAsia="宋体" w:cs="宋体"/>
                <w:color w:val="auto"/>
                <w:sz w:val="24"/>
                <w:szCs w:val="24"/>
                <w:lang w:val="en-US" w:eastAsia="zh-CN"/>
              </w:rPr>
              <w:t>评审及</w:t>
            </w:r>
            <w:r>
              <w:rPr>
                <w:rFonts w:hint="eastAsia" w:ascii="宋体" w:hAnsi="宋体" w:eastAsia="宋体" w:cs="宋体"/>
                <w:color w:val="auto"/>
                <w:sz w:val="24"/>
                <w:szCs w:val="24"/>
              </w:rPr>
              <w:t>工程量清单编制</w:t>
            </w:r>
            <w:r>
              <w:rPr>
                <w:rFonts w:hint="eastAsia" w:ascii="宋体" w:hAnsi="宋体" w:eastAsia="宋体" w:cs="宋体"/>
                <w:color w:val="auto"/>
                <w:sz w:val="24"/>
                <w:szCs w:val="24"/>
                <w:lang w:val="en-US" w:eastAsia="zh-CN"/>
              </w:rPr>
              <w:t>等相关费用</w:t>
            </w:r>
            <w:r>
              <w:rPr>
                <w:rFonts w:hint="eastAsia" w:ascii="宋体" w:hAnsi="宋体" w:eastAsia="宋体" w:cs="宋体"/>
                <w:color w:val="auto"/>
                <w:sz w:val="24"/>
                <w:szCs w:val="24"/>
              </w:rPr>
              <w:t>。</w:t>
            </w:r>
          </w:p>
          <w:p w14:paraId="26CA7EBF">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招标代理费：参照国家计委印发的《招标代理服务收费管理暂行办法》（计价格[2002]1980号）、《国家发展改革委办公厅关于招标代理收费有关问题的通知》(发改价格[2003]857号)及（发改价格[2011]534号文件）收取；</w:t>
            </w:r>
          </w:p>
          <w:p w14:paraId="02788C04">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2、清单控制价编制费按皖价服〔2007〕86 号文收取；</w:t>
            </w:r>
          </w:p>
          <w:p w14:paraId="2F918D92">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3、专家评审费：按实际发生收取；</w:t>
            </w:r>
          </w:p>
          <w:p w14:paraId="3A102423">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Arial"/>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以上费用由投标人在投标报价中自行考虑，不单独列项。</w:t>
            </w:r>
            <w:r>
              <w:rPr>
                <w:rFonts w:hint="eastAsia" w:ascii="宋体" w:hAnsi="宋体" w:cs="Arial"/>
                <w:color w:val="auto"/>
                <w:sz w:val="24"/>
                <w:szCs w:val="24"/>
                <w:highlight w:val="none"/>
                <w:lang w:val="en-US" w:eastAsia="zh-CN"/>
              </w:rPr>
              <w:t>领取成交通知书前由中标人支付。</w:t>
            </w:r>
          </w:p>
        </w:tc>
      </w:tr>
      <w:tr w14:paraId="1745C9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28" w:type="dxa"/>
            <w:noWrap w:val="0"/>
            <w:vAlign w:val="center"/>
          </w:tcPr>
          <w:p w14:paraId="3460AC9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336DADCC">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项目类别</w:t>
            </w:r>
          </w:p>
        </w:tc>
        <w:tc>
          <w:tcPr>
            <w:tcW w:w="6689" w:type="dxa"/>
            <w:noWrap w:val="0"/>
            <w:vAlign w:val="center"/>
          </w:tcPr>
          <w:p w14:paraId="155AF3EB">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firstLine="228" w:firstLineChars="95"/>
              <w:textAlignment w:val="baseline"/>
              <w:rPr>
                <w:rFonts w:hint="eastAsia" w:ascii="Calibri" w:hAnsi="Calibri" w:eastAsia="宋体" w:cs="Times New Roman"/>
                <w:color w:val="000000"/>
                <w:kern w:val="2"/>
                <w:sz w:val="24"/>
                <w:szCs w:val="24"/>
                <w:highlight w:val="none"/>
                <w:lang w:val="en-US" w:eastAsia="zh-CN" w:bidi="ar-SA"/>
              </w:rPr>
            </w:pPr>
            <w:permStart w:id="4" w:edGrp="everyone"/>
            <w:r>
              <w:rPr>
                <w:rFonts w:hint="eastAsia"/>
                <w:color w:val="000000"/>
                <w:sz w:val="24"/>
                <w:szCs w:val="24"/>
                <w:highlight w:val="none"/>
                <w:lang w:eastAsia="zh-CN"/>
              </w:rPr>
              <w:t>☑</w:t>
            </w:r>
            <w:r>
              <w:rPr>
                <w:rFonts w:hint="eastAsia"/>
                <w:color w:val="000000"/>
                <w:sz w:val="24"/>
                <w:szCs w:val="24"/>
                <w:highlight w:val="none"/>
                <w:lang w:val="en-US" w:eastAsia="zh-CN"/>
              </w:rPr>
              <w:t>工程</w:t>
            </w:r>
            <w:permEnd w:id="4"/>
            <w:r>
              <w:rPr>
                <w:rFonts w:hint="eastAsia"/>
                <w:color w:val="000000"/>
                <w:sz w:val="24"/>
                <w:szCs w:val="24"/>
                <w:highlight w:val="none"/>
              </w:rPr>
              <w:t>类</w:t>
            </w:r>
            <w:r>
              <w:rPr>
                <w:rFonts w:hint="eastAsia"/>
                <w:color w:val="000000"/>
                <w:sz w:val="24"/>
                <w:szCs w:val="24"/>
                <w:highlight w:val="none"/>
                <w:lang w:val="en-US" w:eastAsia="zh-CN"/>
              </w:rPr>
              <w:t xml:space="preserve">  </w:t>
            </w:r>
            <w:permStart w:id="5" w:edGrp="everyone"/>
            <w:r>
              <w:rPr>
                <w:rFonts w:hint="eastAsia"/>
                <w:color w:val="000000"/>
                <w:sz w:val="24"/>
                <w:szCs w:val="24"/>
                <w:highlight w:val="none"/>
                <w:lang w:eastAsia="zh-CN"/>
              </w:rPr>
              <w:t>□</w:t>
            </w:r>
            <w:r>
              <w:rPr>
                <w:rFonts w:hint="eastAsia"/>
                <w:color w:val="000000"/>
                <w:sz w:val="24"/>
                <w:szCs w:val="24"/>
                <w:highlight w:val="none"/>
                <w:lang w:val="en-US" w:eastAsia="zh-CN"/>
              </w:rPr>
              <w:t>服务</w:t>
            </w:r>
            <w:permEnd w:id="5"/>
            <w:r>
              <w:rPr>
                <w:rFonts w:hint="eastAsia"/>
                <w:color w:val="000000"/>
                <w:sz w:val="24"/>
                <w:szCs w:val="24"/>
                <w:highlight w:val="none"/>
              </w:rPr>
              <w:t>类</w:t>
            </w:r>
            <w:r>
              <w:rPr>
                <w:rFonts w:hint="eastAsia"/>
                <w:color w:val="000000"/>
                <w:sz w:val="24"/>
                <w:szCs w:val="24"/>
                <w:highlight w:val="none"/>
                <w:lang w:val="en-US" w:eastAsia="zh-CN"/>
              </w:rPr>
              <w:t xml:space="preserve">  </w:t>
            </w:r>
            <w:r>
              <w:rPr>
                <w:rFonts w:hint="eastAsia"/>
                <w:color w:val="000000"/>
                <w:sz w:val="24"/>
                <w:szCs w:val="24"/>
                <w:highlight w:val="none"/>
                <w:lang w:eastAsia="zh-CN"/>
              </w:rPr>
              <w:t>□</w:t>
            </w:r>
            <w:r>
              <w:rPr>
                <w:rFonts w:hint="eastAsia"/>
                <w:color w:val="000000"/>
                <w:sz w:val="24"/>
                <w:szCs w:val="24"/>
                <w:highlight w:val="none"/>
                <w:lang w:val="en-US" w:eastAsia="zh-CN"/>
              </w:rPr>
              <w:t>货物类</w:t>
            </w:r>
          </w:p>
        </w:tc>
      </w:tr>
      <w:tr w14:paraId="69D8E6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5F4CA47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7CEF2F71">
            <w:pPr>
              <w:pStyle w:val="37"/>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Arial"/>
                <w:b w:val="0"/>
                <w:bCs/>
                <w:color w:val="000000" w:themeColor="text1"/>
                <w:sz w:val="24"/>
                <w:szCs w:val="24"/>
                <w:highlight w:val="none"/>
                <w:lang w:val="zh-CN" w:eastAsia="zh-CN"/>
                <w14:textFill>
                  <w14:solidFill>
                    <w14:schemeClr w14:val="tx1"/>
                  </w14:solidFill>
                </w14:textFill>
              </w:rPr>
            </w:pPr>
            <w:r>
              <w:rPr>
                <w:rFonts w:hint="eastAsia" w:ascii="宋体" w:hAnsi="宋体" w:eastAsia="宋体" w:cs="Arial"/>
                <w:b w:val="0"/>
                <w:bCs/>
                <w:color w:val="000000" w:themeColor="text1"/>
                <w:sz w:val="24"/>
                <w:szCs w:val="24"/>
                <w:highlight w:val="none"/>
                <w:lang w:val="en-US" w:eastAsia="zh-CN"/>
                <w14:textFill>
                  <w14:solidFill>
                    <w14:schemeClr w14:val="tx1"/>
                  </w14:solidFill>
                </w14:textFill>
              </w:rPr>
              <w:t>工期</w:t>
            </w:r>
          </w:p>
        </w:tc>
        <w:tc>
          <w:tcPr>
            <w:tcW w:w="6689" w:type="dxa"/>
            <w:noWrap w:val="0"/>
            <w:vAlign w:val="center"/>
          </w:tcPr>
          <w:p w14:paraId="3F430993">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eastAsia="宋体" w:cs="Arial"/>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Arial"/>
                <w:b w:val="0"/>
                <w:bCs/>
                <w:color w:val="000000" w:themeColor="text1"/>
                <w:sz w:val="24"/>
                <w:szCs w:val="24"/>
                <w:highlight w:val="none"/>
                <w:lang w:val="en-US" w:eastAsia="zh-CN"/>
                <w14:textFill>
                  <w14:solidFill>
                    <w14:schemeClr w14:val="tx1"/>
                  </w14:solidFill>
                </w14:textFill>
              </w:rPr>
              <w:t>60日历天</w:t>
            </w:r>
          </w:p>
        </w:tc>
      </w:tr>
      <w:tr w14:paraId="3F2917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7D180A8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hint="default" w:ascii="宋体" w:hAnsi="宋体" w:eastAsia="宋体" w:cs="Arial"/>
                <w:color w:val="000000"/>
                <w:sz w:val="24"/>
                <w:szCs w:val="24"/>
                <w:highlight w:val="none"/>
                <w:lang w:val="en-US" w:eastAsia="zh-CN"/>
              </w:rPr>
            </w:pPr>
          </w:p>
        </w:tc>
        <w:tc>
          <w:tcPr>
            <w:tcW w:w="2261" w:type="dxa"/>
            <w:gridSpan w:val="2"/>
            <w:noWrap w:val="0"/>
            <w:vAlign w:val="center"/>
          </w:tcPr>
          <w:p w14:paraId="145F821D">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lang w:val="zh-CN" w:eastAsia="zh-CN"/>
              </w:rPr>
            </w:pPr>
            <w:r>
              <w:rPr>
                <w:rFonts w:hint="eastAsia" w:ascii="Calibri" w:hAnsi="Calibri" w:eastAsia="宋体" w:cs="Times New Roman"/>
                <w:color w:val="000000"/>
                <w:sz w:val="24"/>
                <w:szCs w:val="24"/>
                <w:highlight w:val="none"/>
                <w:lang w:val="en-US" w:eastAsia="zh-CN"/>
              </w:rPr>
              <w:t>询比</w:t>
            </w:r>
            <w:r>
              <w:rPr>
                <w:rFonts w:hint="eastAsia" w:ascii="Calibri" w:hAnsi="Calibri" w:eastAsia="宋体" w:cs="Times New Roman"/>
                <w:color w:val="000000"/>
                <w:sz w:val="24"/>
                <w:szCs w:val="24"/>
                <w:highlight w:val="none"/>
              </w:rPr>
              <w:t>出席人员</w:t>
            </w:r>
          </w:p>
        </w:tc>
        <w:tc>
          <w:tcPr>
            <w:tcW w:w="6689" w:type="dxa"/>
            <w:noWrap w:val="0"/>
            <w:vAlign w:val="center"/>
          </w:tcPr>
          <w:p w14:paraId="6CC11982">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cs="Arial"/>
                <w:b w:val="0"/>
                <w:bCs/>
                <w:color w:val="auto"/>
                <w:sz w:val="24"/>
                <w:szCs w:val="24"/>
                <w:highlight w:val="none"/>
                <w:lang w:val="en-US" w:eastAsia="zh-CN"/>
              </w:rPr>
            </w:pPr>
            <w:r>
              <w:rPr>
                <w:rFonts w:hint="eastAsia" w:ascii="宋体" w:hAnsi="宋体" w:cs="Arial"/>
                <w:b w:val="0"/>
                <w:bCs/>
                <w:color w:val="auto"/>
                <w:sz w:val="24"/>
                <w:szCs w:val="24"/>
                <w:highlight w:val="none"/>
                <w:lang w:val="en-US" w:eastAsia="zh-CN"/>
              </w:rPr>
              <w:t>投标人的下述人员必须参加询比会议，并携带相应资料，在询比会现场由采购人或采购代理机构核验，不符合要求的其响应文件交由评标委员会按无效文件处理：</w:t>
            </w:r>
          </w:p>
          <w:p w14:paraId="1D96ECEC">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Arial"/>
                <w:b w:val="0"/>
                <w:bCs/>
                <w:color w:val="auto"/>
                <w:sz w:val="24"/>
                <w:szCs w:val="24"/>
                <w:highlight w:val="none"/>
                <w:lang w:val="en-US" w:eastAsia="zh-CN"/>
              </w:rPr>
            </w:pPr>
            <w:r>
              <w:rPr>
                <w:rFonts w:hint="eastAsia" w:ascii="宋体" w:hAnsi="宋体" w:cs="Arial"/>
                <w:b w:val="0"/>
                <w:bCs/>
                <w:color w:val="auto"/>
                <w:sz w:val="24"/>
                <w:szCs w:val="24"/>
                <w:highlight w:val="none"/>
                <w:lang w:val="en-US" w:eastAsia="zh-CN"/>
              </w:rPr>
              <w:t>法定代表人持本人有效身份证原件或法定代表人授权委托人持本人有效身份证和授</w:t>
            </w:r>
            <w:r>
              <w:rPr>
                <w:rFonts w:hint="eastAsia" w:ascii="宋体" w:hAnsi="宋体" w:eastAsia="宋体" w:cs="Arial"/>
                <w:b w:val="0"/>
                <w:bCs/>
                <w:color w:val="auto"/>
                <w:sz w:val="24"/>
                <w:szCs w:val="24"/>
                <w:highlight w:val="none"/>
                <w:lang w:val="en-US" w:eastAsia="zh-CN"/>
              </w:rPr>
              <w:t>权委托书原件；</w:t>
            </w:r>
          </w:p>
          <w:p w14:paraId="0FD955F7">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Arial"/>
                <w:b w:val="0"/>
                <w:bCs/>
                <w:color w:val="auto"/>
                <w:kern w:val="0"/>
                <w:sz w:val="24"/>
                <w:szCs w:val="24"/>
                <w:highlight w:val="none"/>
                <w:lang w:val="en-US" w:eastAsia="zh-CN" w:bidi="ar-SA"/>
              </w:rPr>
            </w:pPr>
            <w:r>
              <w:rPr>
                <w:rFonts w:hint="eastAsia" w:ascii="宋体" w:hAnsi="宋体" w:eastAsia="宋体" w:cs="Arial"/>
                <w:b w:val="0"/>
                <w:bCs/>
                <w:color w:val="auto"/>
                <w:sz w:val="24"/>
                <w:szCs w:val="24"/>
                <w:highlight w:val="none"/>
                <w:lang w:val="en-US" w:eastAsia="zh-CN"/>
              </w:rPr>
              <w:t>注：项目负责人与法定代表人或其</w:t>
            </w:r>
            <w:r>
              <w:rPr>
                <w:rFonts w:hint="eastAsia" w:ascii="宋体" w:hAnsi="宋体" w:cs="Arial"/>
                <w:b w:val="0"/>
                <w:bCs/>
                <w:color w:val="auto"/>
                <w:sz w:val="24"/>
                <w:szCs w:val="24"/>
                <w:highlight w:val="none"/>
                <w:lang w:val="en-US" w:eastAsia="zh-CN"/>
              </w:rPr>
              <w:t>授权委托人可以是同一人。</w:t>
            </w:r>
          </w:p>
        </w:tc>
      </w:tr>
      <w:tr w14:paraId="3CA5D5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noWrap w:val="0"/>
            <w:vAlign w:val="center"/>
          </w:tcPr>
          <w:p w14:paraId="5C2DB6E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425" w:leftChars="0" w:right="102" w:hanging="425" w:firstLineChars="0"/>
              <w:jc w:val="center"/>
              <w:textAlignment w:val="baseline"/>
              <w:rPr>
                <w:rFonts w:ascii="宋体" w:hAnsi="宋体" w:cs="Arial"/>
                <w:color w:val="000000"/>
                <w:sz w:val="24"/>
                <w:szCs w:val="24"/>
                <w:highlight w:val="none"/>
              </w:rPr>
            </w:pPr>
          </w:p>
        </w:tc>
        <w:tc>
          <w:tcPr>
            <w:tcW w:w="2261" w:type="dxa"/>
            <w:gridSpan w:val="2"/>
            <w:noWrap w:val="0"/>
            <w:vAlign w:val="center"/>
          </w:tcPr>
          <w:p w14:paraId="4E973ECA">
            <w:pPr>
              <w:pStyle w:val="39"/>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rPr>
              <w:t>付款方式</w:t>
            </w:r>
          </w:p>
        </w:tc>
        <w:tc>
          <w:tcPr>
            <w:tcW w:w="6689" w:type="dxa"/>
            <w:noWrap w:val="0"/>
            <w:vAlign w:val="center"/>
          </w:tcPr>
          <w:p w14:paraId="0DD12C0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rPr>
            </w:pPr>
            <w:r>
              <w:rPr>
                <w:rFonts w:hint="eastAsia" w:ascii="宋体" w:hAnsi="宋体"/>
                <w:sz w:val="24"/>
                <w:szCs w:val="24"/>
                <w:lang w:val="en-US" w:eastAsia="zh-CN"/>
              </w:rPr>
              <w:t>付款方式：签订合同</w:t>
            </w:r>
            <w:r>
              <w:rPr>
                <w:rFonts w:hint="eastAsia" w:ascii="宋体" w:hAnsi="宋体"/>
                <w:sz w:val="24"/>
                <w:szCs w:val="24"/>
              </w:rPr>
              <w:t>主材进场后7个工作日内支付</w:t>
            </w:r>
            <w:r>
              <w:rPr>
                <w:rFonts w:hint="eastAsia" w:ascii="宋体" w:hAnsi="宋体"/>
                <w:sz w:val="24"/>
                <w:szCs w:val="24"/>
                <w:lang w:val="en-US" w:eastAsia="zh-CN"/>
              </w:rPr>
              <w:t>合同价款的</w:t>
            </w:r>
            <w:r>
              <w:rPr>
                <w:rFonts w:hint="eastAsia" w:ascii="宋体" w:hAnsi="宋体"/>
                <w:sz w:val="24"/>
                <w:szCs w:val="24"/>
              </w:rPr>
              <w:t>40%</w:t>
            </w:r>
            <w:r>
              <w:rPr>
                <w:rFonts w:hint="eastAsia" w:ascii="宋体" w:hAnsi="宋体"/>
                <w:sz w:val="24"/>
                <w:szCs w:val="24"/>
                <w:lang w:eastAsia="zh-CN"/>
              </w:rPr>
              <w:t>，</w:t>
            </w:r>
            <w:r>
              <w:rPr>
                <w:rFonts w:hint="eastAsia" w:ascii="宋体" w:hAnsi="宋体" w:eastAsia="宋体" w:cs="宋体"/>
                <w:color w:val="auto"/>
                <w:sz w:val="24"/>
                <w:szCs w:val="24"/>
                <w:lang w:val="en-US" w:eastAsia="zh-CN"/>
              </w:rPr>
              <w:t xml:space="preserve">项目竣工验收合格后付至合同价款的80%； 审计后付至审计后价格的 100%。 </w:t>
            </w:r>
          </w:p>
          <w:p w14:paraId="051ED755">
            <w:pPr>
              <w:pStyle w:val="3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Arial"/>
                <w:b w:val="0"/>
                <w:bCs/>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注：成交供应商在最终结算价款拨付前需缴纳审定价款的 3%作为质保金。缴纳方式：保函（电子、纸质）保证保险、或现金、支票等</w:t>
            </w:r>
          </w:p>
        </w:tc>
      </w:tr>
    </w:tbl>
    <w:p w14:paraId="5F404824">
      <w:pPr>
        <w:pStyle w:val="21"/>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黑体" w:hAnsi="黑体" w:eastAsia="黑体" w:cs="黑体"/>
          <w:b/>
          <w:bCs/>
          <w:i w:val="0"/>
          <w:iCs w:val="0"/>
          <w:snapToGrid w:val="0"/>
          <w:color w:val="auto"/>
          <w:kern w:val="0"/>
          <w:sz w:val="22"/>
          <w:szCs w:val="22"/>
          <w:lang w:val="en-US" w:eastAsia="zh-CN" w:bidi="ar-SA"/>
        </w:rPr>
      </w:pPr>
      <w:r>
        <w:rPr>
          <w:rFonts w:hint="eastAsia" w:ascii="黑体" w:hAnsi="黑体" w:eastAsia="黑体" w:cs="黑体"/>
          <w:b/>
          <w:color w:val="auto"/>
          <w:sz w:val="22"/>
          <w:szCs w:val="36"/>
        </w:rPr>
        <w:t>说明：</w:t>
      </w:r>
      <w:r>
        <w:rPr>
          <w:rFonts w:hint="eastAsia" w:ascii="黑体" w:hAnsi="黑体" w:eastAsia="黑体" w:cs="黑体"/>
          <w:color w:val="auto"/>
          <w:sz w:val="22"/>
          <w:szCs w:val="36"/>
        </w:rPr>
        <w:t></w:t>
      </w:r>
      <w:r>
        <w:rPr>
          <w:rFonts w:hint="eastAsia"/>
          <w:color w:val="000000"/>
          <w:sz w:val="24"/>
          <w:szCs w:val="24"/>
          <w:highlight w:val="none"/>
          <w:lang w:eastAsia="zh-CN"/>
        </w:rPr>
        <w:t>☑</w:t>
      </w:r>
      <w:r>
        <w:rPr>
          <w:rFonts w:hint="eastAsia" w:ascii="黑体" w:hAnsi="黑体" w:eastAsia="黑体" w:cs="黑体"/>
          <w:b/>
          <w:color w:val="auto"/>
          <w:sz w:val="22"/>
          <w:szCs w:val="36"/>
        </w:rPr>
        <w:t>表示采用条款</w:t>
      </w:r>
      <w:r>
        <w:rPr>
          <w:rFonts w:hint="eastAsia" w:ascii="黑体" w:hAnsi="黑体" w:eastAsia="黑体" w:cs="黑体"/>
          <w:b/>
          <w:color w:val="auto"/>
          <w:sz w:val="22"/>
          <w:szCs w:val="36"/>
        </w:rPr>
        <w:tab/>
      </w:r>
      <w:r>
        <w:rPr>
          <w:rFonts w:hint="eastAsia" w:ascii="黑体" w:hAnsi="黑体" w:eastAsia="黑体" w:cs="黑体"/>
          <w:color w:val="auto"/>
          <w:sz w:val="22"/>
          <w:szCs w:val="36"/>
        </w:rPr>
        <w:t></w:t>
      </w:r>
      <w:r>
        <w:rPr>
          <w:rFonts w:hint="eastAsia"/>
          <w:color w:val="000000"/>
          <w:sz w:val="24"/>
          <w:szCs w:val="24"/>
          <w:highlight w:val="none"/>
          <w:lang w:eastAsia="zh-CN"/>
        </w:rPr>
        <w:t>□</w:t>
      </w:r>
      <w:r>
        <w:rPr>
          <w:rFonts w:hint="eastAsia" w:ascii="黑体" w:hAnsi="黑体" w:eastAsia="黑体" w:cs="黑体"/>
          <w:b/>
          <w:color w:val="auto"/>
          <w:sz w:val="22"/>
          <w:szCs w:val="36"/>
        </w:rPr>
        <w:t>表示不采用条款；</w:t>
      </w:r>
    </w:p>
    <w:bookmarkEnd w:id="26"/>
    <w:bookmarkEnd w:id="27"/>
    <w:p w14:paraId="5F40D819">
      <w:pPr>
        <w:ind w:left="0" w:leftChars="0" w:firstLine="0" w:firstLineChars="0"/>
        <w:jc w:val="both"/>
        <w:outlineLvl w:val="9"/>
        <w:rPr>
          <w:rFonts w:hint="eastAsia" w:cs="Times New Roman"/>
          <w:b/>
          <w:bCs/>
          <w:color w:val="auto"/>
          <w:sz w:val="24"/>
          <w:szCs w:val="24"/>
          <w:highlight w:val="none"/>
        </w:rPr>
      </w:pPr>
      <w:bookmarkStart w:id="28" w:name="_Toc1084"/>
      <w:bookmarkStart w:id="29" w:name="_Toc9511"/>
      <w:r>
        <w:rPr>
          <w:rFonts w:hint="eastAsia" w:cs="Times New Roman"/>
          <w:b/>
          <w:bCs/>
          <w:color w:val="auto"/>
          <w:sz w:val="24"/>
          <w:szCs w:val="24"/>
          <w:highlight w:val="none"/>
        </w:rPr>
        <w:t>1  总则</w:t>
      </w:r>
      <w:bookmarkEnd w:id="28"/>
      <w:bookmarkEnd w:id="29"/>
    </w:p>
    <w:p w14:paraId="6E8E0D5D">
      <w:pPr>
        <w:pStyle w:val="2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1.1采购方式</w:t>
      </w:r>
    </w:p>
    <w:p w14:paraId="37EC3721">
      <w:pPr>
        <w:pStyle w:val="20"/>
        <w:rPr>
          <w:rFonts w:hint="eastAsia" w:ascii="宋体" w:hAnsi="宋体" w:eastAsia="宋体" w:cs="宋体"/>
          <w:highlight w:val="none"/>
        </w:rPr>
      </w:pPr>
      <w:r>
        <w:rPr>
          <w:rFonts w:hint="eastAsia" w:ascii="宋体" w:hAnsi="宋体" w:eastAsia="宋体" w:cs="宋体"/>
          <w:highlight w:val="none"/>
        </w:rPr>
        <w:t>本项目采用中国招标投标协会发布的《非招标方式采购代理服务规范》 (T/CTBA001—2019)规定的询比采购方式。</w:t>
      </w:r>
    </w:p>
    <w:p w14:paraId="4F564D1F">
      <w:pPr>
        <w:pStyle w:val="20"/>
        <w:rPr>
          <w:rFonts w:hint="eastAsia" w:ascii="宋体" w:hAnsi="宋体" w:eastAsia="宋体" w:cs="宋体"/>
          <w:highlight w:val="none"/>
        </w:rPr>
      </w:pPr>
      <w:r>
        <w:rPr>
          <w:rFonts w:hint="eastAsia" w:ascii="宋体" w:hAnsi="宋体" w:eastAsia="宋体" w:cs="宋体"/>
          <w:highlight w:val="none"/>
        </w:rPr>
        <w:t>询比采购是指采购人组建评审小组对响应采购的供应商按照采购文件规定的规则和时间一次递交的响应文件进行评审，采购人根据评审小组的评审结果</w:t>
      </w:r>
      <w:r>
        <w:rPr>
          <w:rFonts w:hint="eastAsia" w:ascii="宋体" w:hAnsi="宋体" w:eastAsia="宋体" w:cs="宋体"/>
          <w:highlight w:val="none"/>
          <w:lang w:eastAsia="zh-CN"/>
        </w:rPr>
        <w:t>，</w:t>
      </w:r>
      <w:r>
        <w:rPr>
          <w:rFonts w:hint="eastAsia" w:ascii="宋体" w:hAnsi="宋体" w:eastAsia="宋体" w:cs="宋体"/>
          <w:highlight w:val="none"/>
        </w:rPr>
        <w:t>选择确定成交供应商的采购方式。</w:t>
      </w:r>
    </w:p>
    <w:p w14:paraId="38A5A2D8">
      <w:pPr>
        <w:pStyle w:val="2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1.2 采购项目概况和供应商资格要求</w:t>
      </w:r>
    </w:p>
    <w:p w14:paraId="3A0E0A9E">
      <w:pPr>
        <w:pStyle w:val="20"/>
        <w:rPr>
          <w:rFonts w:hint="eastAsia" w:ascii="宋体" w:hAnsi="宋体" w:eastAsia="宋体" w:cs="宋体"/>
          <w:highlight w:val="none"/>
        </w:rPr>
      </w:pPr>
      <w:r>
        <w:rPr>
          <w:rFonts w:hint="eastAsia" w:ascii="宋体" w:hAnsi="宋体" w:eastAsia="宋体" w:cs="宋体"/>
          <w:highlight w:val="none"/>
        </w:rPr>
        <w:t>采购项目概况和供应商资格要求见第一章“询比采购公告/询比采购邀请书 ”。</w:t>
      </w:r>
    </w:p>
    <w:p w14:paraId="3B9A0596">
      <w:pPr>
        <w:pStyle w:val="2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1.3 费用承担</w:t>
      </w:r>
    </w:p>
    <w:p w14:paraId="10C572E5">
      <w:pPr>
        <w:pStyle w:val="20"/>
        <w:rPr>
          <w:rFonts w:hint="eastAsia" w:ascii="宋体" w:hAnsi="宋体" w:eastAsia="宋体" w:cs="宋体"/>
          <w:highlight w:val="none"/>
        </w:rPr>
      </w:pPr>
      <w:r>
        <w:rPr>
          <w:rFonts w:hint="eastAsia" w:ascii="宋体" w:hAnsi="宋体" w:eastAsia="宋体" w:cs="宋体"/>
          <w:highlight w:val="none"/>
        </w:rPr>
        <w:t>供应商准备和参加询比采购活动所发生的各种费用由供应商自行承担。</w:t>
      </w:r>
    </w:p>
    <w:p w14:paraId="27AB8566">
      <w:pPr>
        <w:pStyle w:val="2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1.4 保密</w:t>
      </w:r>
    </w:p>
    <w:p w14:paraId="7A8DC7D2">
      <w:pPr>
        <w:pStyle w:val="20"/>
        <w:rPr>
          <w:rFonts w:hint="eastAsia" w:ascii="宋体" w:hAnsi="宋体" w:eastAsia="宋体" w:cs="宋体"/>
          <w:highlight w:val="none"/>
        </w:rPr>
      </w:pPr>
      <w:r>
        <w:rPr>
          <w:rFonts w:hint="eastAsia" w:ascii="宋体" w:hAnsi="宋体" w:eastAsia="宋体" w:cs="宋体"/>
          <w:highlight w:val="none"/>
        </w:rPr>
        <w:t>参加询比采购活动的各方应对采购文件和响应文件中的商业和技术等秘密保密，否则应承担相应的法律责任。</w:t>
      </w:r>
    </w:p>
    <w:p w14:paraId="4BB6C156">
      <w:pPr>
        <w:pStyle w:val="2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1.5 语言文字</w:t>
      </w:r>
    </w:p>
    <w:p w14:paraId="08B3B7CC">
      <w:pPr>
        <w:pStyle w:val="20"/>
        <w:rPr>
          <w:rFonts w:hint="eastAsia" w:ascii="宋体" w:hAnsi="宋体" w:eastAsia="宋体" w:cs="宋体"/>
          <w:highlight w:val="none"/>
        </w:rPr>
      </w:pPr>
      <w:r>
        <w:rPr>
          <w:rFonts w:hint="eastAsia" w:ascii="宋体" w:hAnsi="宋体" w:eastAsia="宋体" w:cs="宋体"/>
          <w:highlight w:val="none"/>
        </w:rPr>
        <w:t>采购文件和响应文件使用的语言文字为中文。专用术语使用外文的，应附有中文注释。</w:t>
      </w:r>
    </w:p>
    <w:p w14:paraId="1AB94C4D">
      <w:pPr>
        <w:pStyle w:val="2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1.6 计量单位</w:t>
      </w:r>
    </w:p>
    <w:p w14:paraId="363F853B">
      <w:pPr>
        <w:pStyle w:val="20"/>
        <w:rPr>
          <w:rFonts w:hint="eastAsia" w:ascii="宋体" w:hAnsi="宋体" w:eastAsia="宋体" w:cs="宋体"/>
          <w:highlight w:val="none"/>
        </w:rPr>
      </w:pPr>
      <w:r>
        <w:rPr>
          <w:rFonts w:hint="eastAsia" w:ascii="宋体" w:hAnsi="宋体" w:eastAsia="宋体" w:cs="宋体"/>
          <w:highlight w:val="none"/>
        </w:rPr>
        <w:t>所有计量均采用中华人民共和国法定计量单位。</w:t>
      </w:r>
    </w:p>
    <w:p w14:paraId="2E7132D3">
      <w:pPr>
        <w:pStyle w:val="2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1.7 踏勘现场</w:t>
      </w:r>
    </w:p>
    <w:p w14:paraId="01D7871C">
      <w:pPr>
        <w:pStyle w:val="20"/>
        <w:rPr>
          <w:rFonts w:hint="eastAsia" w:ascii="宋体" w:hAnsi="宋体" w:eastAsia="宋体" w:cs="宋体"/>
          <w:highlight w:val="none"/>
        </w:rPr>
      </w:pPr>
      <w:r>
        <w:rPr>
          <w:rFonts w:hint="eastAsia" w:ascii="宋体" w:hAnsi="宋体" w:eastAsia="宋体" w:cs="宋体"/>
          <w:highlight w:val="none"/>
        </w:rPr>
        <w:t>1.7.1  供应商须知前附表规定组织踏勘现场的，采购人按供应商须知前附表规定的时间、地点组织供应商踏勘项目现场。部分供应商未按时参加踏勘现场的，不影响踏勘现场的正常进行。</w:t>
      </w:r>
    </w:p>
    <w:p w14:paraId="3E29455A">
      <w:pPr>
        <w:pStyle w:val="20"/>
        <w:rPr>
          <w:rFonts w:hint="eastAsia" w:ascii="宋体" w:hAnsi="宋体" w:eastAsia="宋体" w:cs="宋体"/>
          <w:highlight w:val="none"/>
        </w:rPr>
      </w:pPr>
      <w:r>
        <w:rPr>
          <w:rFonts w:hint="eastAsia" w:ascii="宋体" w:hAnsi="宋体" w:eastAsia="宋体" w:cs="宋体"/>
          <w:highlight w:val="none"/>
        </w:rPr>
        <w:t>1.7.2  供应商可自愿参加踏勘现场活动。除采购人的原因外，采购人对供应商参加踏勘现场中所发生的人员伤亡和财产损失不承担责任。</w:t>
      </w:r>
    </w:p>
    <w:p w14:paraId="45B948A0">
      <w:pPr>
        <w:pStyle w:val="20"/>
        <w:rPr>
          <w:rFonts w:hint="eastAsia" w:ascii="宋体" w:hAnsi="宋体" w:eastAsia="宋体" w:cs="宋体"/>
          <w:highlight w:val="none"/>
        </w:rPr>
      </w:pPr>
      <w:r>
        <w:rPr>
          <w:rFonts w:hint="eastAsia" w:ascii="宋体" w:hAnsi="宋体" w:eastAsia="宋体" w:cs="宋体"/>
          <w:highlight w:val="none"/>
        </w:rPr>
        <w:t>1.7.3  采购人在踏勘现场中介绍的工程场地和相关的周边环境情况，仅作为供应商编制响应文件的参考，采购人不对供应商据此作出的判断和决策负责。</w:t>
      </w:r>
    </w:p>
    <w:p w14:paraId="261EBC49">
      <w:pPr>
        <w:pStyle w:val="2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1.8 询比采购预备会</w:t>
      </w:r>
    </w:p>
    <w:p w14:paraId="57A4F581">
      <w:pPr>
        <w:pStyle w:val="20"/>
        <w:rPr>
          <w:rFonts w:hint="eastAsia" w:ascii="宋体" w:hAnsi="宋体" w:eastAsia="宋体" w:cs="宋体"/>
          <w:highlight w:val="none"/>
        </w:rPr>
      </w:pPr>
      <w:r>
        <w:rPr>
          <w:rFonts w:hint="eastAsia" w:ascii="宋体" w:hAnsi="宋体" w:eastAsia="宋体" w:cs="宋体"/>
          <w:highlight w:val="none"/>
        </w:rPr>
        <w:t>供应商须知前附表规定召开询比采购预备会的，采购人按供应商须知前附表规定的时间和地点召开询比采购预备会。</w:t>
      </w:r>
    </w:p>
    <w:p w14:paraId="056A7A62">
      <w:pPr>
        <w:pStyle w:val="2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1.9 分包(A、C)</w:t>
      </w:r>
    </w:p>
    <w:p w14:paraId="512A4087">
      <w:pPr>
        <w:pStyle w:val="20"/>
        <w:rPr>
          <w:rFonts w:hint="eastAsia" w:ascii="宋体" w:hAnsi="宋体" w:eastAsia="宋体" w:cs="宋体"/>
          <w:highlight w:val="none"/>
        </w:rPr>
      </w:pPr>
      <w:r>
        <w:rPr>
          <w:rFonts w:hint="eastAsia" w:ascii="宋体" w:hAnsi="宋体" w:eastAsia="宋体" w:cs="宋体"/>
          <w:highlight w:val="none"/>
        </w:rPr>
        <w:t>供应商拟在成交后将成交项目的部分工作进行分包的，应符合供应商须知前附表的规定，并在响应文件中作出说明。</w:t>
      </w:r>
    </w:p>
    <w:p w14:paraId="2BD763C2">
      <w:pPr>
        <w:pStyle w:val="20"/>
        <w:rPr>
          <w:rFonts w:hint="eastAsia" w:ascii="宋体" w:hAnsi="宋体" w:eastAsia="宋体" w:cs="宋体"/>
          <w:highlight w:val="none"/>
        </w:rPr>
      </w:pPr>
      <w:r>
        <w:rPr>
          <w:rFonts w:hint="eastAsia" w:ascii="宋体" w:hAnsi="宋体" w:eastAsia="宋体" w:cs="宋体"/>
          <w:highlight w:val="none"/>
        </w:rPr>
        <w:t>分包供应商不得将分包项目再次分包。成交供应商应当就分包项目向采购人负责，分包供应商就分包项目承担连带责任。</w:t>
      </w:r>
    </w:p>
    <w:p w14:paraId="0F7C9F2A">
      <w:pPr>
        <w:pStyle w:val="2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1.9 主要材料和关键部件外购(B)</w:t>
      </w:r>
    </w:p>
    <w:p w14:paraId="1156B7F1">
      <w:pPr>
        <w:pStyle w:val="20"/>
        <w:rPr>
          <w:rFonts w:hint="eastAsia" w:ascii="宋体" w:hAnsi="宋体" w:eastAsia="宋体" w:cs="宋体"/>
          <w:highlight w:val="none"/>
        </w:rPr>
      </w:pPr>
      <w:r>
        <w:rPr>
          <w:rFonts w:hint="eastAsia" w:ascii="宋体" w:hAnsi="宋体" w:eastAsia="宋体" w:cs="宋体"/>
          <w:highlight w:val="none"/>
        </w:rPr>
        <w:t>供应商拟对主要材料和关键部件进行外购的，应符合第五章“采购需求”中提出的或允许外购的相关规定，并在响应文件中作出说明。</w:t>
      </w:r>
    </w:p>
    <w:p w14:paraId="565F8879">
      <w:pPr>
        <w:pStyle w:val="20"/>
        <w:ind w:left="0" w:leftChars="0" w:firstLine="0" w:firstLineChars="0"/>
        <w:rPr>
          <w:rFonts w:hint="eastAsia" w:ascii="宋体" w:hAnsi="宋体" w:eastAsia="宋体" w:cs="宋体"/>
          <w:b/>
          <w:bCs/>
          <w:highlight w:val="none"/>
        </w:rPr>
      </w:pPr>
      <w:r>
        <w:rPr>
          <w:rFonts w:hint="eastAsia" w:ascii="宋体" w:hAnsi="宋体" w:eastAsia="宋体" w:cs="宋体"/>
          <w:b/>
          <w:bCs/>
          <w:highlight w:val="none"/>
        </w:rPr>
        <w:t>1.10 响应和偏差</w:t>
      </w:r>
    </w:p>
    <w:p w14:paraId="327894BF">
      <w:pPr>
        <w:pStyle w:val="20"/>
        <w:rPr>
          <w:rFonts w:hint="eastAsia" w:ascii="宋体" w:hAnsi="宋体" w:eastAsia="宋体" w:cs="宋体"/>
          <w:highlight w:val="none"/>
        </w:rPr>
      </w:pPr>
      <w:r>
        <w:rPr>
          <w:rFonts w:hint="eastAsia" w:ascii="宋体" w:hAnsi="宋体" w:eastAsia="宋体" w:cs="宋体"/>
          <w:highlight w:val="none"/>
        </w:rPr>
        <w:t>1.10.1</w:t>
      </w:r>
      <w:r>
        <w:rPr>
          <w:rFonts w:hint="eastAsia" w:ascii="宋体" w:hAnsi="宋体" w:eastAsia="宋体" w:cs="宋体"/>
          <w:color w:val="auto"/>
          <w:highlight w:val="none"/>
        </w:rPr>
        <w:t xml:space="preserve"> 采购需求和合同条款及格式中的关键条款均以符号标记。响应文件应当对采购需求和合同条款及格式中的关键条款作出满足性或更有利于采购人的响应，否则，供应商的响应文件将被视为无效。</w:t>
      </w:r>
    </w:p>
    <w:p w14:paraId="771E633B">
      <w:pPr>
        <w:pStyle w:val="20"/>
        <w:rPr>
          <w:rFonts w:hint="eastAsia" w:ascii="宋体" w:hAnsi="宋体" w:eastAsia="宋体" w:cs="宋体"/>
          <w:highlight w:val="none"/>
        </w:rPr>
      </w:pPr>
      <w:r>
        <w:rPr>
          <w:rFonts w:hint="eastAsia" w:ascii="宋体" w:hAnsi="宋体" w:eastAsia="宋体" w:cs="宋体"/>
          <w:highlight w:val="none"/>
        </w:rPr>
        <w:t>1.10.2  供应商须知前附表规定了对非关键条款允许偏差的范围和可以偏差的项数的，如响应文件存在的偏差超出上述范围或项数，将被视为无效。</w:t>
      </w:r>
    </w:p>
    <w:p w14:paraId="6D12DCFC">
      <w:pPr>
        <w:ind w:left="0" w:leftChars="0" w:firstLine="0" w:firstLineChars="0"/>
        <w:jc w:val="both"/>
        <w:outlineLvl w:val="9"/>
        <w:rPr>
          <w:rFonts w:hint="eastAsia" w:ascii="宋体" w:hAnsi="宋体" w:eastAsia="宋体" w:cs="宋体"/>
          <w:b/>
          <w:bCs/>
          <w:snapToGrid w:val="0"/>
          <w:color w:val="000000"/>
          <w:kern w:val="0"/>
          <w:sz w:val="24"/>
          <w:szCs w:val="32"/>
          <w:highlight w:val="none"/>
          <w:lang w:val="en-US" w:eastAsia="en-US" w:bidi="ar-SA"/>
        </w:rPr>
      </w:pPr>
      <w:bookmarkStart w:id="30" w:name="_Toc31029"/>
      <w:bookmarkStart w:id="31" w:name="_Toc11736"/>
      <w:r>
        <w:rPr>
          <w:rFonts w:hint="eastAsia" w:ascii="宋体" w:hAnsi="宋体" w:eastAsia="宋体" w:cs="宋体"/>
          <w:b/>
          <w:bCs/>
          <w:snapToGrid w:val="0"/>
          <w:color w:val="000000"/>
          <w:kern w:val="0"/>
          <w:sz w:val="24"/>
          <w:szCs w:val="32"/>
          <w:highlight w:val="none"/>
          <w:lang w:val="en-US" w:eastAsia="en-US" w:bidi="ar-SA"/>
        </w:rPr>
        <w:t>2 采购文件</w:t>
      </w:r>
      <w:bookmarkEnd w:id="30"/>
      <w:bookmarkEnd w:id="31"/>
    </w:p>
    <w:p w14:paraId="0915400D">
      <w:pPr>
        <w:pStyle w:val="20"/>
        <w:ind w:left="0" w:leftChars="0" w:firstLine="0" w:firstLineChars="0"/>
        <w:rPr>
          <w:rFonts w:hint="eastAsia" w:ascii="宋体" w:hAnsi="宋体" w:eastAsia="宋体" w:cs="宋体"/>
          <w:b/>
          <w:bCs/>
          <w:highlight w:val="none"/>
          <w:lang w:val="en-US" w:eastAsia="zh-CN"/>
        </w:rPr>
      </w:pPr>
      <w:r>
        <w:rPr>
          <w:rFonts w:hint="eastAsia" w:ascii="宋体" w:hAnsi="宋体" w:eastAsia="宋体" w:cs="宋体"/>
          <w:b/>
          <w:bCs/>
          <w:highlight w:val="none"/>
        </w:rPr>
        <w:t>2.1 采购文件的</w:t>
      </w:r>
      <w:r>
        <w:rPr>
          <w:rFonts w:hint="eastAsia" w:ascii="宋体" w:hAnsi="宋体" w:eastAsia="宋体" w:cs="宋体"/>
          <w:b/>
          <w:bCs/>
          <w:highlight w:val="none"/>
          <w:lang w:val="en-US" w:eastAsia="zh-CN"/>
        </w:rPr>
        <w:t>组成</w:t>
      </w:r>
    </w:p>
    <w:p w14:paraId="683DE124">
      <w:pPr>
        <w:pStyle w:val="20"/>
        <w:ind w:left="0" w:leftChars="0" w:firstLine="480" w:firstLineChars="200"/>
        <w:rPr>
          <w:rFonts w:hint="eastAsia" w:ascii="宋体" w:hAnsi="宋体" w:eastAsia="宋体" w:cs="宋体"/>
          <w:highlight w:val="none"/>
        </w:rPr>
      </w:pPr>
      <w:r>
        <w:rPr>
          <w:rFonts w:hint="eastAsia" w:ascii="宋体" w:hAnsi="宋体" w:eastAsia="宋体" w:cs="宋体"/>
          <w:highlight w:val="none"/>
        </w:rPr>
        <w:t>本采购文件包括：</w:t>
      </w:r>
    </w:p>
    <w:p w14:paraId="34C99C6B">
      <w:pPr>
        <w:pStyle w:val="20"/>
        <w:rPr>
          <w:rFonts w:hint="eastAsia" w:ascii="宋体" w:hAnsi="宋体" w:eastAsia="宋体" w:cs="宋体"/>
          <w:highlight w:val="none"/>
        </w:rPr>
      </w:pPr>
      <w:r>
        <w:rPr>
          <w:rFonts w:hint="eastAsia" w:ascii="宋体" w:hAnsi="宋体" w:eastAsia="宋体" w:cs="宋体"/>
          <w:highlight w:val="none"/>
        </w:rPr>
        <w:t>(1)询比采购公告(或询比采购邀请书）；</w:t>
      </w:r>
    </w:p>
    <w:p w14:paraId="58793905">
      <w:pPr>
        <w:pStyle w:val="20"/>
        <w:rPr>
          <w:rFonts w:hint="eastAsia" w:ascii="宋体" w:hAnsi="宋体" w:eastAsia="宋体" w:cs="宋体"/>
          <w:highlight w:val="none"/>
        </w:rPr>
      </w:pPr>
      <w:r>
        <w:rPr>
          <w:rFonts w:hint="eastAsia" w:ascii="宋体" w:hAnsi="宋体" w:eastAsia="宋体" w:cs="宋体"/>
          <w:highlight w:val="none"/>
        </w:rPr>
        <w:t>(2)供应商须知；</w:t>
      </w:r>
    </w:p>
    <w:p w14:paraId="661A2EDC">
      <w:pPr>
        <w:pStyle w:val="20"/>
        <w:rPr>
          <w:rFonts w:hint="eastAsia" w:ascii="宋体" w:hAnsi="宋体" w:eastAsia="宋体" w:cs="宋体"/>
          <w:highlight w:val="none"/>
        </w:rPr>
      </w:pPr>
      <w:r>
        <w:rPr>
          <w:rFonts w:hint="eastAsia" w:ascii="宋体" w:hAnsi="宋体" w:eastAsia="宋体" w:cs="宋体"/>
          <w:highlight w:val="none"/>
        </w:rPr>
        <w:t>(3)评审办法；</w:t>
      </w:r>
    </w:p>
    <w:p w14:paraId="57211C6A">
      <w:pPr>
        <w:pStyle w:val="20"/>
        <w:rPr>
          <w:rFonts w:hint="eastAsia" w:ascii="宋体" w:hAnsi="宋体" w:eastAsia="宋体" w:cs="宋体"/>
          <w:highlight w:val="none"/>
        </w:rPr>
      </w:pPr>
      <w:r>
        <w:rPr>
          <w:rFonts w:hint="eastAsia" w:ascii="宋体" w:hAnsi="宋体" w:eastAsia="宋体" w:cs="宋体"/>
          <w:highlight w:val="none"/>
        </w:rPr>
        <w:t>(4)合同条款及格式；</w:t>
      </w:r>
    </w:p>
    <w:p w14:paraId="3CC96711">
      <w:pPr>
        <w:pStyle w:val="20"/>
        <w:rPr>
          <w:rFonts w:hint="eastAsia" w:ascii="宋体" w:hAnsi="宋体" w:eastAsia="宋体" w:cs="宋体"/>
          <w:highlight w:val="none"/>
        </w:rPr>
      </w:pPr>
      <w:r>
        <w:rPr>
          <w:rFonts w:hint="eastAsia" w:ascii="宋体" w:hAnsi="宋体" w:eastAsia="宋体" w:cs="宋体"/>
          <w:highlight w:val="none"/>
        </w:rPr>
        <w:t>(5)采购需求；</w:t>
      </w:r>
    </w:p>
    <w:p w14:paraId="1625FE61">
      <w:pPr>
        <w:pStyle w:val="20"/>
        <w:rPr>
          <w:rFonts w:hint="eastAsia" w:ascii="宋体" w:hAnsi="宋体" w:eastAsia="宋体" w:cs="宋体"/>
          <w:highlight w:val="none"/>
        </w:rPr>
      </w:pPr>
      <w:r>
        <w:rPr>
          <w:rFonts w:hint="eastAsia" w:ascii="宋体" w:hAnsi="宋体" w:eastAsia="宋体" w:cs="宋体"/>
          <w:highlight w:val="none"/>
        </w:rPr>
        <w:t>(6)响应文件格式；</w:t>
      </w:r>
    </w:p>
    <w:p w14:paraId="3DB6273A">
      <w:pPr>
        <w:pStyle w:val="20"/>
        <w:rPr>
          <w:rFonts w:hint="eastAsia" w:ascii="宋体" w:hAnsi="宋体" w:eastAsia="宋体" w:cs="宋体"/>
          <w:highlight w:val="none"/>
        </w:rPr>
      </w:pPr>
      <w:r>
        <w:rPr>
          <w:rFonts w:hint="eastAsia" w:ascii="宋体" w:hAnsi="宋体" w:eastAsia="宋体" w:cs="宋体"/>
          <w:highlight w:val="none"/>
        </w:rPr>
        <w:t>采购人依照本章规定，对采购文件所作的澄清、修改，构成采购文件的组成部分。</w:t>
      </w:r>
    </w:p>
    <w:p w14:paraId="2E96FBC3">
      <w:pPr>
        <w:pStyle w:val="20"/>
        <w:ind w:left="0" w:leftChars="0" w:firstLine="0" w:firstLineChars="0"/>
        <w:rPr>
          <w:rFonts w:hint="eastAsia" w:ascii="宋体" w:hAnsi="宋体" w:eastAsia="宋体" w:cs="宋体"/>
          <w:highlight w:val="none"/>
        </w:rPr>
      </w:pPr>
      <w:r>
        <w:rPr>
          <w:rFonts w:hint="eastAsia" w:ascii="宋体" w:hAnsi="宋体" w:eastAsia="宋体" w:cs="宋体"/>
          <w:b/>
          <w:bCs/>
          <w:highlight w:val="none"/>
        </w:rPr>
        <w:t>2.2 采购文件的澄清和修改</w:t>
      </w:r>
    </w:p>
    <w:p w14:paraId="2F84CCCD">
      <w:pPr>
        <w:pStyle w:val="20"/>
        <w:rPr>
          <w:rFonts w:hint="eastAsia" w:ascii="宋体" w:hAnsi="宋体" w:eastAsia="宋体" w:cs="宋体"/>
          <w:color w:val="auto"/>
          <w:highlight w:val="none"/>
        </w:rPr>
      </w:pPr>
      <w:r>
        <w:rPr>
          <w:rFonts w:hint="eastAsia" w:ascii="宋体" w:hAnsi="宋体" w:eastAsia="宋体" w:cs="宋体"/>
          <w:highlight w:val="none"/>
        </w:rPr>
        <w:t>2.2.1  供应商应仔细阅读和检查采购文件的全部内容。如发现缺页或内容不全，应及时向采购人提出，以便补齐。如有</w:t>
      </w:r>
      <w:r>
        <w:rPr>
          <w:rFonts w:hint="eastAsia" w:ascii="宋体" w:hAnsi="宋体" w:eastAsia="宋体" w:cs="宋体"/>
          <w:color w:val="auto"/>
          <w:highlight w:val="none"/>
        </w:rPr>
        <w:t>疑问，应在供应商须知前附表规定的时间前，以书面形式要求采购人对采购文件予以澄清。</w:t>
      </w:r>
    </w:p>
    <w:p w14:paraId="3C20242F">
      <w:pPr>
        <w:pStyle w:val="20"/>
        <w:rPr>
          <w:rFonts w:hint="eastAsia" w:ascii="宋体" w:hAnsi="宋体" w:eastAsia="宋体" w:cs="宋体"/>
          <w:color w:val="auto"/>
          <w:highlight w:val="none"/>
        </w:rPr>
      </w:pPr>
      <w:r>
        <w:rPr>
          <w:rFonts w:hint="eastAsia" w:ascii="宋体" w:hAnsi="宋体" w:eastAsia="宋体" w:cs="宋体"/>
          <w:color w:val="auto"/>
          <w:highlight w:val="none"/>
        </w:rPr>
        <w:t>2.2.2  采购人可根据供应商的要求或主动对采购文件进行澄清或修改。澄清或修改的 内容以补充文件的形式发给所有获取采购文件的供应商。采购人可视具体情况在补充文件中通知供应商推迟递交响应文件的截止时间。</w:t>
      </w:r>
    </w:p>
    <w:p w14:paraId="01622D86">
      <w:pPr>
        <w:pStyle w:val="20"/>
        <w:rPr>
          <w:rFonts w:hint="eastAsia" w:ascii="宋体" w:hAnsi="宋体" w:eastAsia="宋体" w:cs="宋体"/>
          <w:color w:val="auto"/>
          <w:highlight w:val="none"/>
        </w:rPr>
      </w:pPr>
      <w:r>
        <w:rPr>
          <w:rFonts w:hint="eastAsia" w:ascii="宋体" w:hAnsi="宋体" w:eastAsia="宋体" w:cs="宋体"/>
          <w:color w:val="auto"/>
          <w:highlight w:val="none"/>
        </w:rPr>
        <w:t>2.2.3  供应商在收到补充文件后，应按供应商须知前附表规定的时间和方式通知采购人，确认已收到该补充文件。</w:t>
      </w:r>
    </w:p>
    <w:p w14:paraId="0D826AD2">
      <w:pPr>
        <w:pStyle w:val="20"/>
        <w:rPr>
          <w:rFonts w:hint="eastAsia" w:ascii="宋体" w:hAnsi="宋体" w:eastAsia="宋体" w:cs="宋体"/>
          <w:color w:val="auto"/>
          <w:highlight w:val="none"/>
        </w:rPr>
      </w:pPr>
      <w:r>
        <w:rPr>
          <w:rFonts w:hint="eastAsia" w:ascii="宋体" w:hAnsi="宋体" w:eastAsia="宋体" w:cs="宋体"/>
          <w:color w:val="auto"/>
          <w:highlight w:val="none"/>
        </w:rPr>
        <w:t>2.2.4 除非确有必要，采购人有权拒绝回复供应商在本章第 2.2.1 项规定的时间后提出的任何澄清要求。</w:t>
      </w:r>
    </w:p>
    <w:p w14:paraId="7E13E804">
      <w:pPr>
        <w:ind w:left="0" w:leftChars="0" w:firstLine="0" w:firstLineChars="0"/>
        <w:jc w:val="both"/>
        <w:outlineLvl w:val="9"/>
        <w:rPr>
          <w:rFonts w:hint="eastAsia" w:ascii="宋体" w:hAnsi="宋体" w:eastAsia="宋体" w:cs="宋体"/>
          <w:b/>
          <w:bCs/>
          <w:snapToGrid w:val="0"/>
          <w:color w:val="auto"/>
          <w:kern w:val="0"/>
          <w:sz w:val="24"/>
          <w:szCs w:val="32"/>
          <w:highlight w:val="none"/>
          <w:lang w:val="en-US" w:eastAsia="en-US" w:bidi="ar-SA"/>
        </w:rPr>
      </w:pPr>
      <w:bookmarkStart w:id="32" w:name="_Toc6829"/>
      <w:bookmarkStart w:id="33" w:name="_Toc10433"/>
      <w:r>
        <w:rPr>
          <w:rFonts w:hint="eastAsia" w:ascii="宋体" w:hAnsi="宋体" w:eastAsia="宋体" w:cs="宋体"/>
          <w:b/>
          <w:bCs/>
          <w:snapToGrid w:val="0"/>
          <w:color w:val="auto"/>
          <w:kern w:val="0"/>
          <w:sz w:val="24"/>
          <w:szCs w:val="32"/>
          <w:highlight w:val="none"/>
          <w:lang w:val="en-US" w:eastAsia="en-US" w:bidi="ar-SA"/>
        </w:rPr>
        <w:t>3 响应</w:t>
      </w:r>
      <w:r>
        <w:rPr>
          <w:rFonts w:hint="eastAsia" w:ascii="宋体" w:hAnsi="宋体" w:eastAsia="宋体" w:cs="宋体"/>
          <w:b/>
          <w:bCs/>
          <w:snapToGrid w:val="0"/>
          <w:color w:val="auto"/>
          <w:kern w:val="0"/>
          <w:sz w:val="24"/>
          <w:szCs w:val="32"/>
          <w:highlight w:val="none"/>
          <w:lang w:val="en-US" w:eastAsia="zh-CN" w:bidi="ar-SA"/>
        </w:rPr>
        <w:t>组成</w:t>
      </w:r>
      <w:r>
        <w:rPr>
          <w:rFonts w:hint="eastAsia" w:ascii="宋体" w:hAnsi="宋体" w:eastAsia="宋体" w:cs="宋体"/>
          <w:b/>
          <w:bCs/>
          <w:snapToGrid w:val="0"/>
          <w:color w:val="auto"/>
          <w:kern w:val="0"/>
          <w:sz w:val="24"/>
          <w:szCs w:val="32"/>
          <w:highlight w:val="none"/>
          <w:lang w:val="en-US" w:eastAsia="en-US" w:bidi="ar-SA"/>
        </w:rPr>
        <w:t>文件</w:t>
      </w:r>
      <w:bookmarkEnd w:id="32"/>
      <w:bookmarkEnd w:id="33"/>
    </w:p>
    <w:p w14:paraId="2B3E839F">
      <w:pPr>
        <w:pStyle w:val="20"/>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3.1 响应文件的组成</w:t>
      </w:r>
    </w:p>
    <w:p w14:paraId="6C05FA99">
      <w:pPr>
        <w:pStyle w:val="20"/>
        <w:rPr>
          <w:rFonts w:hint="eastAsia" w:ascii="宋体" w:hAnsi="宋体" w:eastAsia="宋体" w:cs="宋体"/>
          <w:color w:val="auto"/>
          <w:highlight w:val="none"/>
        </w:rPr>
      </w:pPr>
      <w:r>
        <w:rPr>
          <w:rFonts w:hint="eastAsia" w:ascii="宋体" w:hAnsi="宋体" w:eastAsia="宋体" w:cs="宋体"/>
          <w:color w:val="auto"/>
          <w:highlight w:val="none"/>
        </w:rPr>
        <w:t>3.1.1 响应文件应包括下列内容：</w:t>
      </w:r>
    </w:p>
    <w:p w14:paraId="18F90037">
      <w:pPr>
        <w:pStyle w:val="20"/>
        <w:rPr>
          <w:rFonts w:hint="eastAsia" w:ascii="宋体" w:hAnsi="宋体" w:eastAsia="宋体" w:cs="宋体"/>
          <w:color w:val="auto"/>
          <w:highlight w:val="none"/>
        </w:rPr>
      </w:pPr>
      <w:r>
        <w:rPr>
          <w:rFonts w:hint="eastAsia" w:ascii="宋体" w:hAnsi="宋体" w:eastAsia="宋体" w:cs="宋体"/>
          <w:color w:val="auto"/>
          <w:highlight w:val="none"/>
        </w:rPr>
        <w:t>(1)响应函；</w:t>
      </w:r>
    </w:p>
    <w:p w14:paraId="2E0B2818">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报价一览表</w:t>
      </w:r>
    </w:p>
    <w:p w14:paraId="47134511">
      <w:pPr>
        <w:pStyle w:val="2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授权委托书(如有）；</w:t>
      </w:r>
    </w:p>
    <w:p w14:paraId="3D7B77B0">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分项报价表</w:t>
      </w:r>
    </w:p>
    <w:p w14:paraId="3375F6FB">
      <w:pPr>
        <w:pStyle w:val="20"/>
        <w:ind w:left="0" w:leftChars="0" w:firstLine="420" w:firstLineChars="175"/>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（5）项目要求响应情况表</w:t>
      </w:r>
      <w:r>
        <w:rPr>
          <w:rFonts w:hint="eastAsia" w:ascii="宋体" w:hAnsi="宋体" w:eastAsia="宋体" w:cs="宋体"/>
          <w:color w:val="auto"/>
          <w:highlight w:val="none"/>
        </w:rPr>
        <w:t>；</w:t>
      </w:r>
    </w:p>
    <w:p w14:paraId="441B3F01">
      <w:pPr>
        <w:pStyle w:val="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商务要求响应情况表</w:t>
      </w:r>
      <w:r>
        <w:rPr>
          <w:rFonts w:hint="eastAsia" w:ascii="宋体" w:hAnsi="宋体" w:eastAsia="宋体" w:cs="宋体"/>
          <w:color w:val="auto"/>
          <w:highlight w:val="none"/>
        </w:rPr>
        <w:t>；</w:t>
      </w:r>
    </w:p>
    <w:p w14:paraId="337DC15F">
      <w:pPr>
        <w:pStyle w:val="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本项目实施方案</w:t>
      </w:r>
      <w:r>
        <w:rPr>
          <w:rFonts w:hint="eastAsia" w:ascii="宋体" w:hAnsi="宋体" w:eastAsia="宋体" w:cs="宋体"/>
          <w:color w:val="auto"/>
          <w:highlight w:val="none"/>
        </w:rPr>
        <w:t>；</w:t>
      </w:r>
    </w:p>
    <w:p w14:paraId="44361F14">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资格证明及其他重要资料</w:t>
      </w:r>
    </w:p>
    <w:p w14:paraId="30D94C0E">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（9）声明函</w:t>
      </w:r>
    </w:p>
    <w:p w14:paraId="1DA5765C">
      <w:pPr>
        <w:pStyle w:val="2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（10）承诺书</w:t>
      </w:r>
    </w:p>
    <w:p w14:paraId="116479A9">
      <w:pPr>
        <w:pStyle w:val="20"/>
        <w:ind w:left="0" w:leftChars="0" w:firstLine="638" w:firstLineChars="266"/>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其他资料。</w:t>
      </w:r>
    </w:p>
    <w:p w14:paraId="4A57CED7">
      <w:pPr>
        <w:pStyle w:val="2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中小企业声明函（如有）</w:t>
      </w:r>
    </w:p>
    <w:p w14:paraId="679E3341">
      <w:pPr>
        <w:pStyle w:val="20"/>
        <w:rPr>
          <w:rFonts w:hint="eastAsia" w:ascii="宋体" w:hAnsi="宋体" w:eastAsia="宋体" w:cs="宋体"/>
          <w:color w:val="auto"/>
          <w:highlight w:val="none"/>
        </w:rPr>
      </w:pPr>
      <w:r>
        <w:rPr>
          <w:rFonts w:hint="eastAsia" w:ascii="宋体" w:hAnsi="宋体" w:eastAsia="宋体" w:cs="宋体"/>
          <w:color w:val="auto"/>
          <w:highlight w:val="none"/>
        </w:rPr>
        <w:t>供应商在评审过程中作出的符合采购文件要求的澄清、说明和补正，构成响应文件的组成部分。</w:t>
      </w:r>
    </w:p>
    <w:p w14:paraId="16238EFB">
      <w:pPr>
        <w:pStyle w:val="20"/>
        <w:rPr>
          <w:rFonts w:hint="eastAsia" w:ascii="宋体" w:hAnsi="宋体" w:eastAsia="宋体" w:cs="宋体"/>
          <w:color w:val="auto"/>
          <w:highlight w:val="none"/>
        </w:rPr>
      </w:pPr>
      <w:r>
        <w:rPr>
          <w:rFonts w:hint="eastAsia" w:ascii="宋体" w:hAnsi="宋体" w:eastAsia="宋体" w:cs="宋体"/>
          <w:color w:val="auto"/>
          <w:highlight w:val="none"/>
        </w:rPr>
        <w:t>3.1.2 供应商的法定代表人(单位负责人）亲自签署响应文件、亲自参加询比的，响应文件不包括第 3. 1.1 (2)目所指的授权委托书。第一章“询比采购公告/ 询比采购邀请书”规定不接受联合体的，或供应商没有组成联合体的，响应文件不包括第 3.1.1 (3)目所指的联合体协议书。供应商须知前附表未要求供应商递交响应保证金的，响应文件不包括第 3. 1.1 (4)目所指的响应保证金。</w:t>
      </w:r>
    </w:p>
    <w:p w14:paraId="6E3D6A6D">
      <w:pPr>
        <w:pStyle w:val="20"/>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3.2 报价</w:t>
      </w:r>
    </w:p>
    <w:p w14:paraId="0CCA5988">
      <w:pPr>
        <w:pStyle w:val="20"/>
        <w:rPr>
          <w:rFonts w:hint="eastAsia" w:ascii="宋体" w:hAnsi="宋体" w:eastAsia="宋体" w:cs="宋体"/>
          <w:color w:val="auto"/>
          <w:highlight w:val="none"/>
        </w:rPr>
      </w:pPr>
      <w:r>
        <w:rPr>
          <w:rFonts w:hint="eastAsia" w:ascii="宋体" w:hAnsi="宋体" w:eastAsia="宋体" w:cs="宋体"/>
          <w:color w:val="auto"/>
          <w:highlight w:val="none"/>
        </w:rPr>
        <w:t>3.2.1 供应商应按采购文件提供的格式(见第六章“响应文件格式”）在响应函和报价表中进行报价。响应函中报价应为包含国家规定的增值税在内的含税价格，同时应列明不含税价格和增值税税额，采购人将根据项目情况，在第三章 “评审办法”第 2.2.2 项中选择按照含税价格或不含税价格对供应商进行价格评审。</w:t>
      </w:r>
    </w:p>
    <w:p w14:paraId="0467D842">
      <w:pPr>
        <w:pStyle w:val="20"/>
        <w:rPr>
          <w:rFonts w:hint="eastAsia" w:ascii="宋体" w:hAnsi="宋体" w:eastAsia="宋体" w:cs="宋体"/>
          <w:color w:val="auto"/>
          <w:highlight w:val="none"/>
        </w:rPr>
      </w:pPr>
      <w:r>
        <w:rPr>
          <w:rFonts w:hint="eastAsia" w:ascii="宋体" w:hAnsi="宋体" w:eastAsia="宋体" w:cs="宋体"/>
          <w:color w:val="auto"/>
          <w:highlight w:val="none"/>
        </w:rPr>
        <w:t>3.2.2  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14:paraId="0F6043D2">
      <w:pPr>
        <w:pStyle w:val="20"/>
        <w:rPr>
          <w:rFonts w:hint="eastAsia" w:ascii="宋体" w:hAnsi="宋体" w:eastAsia="宋体" w:cs="宋体"/>
          <w:color w:val="auto"/>
          <w:highlight w:val="none"/>
        </w:rPr>
      </w:pPr>
      <w:r>
        <w:rPr>
          <w:rFonts w:hint="eastAsia" w:ascii="宋体" w:hAnsi="宋体" w:eastAsia="宋体" w:cs="宋体"/>
          <w:color w:val="auto"/>
          <w:highlight w:val="none"/>
        </w:rPr>
        <w:t>3.2.3  采购人设有最高限价的，供应商的报价不得超过最高限价。最高限价或最高限价计算方法在供应商须知前附表中载明。</w:t>
      </w:r>
    </w:p>
    <w:p w14:paraId="669B1E40">
      <w:pPr>
        <w:pStyle w:val="20"/>
        <w:rPr>
          <w:rFonts w:hint="eastAsia" w:ascii="宋体" w:hAnsi="宋体" w:eastAsia="宋体" w:cs="宋体"/>
          <w:color w:val="auto"/>
          <w:highlight w:val="none"/>
        </w:rPr>
      </w:pPr>
      <w:r>
        <w:rPr>
          <w:rFonts w:hint="eastAsia" w:ascii="宋体" w:hAnsi="宋体" w:eastAsia="宋体" w:cs="宋体"/>
          <w:color w:val="auto"/>
          <w:highlight w:val="none"/>
        </w:rPr>
        <w:t>3.2.4 报价的其他要求见供应商须知前附表。</w:t>
      </w:r>
    </w:p>
    <w:p w14:paraId="2443659E">
      <w:pPr>
        <w:pStyle w:val="20"/>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3.3 响应文件有效期</w:t>
      </w:r>
    </w:p>
    <w:p w14:paraId="131E71A1">
      <w:pPr>
        <w:pStyle w:val="20"/>
        <w:rPr>
          <w:rFonts w:hint="eastAsia" w:ascii="宋体" w:hAnsi="宋体" w:eastAsia="宋体" w:cs="宋体"/>
          <w:color w:val="auto"/>
          <w:highlight w:val="none"/>
        </w:rPr>
      </w:pPr>
      <w:r>
        <w:rPr>
          <w:rFonts w:hint="eastAsia" w:ascii="宋体" w:hAnsi="宋体" w:eastAsia="宋体" w:cs="宋体"/>
          <w:color w:val="auto"/>
          <w:highlight w:val="none"/>
        </w:rPr>
        <w:t>3.3.1 除供应商须知前附表另有规定外，响应文件有效期应为</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0日，从采购文件规 定的递交响应文件的截止时间开始计算。</w:t>
      </w:r>
    </w:p>
    <w:p w14:paraId="7148B8CF">
      <w:pPr>
        <w:pStyle w:val="20"/>
        <w:rPr>
          <w:rFonts w:hint="eastAsia" w:ascii="宋体" w:hAnsi="宋体" w:eastAsia="宋体" w:cs="宋体"/>
          <w:highlight w:val="none"/>
        </w:rPr>
      </w:pPr>
      <w:r>
        <w:rPr>
          <w:rFonts w:hint="eastAsia" w:ascii="宋体" w:hAnsi="宋体" w:eastAsia="宋体" w:cs="宋体"/>
          <w:color w:val="auto"/>
          <w:highlight w:val="none"/>
        </w:rPr>
        <w:t>3.3.2 出现特殊情况需要延长响应文件有效期的，采购人以书面形式通知所有供应商延长响应文件有效期，供应商应予以书面答复。同意延长的，应相应延长其</w:t>
      </w:r>
      <w:r>
        <w:rPr>
          <w:rFonts w:hint="eastAsia" w:ascii="宋体" w:hAnsi="宋体" w:eastAsia="宋体" w:cs="宋体"/>
          <w:highlight w:val="none"/>
        </w:rPr>
        <w:t>响应保证金的有效期，但不得修改其响应文件；供应商拒绝延长的，其响应文件在原有效期届满后失效，但供应商有权收回其响应保证金。</w:t>
      </w:r>
    </w:p>
    <w:p w14:paraId="040F6142">
      <w:pPr>
        <w:pStyle w:val="20"/>
        <w:ind w:left="0" w:leftChars="0" w:firstLine="0" w:firstLineChars="0"/>
        <w:rPr>
          <w:rFonts w:hint="eastAsia" w:ascii="宋体" w:hAnsi="宋体" w:eastAsia="宋体" w:cs="宋体"/>
          <w:b/>
          <w:bCs/>
          <w:highlight w:val="none"/>
          <w:lang w:eastAsia="zh-CN"/>
        </w:rPr>
      </w:pPr>
      <w:r>
        <w:rPr>
          <w:rFonts w:hint="eastAsia" w:ascii="宋体" w:hAnsi="宋体" w:eastAsia="宋体" w:cs="宋体"/>
          <w:b/>
          <w:bCs/>
          <w:highlight w:val="none"/>
        </w:rPr>
        <w:t>3.4 响应保证金</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本项目无</w:t>
      </w:r>
      <w:r>
        <w:rPr>
          <w:rFonts w:hint="eastAsia" w:ascii="宋体" w:hAnsi="宋体" w:eastAsia="宋体" w:cs="宋体"/>
          <w:b/>
          <w:bCs/>
          <w:highlight w:val="none"/>
          <w:lang w:eastAsia="zh-CN"/>
        </w:rPr>
        <w:t>）</w:t>
      </w:r>
    </w:p>
    <w:p w14:paraId="16546E2C">
      <w:pPr>
        <w:pStyle w:val="20"/>
        <w:rPr>
          <w:rFonts w:hint="eastAsia" w:ascii="宋体" w:hAnsi="宋体" w:eastAsia="宋体" w:cs="宋体"/>
          <w:highlight w:val="none"/>
        </w:rPr>
      </w:pPr>
      <w:r>
        <w:rPr>
          <w:rFonts w:hint="eastAsia" w:ascii="宋体" w:hAnsi="宋体" w:eastAsia="宋体" w:cs="宋体"/>
          <w:highlight w:val="none"/>
        </w:rPr>
        <w:t>3.4.1 供应商须知前附表规定要求递交响应保证金的，供应商在递交响应文件的同时，应按供应商须知前附表规定的金额、形式递交响应保证金，并作为其响应文件的组成部分。供应商不按要求递交响应保证金的，其响应文件将被视为无效。</w:t>
      </w:r>
    </w:p>
    <w:p w14:paraId="1000CCE2">
      <w:pPr>
        <w:pStyle w:val="20"/>
        <w:rPr>
          <w:rFonts w:hint="eastAsia" w:ascii="宋体" w:hAnsi="宋体" w:eastAsia="宋体" w:cs="宋体"/>
          <w:highlight w:val="none"/>
        </w:rPr>
      </w:pPr>
      <w:r>
        <w:rPr>
          <w:rFonts w:hint="eastAsia" w:ascii="宋体" w:hAnsi="宋体" w:eastAsia="宋体" w:cs="宋体"/>
          <w:highlight w:val="none"/>
        </w:rPr>
        <w:t>3.4.2 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14:paraId="3801C2C5">
      <w:pPr>
        <w:pStyle w:val="20"/>
        <w:rPr>
          <w:rFonts w:hint="eastAsia" w:ascii="宋体" w:hAnsi="宋体" w:eastAsia="宋体" w:cs="宋体"/>
          <w:highlight w:val="none"/>
        </w:rPr>
      </w:pPr>
      <w:r>
        <w:rPr>
          <w:rFonts w:hint="eastAsia" w:ascii="宋体" w:hAnsi="宋体" w:eastAsia="宋体" w:cs="宋体"/>
          <w:highlight w:val="none"/>
        </w:rPr>
        <w:t>3.4.3 有下列情形之一的，响应保证金将不予退还：</w:t>
      </w:r>
    </w:p>
    <w:p w14:paraId="0F1E4838">
      <w:pPr>
        <w:pStyle w:val="20"/>
        <w:rPr>
          <w:rFonts w:hint="eastAsia" w:ascii="宋体" w:hAnsi="宋体" w:eastAsia="宋体" w:cs="宋体"/>
          <w:highlight w:val="none"/>
        </w:rPr>
      </w:pPr>
      <w:r>
        <w:rPr>
          <w:rFonts w:hint="eastAsia" w:ascii="宋体" w:hAnsi="宋体" w:eastAsia="宋体" w:cs="宋体"/>
          <w:highlight w:val="none"/>
        </w:rPr>
        <w:t>(1)供应商在响应文件有效期内撤销响应文件；</w:t>
      </w:r>
    </w:p>
    <w:p w14:paraId="664C86C0">
      <w:pPr>
        <w:pStyle w:val="20"/>
        <w:rPr>
          <w:rFonts w:hint="eastAsia" w:ascii="宋体" w:hAnsi="宋体" w:eastAsia="宋体" w:cs="宋体"/>
          <w:highlight w:val="none"/>
        </w:rPr>
      </w:pPr>
      <w:r>
        <w:rPr>
          <w:rFonts w:hint="eastAsia" w:ascii="宋体" w:hAnsi="宋体" w:eastAsia="宋体" w:cs="宋体"/>
          <w:highlight w:val="none"/>
        </w:rPr>
        <w:t>(2)成交供应商在收到成交通知书后，无正当理由不与采购人订立合同，在签订合同时向采购人提出附加条件，或者不按照采购文件要求递交履约保证金；</w:t>
      </w:r>
    </w:p>
    <w:p w14:paraId="30FA4FE2">
      <w:pPr>
        <w:pStyle w:val="20"/>
        <w:rPr>
          <w:rFonts w:hint="eastAsia" w:ascii="宋体" w:hAnsi="宋体" w:eastAsia="宋体" w:cs="宋体"/>
          <w:color w:val="auto"/>
          <w:highlight w:val="none"/>
        </w:rPr>
      </w:pPr>
      <w:r>
        <w:rPr>
          <w:rFonts w:hint="eastAsia" w:ascii="宋体" w:hAnsi="宋体" w:eastAsia="宋体" w:cs="宋体"/>
          <w:highlight w:val="none"/>
        </w:rPr>
        <w:t>(3)发生供应商须知前附表规定的其他不予退还响应</w:t>
      </w:r>
      <w:r>
        <w:rPr>
          <w:rFonts w:hint="eastAsia" w:ascii="宋体" w:hAnsi="宋体" w:eastAsia="宋体" w:cs="宋体"/>
          <w:color w:val="auto"/>
          <w:highlight w:val="none"/>
        </w:rPr>
        <w:t>保证金的情形。</w:t>
      </w:r>
    </w:p>
    <w:p w14:paraId="5B1FADA7">
      <w:pPr>
        <w:pStyle w:val="20"/>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3.5 资格审查资料</w:t>
      </w:r>
    </w:p>
    <w:p w14:paraId="601877D4">
      <w:pPr>
        <w:pStyle w:val="20"/>
        <w:rPr>
          <w:rFonts w:hint="eastAsia" w:ascii="宋体" w:hAnsi="宋体" w:eastAsia="宋体" w:cs="宋体"/>
          <w:color w:val="auto"/>
          <w:highlight w:val="none"/>
        </w:rPr>
      </w:pPr>
      <w:r>
        <w:rPr>
          <w:rFonts w:hint="eastAsia" w:ascii="宋体" w:hAnsi="宋体" w:eastAsia="宋体" w:cs="宋体"/>
          <w:color w:val="auto"/>
          <w:highlight w:val="none"/>
        </w:rPr>
        <w:t>供应商应提供供应商须知前附表</w:t>
      </w:r>
      <w:r>
        <w:rPr>
          <w:rFonts w:hint="eastAsia" w:ascii="宋体" w:hAnsi="宋体" w:eastAsia="宋体" w:cs="宋体"/>
          <w:color w:val="auto"/>
          <w:highlight w:val="none"/>
          <w:lang w:val="en-US" w:eastAsia="zh-CN"/>
        </w:rPr>
        <w:t>17条</w:t>
      </w:r>
      <w:r>
        <w:rPr>
          <w:rFonts w:hint="eastAsia" w:ascii="宋体" w:hAnsi="宋体" w:eastAsia="宋体" w:cs="宋体"/>
          <w:color w:val="auto"/>
          <w:highlight w:val="none"/>
        </w:rPr>
        <w:t>中规定的资格审查资料，以证明其满足第一章“询比采购公告/询比采购邀请书”对供应商的各项资格要求。</w:t>
      </w:r>
    </w:p>
    <w:p w14:paraId="19FAEA2E">
      <w:pPr>
        <w:pStyle w:val="20"/>
        <w:ind w:left="0" w:leftChars="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3.6 响应方案</w:t>
      </w:r>
    </w:p>
    <w:p w14:paraId="3EE5C8E7">
      <w:pPr>
        <w:pStyle w:val="20"/>
        <w:rPr>
          <w:rFonts w:hint="eastAsia" w:ascii="宋体" w:hAnsi="宋体" w:eastAsia="宋体" w:cs="宋体"/>
          <w:color w:val="auto"/>
          <w:highlight w:val="none"/>
        </w:rPr>
      </w:pPr>
      <w:r>
        <w:rPr>
          <w:rFonts w:hint="eastAsia" w:ascii="宋体" w:hAnsi="宋体" w:eastAsia="宋体" w:cs="宋体"/>
          <w:color w:val="auto"/>
          <w:highlight w:val="none"/>
        </w:rPr>
        <w:t>3.6.1  响应文件应当对采购文件中的实质性内容作出响应。采购需求中明确为关键条 款(标记“* ”）的，供应商还应按照供应商须知前附表的规定提供有关证据或证明材料。</w:t>
      </w:r>
    </w:p>
    <w:p w14:paraId="62BB0D88">
      <w:pPr>
        <w:pStyle w:val="20"/>
        <w:rPr>
          <w:rFonts w:hint="eastAsia" w:ascii="宋体" w:hAnsi="宋体" w:eastAsia="宋体" w:cs="宋体"/>
          <w:color w:val="auto"/>
          <w:highlight w:val="none"/>
        </w:rPr>
      </w:pPr>
      <w:r>
        <w:rPr>
          <w:rFonts w:hint="eastAsia" w:ascii="宋体" w:hAnsi="宋体" w:eastAsia="宋体" w:cs="宋体"/>
          <w:color w:val="auto"/>
          <w:highlight w:val="none"/>
        </w:rPr>
        <w:t>3.6.2  供应商只能提出唯一的响应方案。供应商在响应文件中提出多个响应方案的，其响应文件将被视为无效。</w:t>
      </w:r>
    </w:p>
    <w:p w14:paraId="73F4AAD4">
      <w:pPr>
        <w:pStyle w:val="20"/>
        <w:rPr>
          <w:rFonts w:hint="eastAsia" w:ascii="宋体" w:hAnsi="宋体" w:eastAsia="宋体" w:cs="宋体"/>
          <w:color w:val="auto"/>
          <w:highlight w:val="none"/>
        </w:rPr>
      </w:pPr>
      <w:r>
        <w:rPr>
          <w:rFonts w:hint="eastAsia" w:ascii="宋体" w:hAnsi="宋体" w:eastAsia="宋体" w:cs="宋体"/>
          <w:color w:val="auto"/>
          <w:highlight w:val="none"/>
        </w:rPr>
        <w:t>3.6.3  响应文件对采购文件的全部偏差，均应在响应文件的商务和技术偏差表中列 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0B85FA4F">
      <w:pPr>
        <w:pStyle w:val="20"/>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3.7 响应文件的编制</w:t>
      </w:r>
    </w:p>
    <w:p w14:paraId="5089A611">
      <w:pPr>
        <w:pStyle w:val="20"/>
        <w:rPr>
          <w:rFonts w:hint="eastAsia" w:ascii="宋体" w:hAnsi="宋体" w:eastAsia="宋体" w:cs="宋体"/>
          <w:color w:val="auto"/>
          <w:highlight w:val="none"/>
        </w:rPr>
      </w:pPr>
      <w:r>
        <w:rPr>
          <w:rFonts w:hint="eastAsia" w:ascii="宋体" w:hAnsi="宋体" w:eastAsia="宋体" w:cs="宋体"/>
          <w:color w:val="auto"/>
          <w:highlight w:val="none"/>
        </w:rPr>
        <w:t>3.7.1  响应文件应按第六章“响应文件格式”进行编写，如有必要，可以增加附页，作为响应文件的组成部分。</w:t>
      </w:r>
    </w:p>
    <w:p w14:paraId="36C6D111">
      <w:pPr>
        <w:pStyle w:val="20"/>
        <w:rPr>
          <w:rFonts w:hint="eastAsia" w:ascii="宋体" w:hAnsi="宋体" w:eastAsia="宋体" w:cs="宋体"/>
          <w:color w:val="auto"/>
          <w:highlight w:val="none"/>
        </w:rPr>
      </w:pPr>
      <w:r>
        <w:rPr>
          <w:rFonts w:hint="eastAsia" w:ascii="宋体" w:hAnsi="宋体" w:eastAsia="宋体" w:cs="宋体"/>
          <w:color w:val="auto"/>
          <w:highlight w:val="none"/>
        </w:rPr>
        <w:t>3.7.2 响应文件应用不褪色的材料书写或打印。</w:t>
      </w:r>
    </w:p>
    <w:p w14:paraId="5407C730">
      <w:pPr>
        <w:pStyle w:val="20"/>
        <w:rPr>
          <w:rFonts w:hint="eastAsia" w:ascii="宋体" w:hAnsi="宋体" w:eastAsia="宋体" w:cs="宋体"/>
          <w:color w:val="auto"/>
          <w:highlight w:val="none"/>
        </w:rPr>
      </w:pPr>
      <w:r>
        <w:rPr>
          <w:rFonts w:hint="eastAsia" w:ascii="宋体" w:hAnsi="宋体" w:eastAsia="宋体" w:cs="宋体"/>
          <w:color w:val="auto"/>
          <w:highlight w:val="none"/>
        </w:rPr>
        <w:t>响应函应由供应商的法定代表人(单位负责人）或其授权的代理人签字并加盖单位章。</w:t>
      </w:r>
    </w:p>
    <w:p w14:paraId="2D9A25C1">
      <w:pPr>
        <w:pStyle w:val="20"/>
        <w:rPr>
          <w:rFonts w:hint="eastAsia" w:ascii="宋体" w:hAnsi="宋体" w:eastAsia="宋体" w:cs="宋体"/>
          <w:color w:val="auto"/>
          <w:highlight w:val="none"/>
        </w:rPr>
      </w:pPr>
      <w:r>
        <w:rPr>
          <w:rFonts w:hint="eastAsia" w:ascii="宋体" w:hAnsi="宋体" w:eastAsia="宋体" w:cs="宋体"/>
          <w:color w:val="auto"/>
          <w:highlight w:val="none"/>
        </w:rPr>
        <w:t>联合体协议书(如有）应由联合体各方的法定代表人(单位负责人）或其授权的代理人签字并加盖单位章。</w:t>
      </w:r>
    </w:p>
    <w:p w14:paraId="49B61AE0">
      <w:pPr>
        <w:pStyle w:val="20"/>
        <w:rPr>
          <w:rFonts w:hint="eastAsia" w:ascii="宋体" w:hAnsi="宋体" w:eastAsia="宋体" w:cs="宋体"/>
          <w:color w:val="auto"/>
          <w:highlight w:val="none"/>
        </w:rPr>
      </w:pPr>
      <w:r>
        <w:rPr>
          <w:rFonts w:hint="eastAsia" w:ascii="宋体" w:hAnsi="宋体" w:eastAsia="宋体" w:cs="宋体"/>
          <w:color w:val="auto"/>
          <w:highlight w:val="none"/>
        </w:rPr>
        <w:t>响应函或联合体协议书(如有）由代理人签字的，应在响应文件中附授权委托书，授权委托书应由供应商或联合体各方的法定代表人 (单位负责人）签字并加盖单位章。</w:t>
      </w:r>
    </w:p>
    <w:p w14:paraId="6A3ED57B">
      <w:pPr>
        <w:pStyle w:val="20"/>
        <w:rPr>
          <w:rFonts w:hint="eastAsia" w:ascii="宋体" w:hAnsi="宋体" w:eastAsia="宋体" w:cs="宋体"/>
          <w:color w:val="auto"/>
          <w:highlight w:val="none"/>
        </w:rPr>
      </w:pPr>
      <w:r>
        <w:rPr>
          <w:rFonts w:hint="eastAsia" w:ascii="宋体" w:hAnsi="宋体" w:eastAsia="宋体" w:cs="宋体"/>
          <w:color w:val="auto"/>
          <w:highlight w:val="none"/>
        </w:rPr>
        <w:t>3.7.3  评审过程中供应商对响应文件的澄清、说明和补正应由供应商的法定代表人 (单位负责人）或其授权的代理人签字或加盖单位章。</w:t>
      </w:r>
    </w:p>
    <w:p w14:paraId="3641905E">
      <w:pPr>
        <w:pStyle w:val="20"/>
        <w:rPr>
          <w:rFonts w:hint="eastAsia" w:ascii="宋体" w:hAnsi="宋体" w:eastAsia="宋体" w:cs="宋体"/>
          <w:color w:val="auto"/>
          <w:highlight w:val="none"/>
        </w:rPr>
      </w:pPr>
      <w:r>
        <w:rPr>
          <w:rFonts w:hint="eastAsia" w:ascii="宋体" w:hAnsi="宋体" w:eastAsia="宋体" w:cs="宋体"/>
          <w:color w:val="auto"/>
          <w:highlight w:val="none"/>
        </w:rPr>
        <w:t>3.7.4  响应文件应尽量避免涂改、行间插字或删除。如果出现上述情况，改动之处应由供应商的法定代表人(单位负责人）或其授权的代理人签字或加盖单位章。</w:t>
      </w:r>
    </w:p>
    <w:p w14:paraId="3D7FC3E4">
      <w:pPr>
        <w:pStyle w:val="20"/>
        <w:rPr>
          <w:rFonts w:hint="eastAsia" w:ascii="宋体" w:hAnsi="宋体" w:eastAsia="宋体" w:cs="宋体"/>
          <w:color w:val="auto"/>
          <w:highlight w:val="none"/>
        </w:rPr>
      </w:pPr>
      <w:r>
        <w:rPr>
          <w:rFonts w:hint="eastAsia" w:ascii="宋体" w:hAnsi="宋体" w:eastAsia="宋体" w:cs="宋体"/>
          <w:color w:val="auto"/>
          <w:highlight w:val="none"/>
        </w:rPr>
        <w:t>3.7.5  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纸质正本文件为准。</w:t>
      </w:r>
    </w:p>
    <w:p w14:paraId="31A1951F">
      <w:pPr>
        <w:pStyle w:val="20"/>
        <w:rPr>
          <w:rFonts w:hint="eastAsia" w:ascii="宋体" w:hAnsi="宋体" w:eastAsia="宋体" w:cs="宋体"/>
          <w:color w:val="auto"/>
          <w:highlight w:val="none"/>
        </w:rPr>
      </w:pPr>
      <w:r>
        <w:rPr>
          <w:rFonts w:hint="eastAsia" w:ascii="宋体" w:hAnsi="宋体" w:eastAsia="宋体" w:cs="宋体"/>
          <w:color w:val="auto"/>
          <w:highlight w:val="none"/>
        </w:rPr>
        <w:t>3.7.6  响应文件需分册装订的，具体分册装订要求见供应商须知前附表规定。</w:t>
      </w:r>
    </w:p>
    <w:p w14:paraId="790392A1">
      <w:pPr>
        <w:ind w:left="0" w:leftChars="0" w:firstLine="0" w:firstLineChars="0"/>
        <w:jc w:val="both"/>
        <w:outlineLvl w:val="9"/>
        <w:rPr>
          <w:rFonts w:hint="eastAsia" w:ascii="宋体" w:hAnsi="宋体" w:eastAsia="宋体" w:cs="宋体"/>
          <w:b/>
          <w:bCs/>
          <w:snapToGrid w:val="0"/>
          <w:color w:val="000000"/>
          <w:kern w:val="0"/>
          <w:sz w:val="24"/>
          <w:szCs w:val="32"/>
          <w:highlight w:val="none"/>
          <w:lang w:val="en-US" w:eastAsia="zh-CN" w:bidi="ar-SA"/>
        </w:rPr>
      </w:pPr>
      <w:bookmarkStart w:id="34" w:name="_Toc28195"/>
      <w:bookmarkStart w:id="35" w:name="_Toc1001"/>
      <w:r>
        <w:rPr>
          <w:rFonts w:hint="eastAsia" w:ascii="宋体" w:hAnsi="宋体" w:eastAsia="宋体" w:cs="宋体"/>
          <w:b/>
          <w:bCs/>
          <w:snapToGrid w:val="0"/>
          <w:color w:val="000000"/>
          <w:kern w:val="0"/>
          <w:sz w:val="24"/>
          <w:szCs w:val="32"/>
          <w:highlight w:val="none"/>
          <w:lang w:val="en-US" w:eastAsia="zh-CN" w:bidi="ar-SA"/>
        </w:rPr>
        <w:t>4 响应文件的递交</w:t>
      </w:r>
      <w:bookmarkEnd w:id="34"/>
      <w:bookmarkEnd w:id="35"/>
    </w:p>
    <w:p w14:paraId="7DF71309">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4.1 响应文件的包装与标记</w:t>
      </w:r>
    </w:p>
    <w:p w14:paraId="3FEEC0C4">
      <w:pPr>
        <w:pStyle w:val="20"/>
        <w:rPr>
          <w:rFonts w:hint="eastAsia" w:ascii="宋体" w:hAnsi="宋体" w:eastAsia="宋体" w:cs="宋体"/>
          <w:highlight w:val="none"/>
        </w:rPr>
      </w:pPr>
      <w:r>
        <w:rPr>
          <w:rFonts w:hint="eastAsia" w:ascii="宋体" w:hAnsi="宋体" w:eastAsia="宋体" w:cs="宋体"/>
          <w:highlight w:val="none"/>
        </w:rPr>
        <w:t>4.1.1 响应文件应密封包装，未密封的响应文件，采购人将拒绝接收。</w:t>
      </w:r>
    </w:p>
    <w:p w14:paraId="75BCEEAA">
      <w:pPr>
        <w:pStyle w:val="20"/>
        <w:rPr>
          <w:rFonts w:hint="eastAsia" w:ascii="宋体" w:hAnsi="宋体" w:eastAsia="宋体" w:cs="宋体"/>
          <w:highlight w:val="none"/>
        </w:rPr>
      </w:pPr>
      <w:r>
        <w:rPr>
          <w:rFonts w:hint="eastAsia" w:ascii="宋体" w:hAnsi="宋体" w:eastAsia="宋体" w:cs="宋体"/>
          <w:highlight w:val="none"/>
        </w:rPr>
        <w:t>4.1.2 响应文件封套上应载明的内容见供应商须知前附表。</w:t>
      </w:r>
    </w:p>
    <w:p w14:paraId="380F3DA6">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4.2 响应文件的递交</w:t>
      </w:r>
    </w:p>
    <w:p w14:paraId="04AE5A77">
      <w:pPr>
        <w:pStyle w:val="20"/>
        <w:rPr>
          <w:rFonts w:hint="eastAsia" w:ascii="宋体" w:hAnsi="宋体" w:eastAsia="宋体" w:cs="宋体"/>
          <w:highlight w:val="none"/>
        </w:rPr>
      </w:pPr>
      <w:r>
        <w:rPr>
          <w:rFonts w:hint="eastAsia" w:ascii="宋体" w:hAnsi="宋体" w:eastAsia="宋体" w:cs="宋体"/>
          <w:highlight w:val="none"/>
        </w:rPr>
        <w:t>4.2.1  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14:paraId="2557B6B9">
      <w:pPr>
        <w:pStyle w:val="20"/>
        <w:rPr>
          <w:rFonts w:hint="eastAsia" w:ascii="宋体" w:hAnsi="宋体" w:eastAsia="宋体" w:cs="宋体"/>
          <w:highlight w:val="none"/>
        </w:rPr>
      </w:pPr>
      <w:r>
        <w:rPr>
          <w:rFonts w:hint="eastAsia" w:ascii="宋体" w:hAnsi="宋体" w:eastAsia="宋体" w:cs="宋体"/>
          <w:highlight w:val="none"/>
        </w:rPr>
        <w:t>4.2.2 除供应商须知前附表另有规定外，供应商所递交的响应文件不予退还。</w:t>
      </w:r>
    </w:p>
    <w:p w14:paraId="6C91AD5D">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4.3 响应文件的修改与撤回</w:t>
      </w:r>
    </w:p>
    <w:p w14:paraId="28955C23">
      <w:pPr>
        <w:pStyle w:val="20"/>
        <w:rPr>
          <w:rFonts w:hint="eastAsia" w:ascii="宋体" w:hAnsi="宋体" w:eastAsia="宋体" w:cs="宋体"/>
          <w:highlight w:val="none"/>
        </w:rPr>
      </w:pPr>
      <w:r>
        <w:rPr>
          <w:rFonts w:hint="eastAsia" w:ascii="宋体" w:hAnsi="宋体" w:eastAsia="宋体" w:cs="宋体"/>
          <w:highlight w:val="none"/>
        </w:rPr>
        <w:t>4.3.1 在本章第 4.2.1 项规定的递交响应文件的截止时间前，供应商可以修改 或撤回 已递交的响应文件，但应以书面形式通知采购人。</w:t>
      </w:r>
    </w:p>
    <w:p w14:paraId="4F4CD1B0">
      <w:pPr>
        <w:pStyle w:val="20"/>
        <w:rPr>
          <w:rFonts w:hint="eastAsia" w:ascii="宋体" w:hAnsi="宋体" w:eastAsia="宋体" w:cs="宋体"/>
          <w:highlight w:val="none"/>
        </w:rPr>
      </w:pPr>
      <w:r>
        <w:rPr>
          <w:rFonts w:hint="eastAsia" w:ascii="宋体" w:hAnsi="宋体" w:eastAsia="宋体" w:cs="宋体"/>
          <w:highlight w:val="none"/>
        </w:rPr>
        <w:t>4.3.2  响应文件的修改文件或供应商撤回已递交响应文件的书面通知应由供应商的法定代表人(单位负责人）或其授权的代理人签字并加盖单位章。采购人收到供应商修， 改响应文件的书面文件后，向供应商出具接收凭证；采购人收到供应商撤回响应文件的书面通知后，退回供应商的响应文件。</w:t>
      </w:r>
    </w:p>
    <w:p w14:paraId="6C4D5614">
      <w:pPr>
        <w:pStyle w:val="20"/>
        <w:rPr>
          <w:rFonts w:hint="eastAsia" w:ascii="宋体" w:hAnsi="宋体" w:eastAsia="宋体" w:cs="宋体"/>
          <w:highlight w:val="none"/>
        </w:rPr>
      </w:pPr>
      <w:r>
        <w:rPr>
          <w:rFonts w:hint="eastAsia" w:ascii="宋体" w:hAnsi="宋体" w:eastAsia="宋体" w:cs="宋体"/>
          <w:highlight w:val="none"/>
        </w:rPr>
        <w:t>4.3.3  除供应商须知前附表另有规定外，供应商撤回响应文件的，采购人应在5日内 退还已收取的响应保证金。</w:t>
      </w:r>
    </w:p>
    <w:p w14:paraId="3719AF07">
      <w:pPr>
        <w:pStyle w:val="20"/>
        <w:rPr>
          <w:rFonts w:hint="eastAsia" w:ascii="宋体" w:hAnsi="宋体" w:eastAsia="宋体" w:cs="宋体"/>
          <w:highlight w:val="none"/>
        </w:rPr>
      </w:pPr>
      <w:r>
        <w:rPr>
          <w:rFonts w:hint="eastAsia" w:ascii="宋体" w:hAnsi="宋体" w:eastAsia="宋体" w:cs="宋体"/>
          <w:highlight w:val="none"/>
        </w:rPr>
        <w:t>4.3.4  修改的内容为响应文件的组成部分。响应文件的修改文件应按照本章第 3 条、第4条的规定进行编制、包装、标记和递交，并标明“修改”字样。</w:t>
      </w:r>
    </w:p>
    <w:p w14:paraId="7626D2EF">
      <w:pPr>
        <w:ind w:left="0" w:leftChars="0" w:firstLine="0" w:firstLineChars="0"/>
        <w:jc w:val="both"/>
        <w:outlineLvl w:val="9"/>
        <w:rPr>
          <w:rFonts w:hint="eastAsia" w:ascii="宋体" w:hAnsi="宋体" w:eastAsia="宋体" w:cs="宋体"/>
          <w:b/>
          <w:bCs/>
          <w:snapToGrid w:val="0"/>
          <w:color w:val="000000"/>
          <w:kern w:val="0"/>
          <w:sz w:val="24"/>
          <w:szCs w:val="32"/>
          <w:highlight w:val="none"/>
          <w:lang w:val="en-US" w:eastAsia="en-US" w:bidi="ar-SA"/>
        </w:rPr>
      </w:pPr>
      <w:bookmarkStart w:id="36" w:name="_Toc11834"/>
      <w:bookmarkStart w:id="37" w:name="_Toc24850"/>
      <w:r>
        <w:rPr>
          <w:rFonts w:hint="eastAsia" w:ascii="宋体" w:hAnsi="宋体" w:eastAsia="宋体" w:cs="宋体"/>
          <w:b/>
          <w:bCs/>
          <w:snapToGrid w:val="0"/>
          <w:color w:val="000000"/>
          <w:kern w:val="0"/>
          <w:sz w:val="24"/>
          <w:szCs w:val="32"/>
          <w:highlight w:val="none"/>
          <w:lang w:val="en-US" w:eastAsia="zh-CN" w:bidi="ar-SA"/>
        </w:rPr>
        <w:t>5 开启响应文件</w:t>
      </w:r>
      <w:bookmarkEnd w:id="36"/>
      <w:bookmarkEnd w:id="37"/>
    </w:p>
    <w:p w14:paraId="4FCBEA45">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5.1 开启响应文件的时间和地点</w:t>
      </w:r>
    </w:p>
    <w:p w14:paraId="7407BEAB">
      <w:pPr>
        <w:pStyle w:val="20"/>
        <w:rPr>
          <w:rFonts w:hint="eastAsia" w:ascii="宋体" w:hAnsi="宋体" w:eastAsia="宋体" w:cs="宋体"/>
          <w:highlight w:val="none"/>
        </w:rPr>
      </w:pPr>
      <w:r>
        <w:rPr>
          <w:rFonts w:hint="eastAsia" w:ascii="宋体" w:hAnsi="宋体" w:eastAsia="宋体" w:cs="宋体"/>
          <w:highlight w:val="none"/>
        </w:rPr>
        <w:t>采购人在本章第 4.2.1 项规定的递交响应文件的截止时间和地点公开开启响应文件，并邀请所有供应商的法定代表人 (单位负责人）或其授权的代理人参加开启会议，供应商未派代表参加的，视为默认开启结果。</w:t>
      </w:r>
    </w:p>
    <w:p w14:paraId="2732CA3D">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5.2 开启程序</w:t>
      </w:r>
    </w:p>
    <w:p w14:paraId="0CF8BE9E">
      <w:pPr>
        <w:pStyle w:val="20"/>
        <w:rPr>
          <w:rFonts w:hint="eastAsia" w:ascii="宋体" w:hAnsi="宋体" w:eastAsia="宋体" w:cs="宋体"/>
          <w:highlight w:val="none"/>
        </w:rPr>
      </w:pPr>
      <w:r>
        <w:rPr>
          <w:rFonts w:hint="eastAsia" w:ascii="宋体" w:hAnsi="宋体" w:eastAsia="宋体" w:cs="宋体"/>
          <w:highlight w:val="none"/>
        </w:rPr>
        <w:t>主持人按下列程序公开开启响应文件：</w:t>
      </w:r>
    </w:p>
    <w:p w14:paraId="49161417">
      <w:pPr>
        <w:pStyle w:val="20"/>
        <w:rPr>
          <w:rFonts w:hint="eastAsia" w:ascii="宋体" w:hAnsi="宋体" w:eastAsia="宋体" w:cs="宋体"/>
          <w:highlight w:val="none"/>
        </w:rPr>
      </w:pPr>
      <w:r>
        <w:rPr>
          <w:rFonts w:hint="eastAsia" w:ascii="宋体" w:hAnsi="宋体" w:eastAsia="宋体" w:cs="宋体"/>
          <w:highlight w:val="none"/>
        </w:rPr>
        <w:t>(1)宣布</w:t>
      </w:r>
      <w:r>
        <w:rPr>
          <w:rFonts w:hint="eastAsia" w:ascii="宋体" w:hAnsi="宋体" w:eastAsia="宋体" w:cs="宋体"/>
          <w:highlight w:val="none"/>
          <w:lang w:val="en-US" w:eastAsia="zh-CN"/>
        </w:rPr>
        <w:t>询比开始及注意事项</w:t>
      </w:r>
      <w:r>
        <w:rPr>
          <w:rFonts w:hint="eastAsia" w:ascii="宋体" w:hAnsi="宋体" w:eastAsia="宋体" w:cs="宋体"/>
          <w:highlight w:val="none"/>
        </w:rPr>
        <w:t>；</w:t>
      </w:r>
    </w:p>
    <w:p w14:paraId="06FC90BC">
      <w:pPr>
        <w:pStyle w:val="20"/>
        <w:rPr>
          <w:rFonts w:hint="eastAsia" w:ascii="宋体" w:hAnsi="宋体" w:eastAsia="宋体" w:cs="宋体"/>
          <w:highlight w:val="none"/>
        </w:rPr>
      </w:pPr>
      <w:r>
        <w:rPr>
          <w:rFonts w:hint="eastAsia" w:ascii="宋体" w:hAnsi="宋体" w:eastAsia="宋体" w:cs="宋体"/>
          <w:highlight w:val="none"/>
        </w:rPr>
        <w:t>(2)宣布参加开启会议的工作人员姓名；</w:t>
      </w:r>
    </w:p>
    <w:p w14:paraId="4AD50A58">
      <w:pPr>
        <w:pStyle w:val="20"/>
        <w:rPr>
          <w:rFonts w:hint="eastAsia" w:ascii="宋体" w:hAnsi="宋体" w:eastAsia="宋体" w:cs="宋体"/>
          <w:highlight w:val="none"/>
        </w:rPr>
      </w:pPr>
      <w:r>
        <w:rPr>
          <w:rFonts w:hint="eastAsia" w:ascii="宋体" w:hAnsi="宋体" w:eastAsia="宋体" w:cs="宋体"/>
          <w:highlight w:val="none"/>
        </w:rPr>
        <w:t>(3)检查确认响应文件的密封情况；</w:t>
      </w:r>
    </w:p>
    <w:p w14:paraId="601B055A">
      <w:pPr>
        <w:pStyle w:val="2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宣读报价</w:t>
      </w:r>
      <w:r>
        <w:rPr>
          <w:rFonts w:hint="eastAsia" w:ascii="宋体" w:hAnsi="宋体" w:eastAsia="宋体" w:cs="宋体"/>
          <w:highlight w:val="none"/>
        </w:rPr>
        <w:t>并记录在案；</w:t>
      </w:r>
    </w:p>
    <w:p w14:paraId="514EE6B5">
      <w:pPr>
        <w:pStyle w:val="20"/>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highlight w:val="none"/>
          <w:lang w:val="en-US" w:eastAsia="zh-CN"/>
        </w:rPr>
        <w:t>进行评审环节（形式评审、资格评审和响应评审）</w:t>
      </w:r>
      <w:r>
        <w:rPr>
          <w:rFonts w:hint="eastAsia" w:ascii="宋体" w:hAnsi="宋体" w:eastAsia="宋体" w:cs="宋体"/>
          <w:highlight w:val="none"/>
        </w:rPr>
        <w:t>；</w:t>
      </w:r>
    </w:p>
    <w:p w14:paraId="4E006E1B">
      <w:pPr>
        <w:pStyle w:val="20"/>
        <w:rPr>
          <w:rFonts w:hint="eastAsia" w:ascii="宋体" w:hAnsi="宋体" w:eastAsia="宋体" w:cs="宋体"/>
          <w:highlight w:val="none"/>
        </w:rPr>
      </w:pPr>
      <w:r>
        <w:rPr>
          <w:rFonts w:hint="eastAsia" w:ascii="宋体" w:hAnsi="宋体" w:eastAsia="宋体" w:cs="宋体"/>
          <w:highlight w:val="none"/>
        </w:rPr>
        <w:t>(6)宣布</w:t>
      </w:r>
      <w:r>
        <w:rPr>
          <w:rFonts w:hint="eastAsia" w:ascii="宋体" w:hAnsi="宋体" w:eastAsia="宋体" w:cs="宋体"/>
          <w:highlight w:val="none"/>
          <w:lang w:val="en-US" w:eastAsia="zh-CN"/>
        </w:rPr>
        <w:t>询比评审结果</w:t>
      </w:r>
      <w:r>
        <w:rPr>
          <w:rFonts w:hint="eastAsia" w:ascii="宋体" w:hAnsi="宋体" w:eastAsia="宋体" w:cs="宋体"/>
          <w:highlight w:val="none"/>
        </w:rPr>
        <w:t>；</w:t>
      </w:r>
    </w:p>
    <w:p w14:paraId="21E06847">
      <w:pPr>
        <w:pStyle w:val="20"/>
        <w:rPr>
          <w:rFonts w:hint="eastAsia" w:ascii="宋体" w:hAnsi="宋体" w:eastAsia="宋体" w:cs="宋体"/>
          <w:highlight w:val="none"/>
        </w:rPr>
      </w:pPr>
      <w:r>
        <w:rPr>
          <w:rFonts w:hint="eastAsia" w:ascii="宋体" w:hAnsi="宋体" w:eastAsia="宋体" w:cs="宋体"/>
          <w:highlight w:val="none"/>
        </w:rPr>
        <w:t>(7)会议结束。</w:t>
      </w:r>
    </w:p>
    <w:p w14:paraId="6D1CA8F9">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5.3 递交响应文件的供应商不足的情形</w:t>
      </w:r>
    </w:p>
    <w:p w14:paraId="03EC7CB2">
      <w:pPr>
        <w:pStyle w:val="20"/>
        <w:rPr>
          <w:rFonts w:hint="eastAsia" w:ascii="宋体" w:hAnsi="宋体" w:eastAsia="宋体" w:cs="宋体"/>
          <w:highlight w:val="none"/>
        </w:rPr>
      </w:pPr>
      <w:r>
        <w:rPr>
          <w:rFonts w:hint="eastAsia" w:ascii="宋体" w:hAnsi="宋体" w:eastAsia="宋体" w:cs="宋体"/>
          <w:highlight w:val="none"/>
        </w:rPr>
        <w:t>采购项目选择一家成交供应商时，递交响应文件的供应商数量不足三家的或采购项目选择多家成交供应商时，递交响应文件的供应商数量少于供应商须知</w:t>
      </w:r>
      <w:r>
        <w:rPr>
          <w:rFonts w:hint="eastAsia" w:ascii="宋体" w:hAnsi="宋体" w:eastAsia="宋体" w:cs="宋体"/>
          <w:highlight w:val="none"/>
          <w:lang w:val="en-US" w:eastAsia="zh-CN"/>
        </w:rPr>
        <w:t>前</w:t>
      </w:r>
      <w:r>
        <w:rPr>
          <w:rFonts w:hint="eastAsia" w:ascii="宋体" w:hAnsi="宋体" w:eastAsia="宋体" w:cs="宋体"/>
          <w:highlight w:val="none"/>
        </w:rPr>
        <w:t>附表规定数量的，采购人可按照下述情形分别处理：</w:t>
      </w:r>
    </w:p>
    <w:p w14:paraId="084E14DF">
      <w:pPr>
        <w:pStyle w:val="20"/>
        <w:rPr>
          <w:rFonts w:hint="eastAsia" w:ascii="宋体" w:hAnsi="宋体" w:eastAsia="宋体" w:cs="宋体"/>
          <w:highlight w:val="none"/>
        </w:rPr>
      </w:pPr>
      <w:r>
        <w:rPr>
          <w:rFonts w:hint="eastAsia" w:ascii="宋体" w:hAnsi="宋体" w:eastAsia="宋体" w:cs="宋体"/>
          <w:highlight w:val="none"/>
        </w:rPr>
        <w:t>(1)终止询比并重新组织采购</w:t>
      </w:r>
    </w:p>
    <w:p w14:paraId="73D5453F">
      <w:pPr>
        <w:pStyle w:val="20"/>
        <w:rPr>
          <w:rFonts w:hint="eastAsia" w:ascii="宋体" w:hAnsi="宋体" w:eastAsia="宋体" w:cs="宋体"/>
          <w:highlight w:val="none"/>
        </w:rPr>
      </w:pPr>
      <w:r>
        <w:rPr>
          <w:rFonts w:hint="eastAsia" w:ascii="宋体" w:hAnsi="宋体" w:eastAsia="宋体" w:cs="宋体"/>
          <w:highlight w:val="none"/>
        </w:rPr>
        <w:t>采购项目存在影响公平竞争情形的，采购人应当终止询比采购，并根据不同情形和原因，采取相应纠正措施，重新组织采购。</w:t>
      </w:r>
    </w:p>
    <w:p w14:paraId="09CD0710">
      <w:pPr>
        <w:pStyle w:val="20"/>
        <w:rPr>
          <w:rFonts w:hint="eastAsia" w:ascii="宋体" w:hAnsi="宋体" w:eastAsia="宋体" w:cs="宋体"/>
          <w:highlight w:val="none"/>
        </w:rPr>
      </w:pPr>
      <w:r>
        <w:rPr>
          <w:rFonts w:hint="eastAsia" w:ascii="宋体" w:hAnsi="宋体" w:eastAsia="宋体" w:cs="宋体"/>
          <w:highlight w:val="none"/>
        </w:rPr>
        <w:t>采购项目不存在影响公平竞争情形的，采购人也可以选择终止询比采购，采取相应完善措施，重新组织采购。</w:t>
      </w:r>
    </w:p>
    <w:p w14:paraId="097134B7">
      <w:pPr>
        <w:pStyle w:val="20"/>
        <w:rPr>
          <w:rFonts w:hint="eastAsia" w:ascii="宋体" w:hAnsi="宋体" w:eastAsia="宋体" w:cs="宋体"/>
          <w:highlight w:val="none"/>
        </w:rPr>
      </w:pPr>
      <w:r>
        <w:rPr>
          <w:rFonts w:hint="eastAsia" w:ascii="宋体" w:hAnsi="宋体" w:eastAsia="宋体" w:cs="宋体"/>
          <w:highlight w:val="none"/>
        </w:rPr>
        <w:t>(2)继续询比采购</w:t>
      </w:r>
    </w:p>
    <w:p w14:paraId="6656B70D">
      <w:pPr>
        <w:pStyle w:val="20"/>
        <w:rPr>
          <w:rFonts w:hint="eastAsia" w:ascii="宋体" w:hAnsi="宋体" w:eastAsia="宋体" w:cs="宋体"/>
          <w:highlight w:val="none"/>
        </w:rPr>
      </w:pPr>
      <w:r>
        <w:rPr>
          <w:rFonts w:hint="eastAsia" w:ascii="宋体" w:hAnsi="宋体" w:eastAsia="宋体" w:cs="宋体"/>
          <w:highlight w:val="none"/>
        </w:rPr>
        <w:t>采购项目不存在应该终止询比情形，且采购人也没有自行选择终止询比采购的，采购人应按照本章第 5.2 款规定的程序继续开启响应文件，并按第三章“评审办法”规定的规则组织响应文件评审，完成询比采购后续程序。</w:t>
      </w:r>
    </w:p>
    <w:p w14:paraId="4C412A49">
      <w:pPr>
        <w:ind w:left="0" w:leftChars="0" w:firstLine="0" w:firstLineChars="0"/>
        <w:jc w:val="both"/>
        <w:outlineLvl w:val="9"/>
        <w:rPr>
          <w:rFonts w:hint="eastAsia" w:ascii="宋体" w:hAnsi="宋体" w:eastAsia="宋体" w:cs="宋体"/>
          <w:b/>
          <w:bCs/>
          <w:snapToGrid w:val="0"/>
          <w:color w:val="000000"/>
          <w:kern w:val="0"/>
          <w:sz w:val="24"/>
          <w:szCs w:val="32"/>
          <w:highlight w:val="none"/>
          <w:lang w:val="en-US" w:eastAsia="en-US" w:bidi="ar-SA"/>
        </w:rPr>
      </w:pPr>
      <w:bookmarkStart w:id="38" w:name="_Toc20567"/>
      <w:bookmarkStart w:id="39" w:name="_Toc20163"/>
      <w:r>
        <w:rPr>
          <w:rFonts w:hint="eastAsia" w:ascii="宋体" w:hAnsi="宋体" w:eastAsia="宋体" w:cs="宋体"/>
          <w:b/>
          <w:bCs/>
          <w:snapToGrid w:val="0"/>
          <w:color w:val="000000"/>
          <w:kern w:val="0"/>
          <w:sz w:val="24"/>
          <w:szCs w:val="32"/>
          <w:highlight w:val="none"/>
          <w:lang w:val="en-US" w:eastAsia="zh-CN" w:bidi="ar-SA"/>
        </w:rPr>
        <w:t>6 评审</w:t>
      </w:r>
      <w:bookmarkEnd w:id="38"/>
      <w:bookmarkEnd w:id="39"/>
    </w:p>
    <w:p w14:paraId="6D764139">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6.1 评审小组</w:t>
      </w:r>
    </w:p>
    <w:p w14:paraId="3A66BE33">
      <w:pPr>
        <w:pStyle w:val="20"/>
        <w:rPr>
          <w:rFonts w:hint="default" w:ascii="宋体" w:hAnsi="宋体" w:eastAsia="宋体" w:cs="宋体"/>
          <w:highlight w:val="none"/>
          <w:lang w:val="en-US" w:eastAsia="zh-CN"/>
        </w:rPr>
      </w:pPr>
      <w:r>
        <w:rPr>
          <w:rFonts w:hint="eastAsia" w:ascii="宋体" w:hAnsi="宋体" w:eastAsia="宋体" w:cs="宋体"/>
          <w:highlight w:val="none"/>
        </w:rPr>
        <w:t>6.1.1 评审由采购人组建的评审小组负责。</w:t>
      </w:r>
      <w:r>
        <w:rPr>
          <w:rFonts w:hint="eastAsia" w:ascii="宋体" w:hAnsi="宋体" w:eastAsia="宋体" w:cs="宋体"/>
          <w:highlight w:val="none"/>
          <w:lang w:val="en-US" w:eastAsia="zh-CN"/>
        </w:rPr>
        <w:t>评委会成员人数为3个及以上单数组成。评审活动应遵循公平、公正、科学和择优的原则。</w:t>
      </w:r>
    </w:p>
    <w:p w14:paraId="7987D917">
      <w:pPr>
        <w:pStyle w:val="20"/>
        <w:rPr>
          <w:rFonts w:hint="eastAsia" w:ascii="宋体" w:hAnsi="宋体" w:eastAsia="宋体" w:cs="宋体"/>
          <w:highlight w:val="none"/>
        </w:rPr>
      </w:pPr>
      <w:r>
        <w:rPr>
          <w:rFonts w:hint="eastAsia" w:ascii="宋体" w:hAnsi="宋体" w:eastAsia="宋体" w:cs="宋体"/>
          <w:highlight w:val="none"/>
        </w:rPr>
        <w:t>6. 1.2 评审小组成员有下列情形之一的，应当回避：</w:t>
      </w:r>
    </w:p>
    <w:p w14:paraId="3087BE02">
      <w:pPr>
        <w:pStyle w:val="2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rPr>
        <w:t>供应商主要负责人或供应商主要负责人的近亲属；</w:t>
      </w:r>
    </w:p>
    <w:p w14:paraId="66624401">
      <w:pPr>
        <w:pStyle w:val="2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rPr>
        <w:t>与供应商有经济利益关系或其他利害关系，可能影响公正评审的。</w:t>
      </w:r>
    </w:p>
    <w:p w14:paraId="4B3093A8">
      <w:pPr>
        <w:pStyle w:val="20"/>
        <w:rPr>
          <w:rFonts w:hint="eastAsia" w:ascii="宋体" w:hAnsi="宋体" w:eastAsia="宋体" w:cs="宋体"/>
          <w:highlight w:val="none"/>
        </w:rPr>
      </w:pPr>
      <w:r>
        <w:rPr>
          <w:rFonts w:hint="eastAsia" w:ascii="宋体" w:hAnsi="宋体" w:eastAsia="宋体" w:cs="宋体"/>
          <w:highlight w:val="none"/>
        </w:rPr>
        <w:t>6.1.评审小组组建后，评审小组成员共同推选或由采购人指定评审小组组长， 评审小组组长负责组织评审工作。</w:t>
      </w:r>
    </w:p>
    <w:p w14:paraId="10FB0535">
      <w:pPr>
        <w:pStyle w:val="20"/>
        <w:rPr>
          <w:rFonts w:hint="eastAsia" w:ascii="宋体" w:hAnsi="宋体" w:eastAsia="宋体" w:cs="宋体"/>
          <w:highlight w:val="none"/>
        </w:rPr>
      </w:pPr>
      <w:r>
        <w:rPr>
          <w:rFonts w:hint="eastAsia" w:ascii="宋体" w:hAnsi="宋体" w:eastAsia="宋体" w:cs="宋体"/>
          <w:highlight w:val="none"/>
        </w:rPr>
        <w:t>6.1.4 在评审过程中，评审小组成员对需要共同认定的事项存在争议的，将按照少数服从多数的原则作出结论。持不同意见的评审小组成员应当在评审报告上签署不同意见及理由，否则视为同意评审报告。</w:t>
      </w:r>
    </w:p>
    <w:p w14:paraId="2A0C853D">
      <w:pPr>
        <w:pStyle w:val="20"/>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highlight w:val="none"/>
          <w:lang w:val="en-US" w:eastAsia="zh-CN"/>
        </w:rPr>
        <w:t>1</w:t>
      </w: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 xml:space="preserve"> 评审小组按照第三章“评审办法”规定的评审标准和程序对响应文件进行评审和比较。</w:t>
      </w:r>
    </w:p>
    <w:p w14:paraId="414337BE">
      <w:pPr>
        <w:pStyle w:val="20"/>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highlight w:val="none"/>
          <w:lang w:val="en-US" w:eastAsia="zh-CN"/>
        </w:rPr>
        <w:t>1</w:t>
      </w: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 xml:space="preserve"> 评审完成后，评审小组应当向</w:t>
      </w:r>
      <w:r>
        <w:rPr>
          <w:rFonts w:hint="eastAsia" w:ascii="宋体" w:hAnsi="宋体" w:eastAsia="宋体" w:cs="宋体"/>
          <w:color w:val="auto"/>
          <w:highlight w:val="none"/>
        </w:rPr>
        <w:t>采购人提交书面评审报告和候选成交供应商名单。评审小组推荐候选成交供应商的排</w:t>
      </w:r>
      <w:r>
        <w:rPr>
          <w:rFonts w:hint="eastAsia" w:ascii="宋体" w:hAnsi="宋体" w:eastAsia="宋体" w:cs="宋体"/>
          <w:highlight w:val="none"/>
        </w:rPr>
        <w:t>序要求及数量见供应商须知前附表。</w:t>
      </w:r>
    </w:p>
    <w:p w14:paraId="0433F825">
      <w:pPr>
        <w:rPr>
          <w:rFonts w:hint="eastAsia"/>
        </w:rPr>
      </w:pPr>
    </w:p>
    <w:p w14:paraId="2915B64F">
      <w:pPr>
        <w:tabs>
          <w:tab w:val="left" w:pos="888"/>
        </w:tabs>
        <w:autoSpaceDE w:val="0"/>
        <w:autoSpaceDN w:val="0"/>
        <w:spacing w:line="360" w:lineRule="auto"/>
        <w:ind w:firstLine="241" w:firstLineChars="100"/>
        <w:jc w:val="left"/>
        <w:outlineLvl w:val="9"/>
        <w:rPr>
          <w:rFonts w:hint="eastAsia" w:ascii="宋体" w:hAnsi="宋体" w:eastAsia="宋体" w:cs="宋体"/>
          <w:b/>
          <w:bCs/>
          <w:snapToGrid w:val="0"/>
          <w:color w:val="000000"/>
          <w:kern w:val="0"/>
          <w:sz w:val="24"/>
          <w:szCs w:val="32"/>
          <w:highlight w:val="none"/>
          <w:lang w:val="en-US" w:eastAsia="en-US" w:bidi="ar-SA"/>
        </w:rPr>
      </w:pPr>
      <w:r>
        <w:rPr>
          <w:rFonts w:hint="eastAsia" w:ascii="宋体" w:hAnsi="宋体" w:eastAsia="宋体" w:cs="宋体"/>
          <w:b/>
          <w:bCs/>
          <w:snapToGrid w:val="0"/>
          <w:color w:val="000000"/>
          <w:kern w:val="0"/>
          <w:sz w:val="24"/>
          <w:szCs w:val="32"/>
          <w:highlight w:val="none"/>
          <w:lang w:val="en-US" w:eastAsia="en-US" w:bidi="ar-SA"/>
        </w:rPr>
        <w:t>6.2 评审过程的保密</w:t>
      </w:r>
    </w:p>
    <w:p w14:paraId="0EB27313">
      <w:pPr>
        <w:pStyle w:val="20"/>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.1 评审会开始后，直至授予成交人合同为止，凡属于对</w:t>
      </w:r>
      <w:r>
        <w:rPr>
          <w:rFonts w:hint="eastAsia" w:ascii="宋体" w:hAnsi="宋体" w:eastAsia="宋体" w:cs="宋体"/>
          <w:highlight w:val="none"/>
          <w:lang w:eastAsia="zh-CN"/>
        </w:rPr>
        <w:t>询比</w:t>
      </w:r>
      <w:r>
        <w:rPr>
          <w:rFonts w:hint="eastAsia" w:ascii="宋体" w:hAnsi="宋体" w:eastAsia="宋体" w:cs="宋体"/>
          <w:highlight w:val="none"/>
        </w:rPr>
        <w:t>响应文件的审查、评价和比较的有关资料以及成交候选人的推荐情况，与评审有关的其他任何情况均严格保密。</w:t>
      </w:r>
    </w:p>
    <w:p w14:paraId="7B1FF783">
      <w:pPr>
        <w:pStyle w:val="20"/>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.2 在</w:t>
      </w:r>
      <w:r>
        <w:rPr>
          <w:rFonts w:hint="eastAsia" w:ascii="宋体" w:hAnsi="宋体" w:eastAsia="宋体" w:cs="宋体"/>
          <w:highlight w:val="none"/>
          <w:lang w:eastAsia="zh-CN"/>
        </w:rPr>
        <w:t>询比</w:t>
      </w:r>
      <w:r>
        <w:rPr>
          <w:rFonts w:hint="eastAsia" w:ascii="宋体" w:hAnsi="宋体" w:eastAsia="宋体" w:cs="宋体"/>
          <w:highlight w:val="none"/>
        </w:rPr>
        <w:t>响应文件的评审、成交候选人推荐以及授予合同的过程中，</w:t>
      </w:r>
      <w:r>
        <w:rPr>
          <w:rFonts w:hint="eastAsia" w:ascii="宋体" w:hAnsi="宋体" w:eastAsia="宋体" w:cs="宋体"/>
          <w:highlight w:val="none"/>
          <w:lang w:eastAsia="zh-CN"/>
        </w:rPr>
        <w:t>询比</w:t>
      </w:r>
      <w:r>
        <w:rPr>
          <w:rFonts w:hint="eastAsia" w:ascii="宋体" w:hAnsi="宋体" w:eastAsia="宋体" w:cs="宋体"/>
          <w:highlight w:val="none"/>
        </w:rPr>
        <w:t>申请人向</w:t>
      </w:r>
      <w:r>
        <w:rPr>
          <w:rFonts w:hint="eastAsia" w:ascii="宋体" w:hAnsi="宋体" w:eastAsia="宋体" w:cs="宋体"/>
          <w:highlight w:val="none"/>
          <w:lang w:eastAsia="zh-CN"/>
        </w:rPr>
        <w:t>询比</w:t>
      </w:r>
      <w:r>
        <w:rPr>
          <w:rFonts w:hint="eastAsia" w:ascii="宋体" w:hAnsi="宋体" w:eastAsia="宋体" w:cs="宋体"/>
          <w:highlight w:val="none"/>
        </w:rPr>
        <w:t>人和评委会施加影响的任何行为，都将会导致其</w:t>
      </w:r>
      <w:r>
        <w:rPr>
          <w:rFonts w:hint="eastAsia" w:ascii="宋体" w:hAnsi="宋体" w:eastAsia="宋体" w:cs="宋体"/>
          <w:highlight w:val="none"/>
          <w:lang w:eastAsia="zh-CN"/>
        </w:rPr>
        <w:t>询比</w:t>
      </w:r>
      <w:r>
        <w:rPr>
          <w:rFonts w:hint="eastAsia" w:ascii="宋体" w:hAnsi="宋体" w:eastAsia="宋体" w:cs="宋体"/>
          <w:highlight w:val="none"/>
        </w:rPr>
        <w:t>申请被拒绝。</w:t>
      </w:r>
    </w:p>
    <w:p w14:paraId="4F4EDF27">
      <w:pPr>
        <w:pStyle w:val="20"/>
        <w:rPr>
          <w:rFonts w:hint="eastAsia" w:ascii="宋体" w:hAnsi="宋体" w:eastAsia="宋体" w:cs="宋体"/>
          <w:b/>
          <w:bCs/>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.3 成交人确定后，</w:t>
      </w:r>
      <w:r>
        <w:rPr>
          <w:rFonts w:hint="eastAsia" w:ascii="宋体" w:hAnsi="宋体" w:eastAsia="宋体" w:cs="宋体"/>
          <w:highlight w:val="none"/>
          <w:lang w:eastAsia="zh-CN"/>
        </w:rPr>
        <w:t>询比</w:t>
      </w:r>
      <w:r>
        <w:rPr>
          <w:rFonts w:hint="eastAsia" w:ascii="宋体" w:hAnsi="宋体" w:eastAsia="宋体" w:cs="宋体"/>
          <w:highlight w:val="none"/>
        </w:rPr>
        <w:t>人不对未成交人就评审过程以及未能成交原因做出任何解释，未成交人不得向评委会组成人员或其他有关人员</w:t>
      </w:r>
      <w:r>
        <w:rPr>
          <w:rFonts w:hint="eastAsia" w:ascii="宋体" w:hAnsi="宋体" w:eastAsia="宋体" w:cs="宋体"/>
          <w:highlight w:val="none"/>
          <w:lang w:eastAsia="zh-CN"/>
        </w:rPr>
        <w:t>询问</w:t>
      </w:r>
      <w:r>
        <w:rPr>
          <w:rFonts w:hint="eastAsia" w:ascii="宋体" w:hAnsi="宋体" w:eastAsia="宋体" w:cs="宋体"/>
          <w:highlight w:val="none"/>
        </w:rPr>
        <w:t>评审过程情况和索要评审过程材料。</w:t>
      </w:r>
    </w:p>
    <w:p w14:paraId="205D9858">
      <w:pPr>
        <w:ind w:left="0" w:leftChars="0" w:firstLine="0" w:firstLineChars="0"/>
        <w:jc w:val="both"/>
        <w:outlineLvl w:val="9"/>
        <w:rPr>
          <w:rFonts w:hint="eastAsia" w:ascii="宋体" w:hAnsi="宋体" w:eastAsia="宋体" w:cs="宋体"/>
          <w:b/>
          <w:bCs/>
          <w:snapToGrid w:val="0"/>
          <w:color w:val="000000"/>
          <w:kern w:val="0"/>
          <w:sz w:val="24"/>
          <w:szCs w:val="32"/>
          <w:highlight w:val="none"/>
          <w:lang w:val="en-US" w:eastAsia="zh-CN" w:bidi="ar-SA"/>
        </w:rPr>
      </w:pPr>
      <w:bookmarkStart w:id="40" w:name="_Toc18151"/>
      <w:bookmarkStart w:id="41" w:name="_Toc18814"/>
      <w:r>
        <w:rPr>
          <w:rFonts w:hint="eastAsia" w:ascii="宋体" w:hAnsi="宋体" w:eastAsia="宋体" w:cs="宋体"/>
          <w:b/>
          <w:bCs/>
          <w:snapToGrid w:val="0"/>
          <w:color w:val="000000"/>
          <w:kern w:val="0"/>
          <w:sz w:val="24"/>
          <w:szCs w:val="32"/>
          <w:highlight w:val="none"/>
          <w:lang w:val="en-US" w:eastAsia="zh-CN" w:bidi="ar-SA"/>
        </w:rPr>
        <w:t>7 合同授予</w:t>
      </w:r>
      <w:bookmarkEnd w:id="40"/>
      <w:bookmarkEnd w:id="41"/>
    </w:p>
    <w:p w14:paraId="784806FC">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7.1 候选成交供应商履约能力核查</w:t>
      </w:r>
    </w:p>
    <w:p w14:paraId="1F3116E2">
      <w:pPr>
        <w:pStyle w:val="20"/>
        <w:rPr>
          <w:rFonts w:hint="eastAsia" w:ascii="宋体" w:hAnsi="宋体" w:eastAsia="宋体" w:cs="宋体"/>
          <w:highlight w:val="none"/>
        </w:rPr>
      </w:pPr>
      <w:r>
        <w:rPr>
          <w:rFonts w:hint="eastAsia" w:ascii="宋体" w:hAnsi="宋体" w:eastAsia="宋体" w:cs="宋体"/>
          <w:highlight w:val="none"/>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 成交供应商的依据之一。</w:t>
      </w:r>
    </w:p>
    <w:p w14:paraId="7C477258">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7.2 确定成交供应商</w:t>
      </w:r>
    </w:p>
    <w:p w14:paraId="424CA335">
      <w:pPr>
        <w:spacing w:line="360" w:lineRule="auto"/>
        <w:ind w:firstLine="240" w:firstLineChars="100"/>
        <w:outlineLvl w:val="9"/>
        <w:rPr>
          <w:rFonts w:hint="eastAsia" w:ascii="宋体" w:hAnsi="宋体" w:eastAsia="宋体" w:cs="宋体"/>
          <w:snapToGrid w:val="0"/>
          <w:color w:val="000000"/>
          <w:kern w:val="0"/>
          <w:sz w:val="24"/>
          <w:szCs w:val="32"/>
          <w:highlight w:val="none"/>
          <w:lang w:val="en-US" w:eastAsia="en-US" w:bidi="ar-SA"/>
        </w:rPr>
      </w:pPr>
      <w:r>
        <w:rPr>
          <w:rFonts w:hint="eastAsia" w:ascii="宋体" w:hAnsi="宋体" w:eastAsia="宋体" w:cs="宋体"/>
          <w:snapToGrid w:val="0"/>
          <w:color w:val="000000"/>
          <w:kern w:val="0"/>
          <w:sz w:val="24"/>
          <w:szCs w:val="32"/>
          <w:highlight w:val="none"/>
          <w:lang w:val="en-US" w:eastAsia="en-US" w:bidi="ar-SA"/>
        </w:rPr>
        <w:t>评委会根据评审结果，向</w:t>
      </w:r>
      <w:r>
        <w:rPr>
          <w:rFonts w:hint="eastAsia" w:ascii="宋体" w:hAnsi="宋体" w:eastAsia="宋体" w:cs="宋体"/>
          <w:snapToGrid w:val="0"/>
          <w:color w:val="000000"/>
          <w:kern w:val="0"/>
          <w:sz w:val="24"/>
          <w:szCs w:val="32"/>
          <w:highlight w:val="none"/>
          <w:lang w:val="en-US" w:eastAsia="zh-CN" w:bidi="ar-SA"/>
        </w:rPr>
        <w:t>采购</w:t>
      </w:r>
      <w:r>
        <w:rPr>
          <w:rFonts w:hint="eastAsia" w:ascii="宋体" w:hAnsi="宋体" w:eastAsia="宋体" w:cs="宋体"/>
          <w:snapToGrid w:val="0"/>
          <w:color w:val="000000"/>
          <w:kern w:val="0"/>
          <w:sz w:val="24"/>
          <w:szCs w:val="32"/>
          <w:highlight w:val="none"/>
          <w:lang w:val="en-US" w:eastAsia="en-US" w:bidi="ar-SA"/>
        </w:rPr>
        <w:t>人提交书面评审报告，在报告中对合格的</w:t>
      </w:r>
      <w:r>
        <w:rPr>
          <w:rFonts w:hint="eastAsia" w:ascii="宋体" w:hAnsi="宋体" w:eastAsia="宋体" w:cs="宋体"/>
          <w:snapToGrid w:val="0"/>
          <w:color w:val="000000"/>
          <w:kern w:val="0"/>
          <w:sz w:val="24"/>
          <w:szCs w:val="32"/>
          <w:highlight w:val="none"/>
          <w:lang w:val="en-US" w:eastAsia="zh-CN" w:bidi="ar-SA"/>
        </w:rPr>
        <w:t>询比</w:t>
      </w:r>
      <w:r>
        <w:rPr>
          <w:rFonts w:hint="eastAsia" w:ascii="宋体" w:hAnsi="宋体" w:eastAsia="宋体" w:cs="宋体"/>
          <w:snapToGrid w:val="0"/>
          <w:color w:val="000000"/>
          <w:kern w:val="0"/>
          <w:sz w:val="24"/>
          <w:szCs w:val="32"/>
          <w:highlight w:val="none"/>
          <w:lang w:val="en-US" w:eastAsia="en-US" w:bidi="ar-SA"/>
        </w:rPr>
        <w:t>申请人</w:t>
      </w:r>
      <w:r>
        <w:rPr>
          <w:rFonts w:hint="eastAsia" w:ascii="宋体" w:hAnsi="宋体" w:eastAsia="宋体" w:cs="宋体"/>
          <w:snapToGrid w:val="0"/>
          <w:color w:val="000000"/>
          <w:kern w:val="0"/>
          <w:sz w:val="24"/>
          <w:szCs w:val="32"/>
          <w:highlight w:val="none"/>
          <w:lang w:val="en-US" w:eastAsia="zh-CN" w:bidi="ar-SA"/>
        </w:rPr>
        <w:t>，</w:t>
      </w:r>
      <w:r>
        <w:rPr>
          <w:rFonts w:hint="eastAsia" w:ascii="宋体" w:hAnsi="宋体" w:eastAsia="宋体" w:cs="宋体"/>
          <w:snapToGrid w:val="0"/>
          <w:color w:val="000000"/>
          <w:kern w:val="0"/>
          <w:sz w:val="24"/>
          <w:szCs w:val="32"/>
          <w:highlight w:val="none"/>
          <w:lang w:val="en-US" w:eastAsia="en-US" w:bidi="ar-SA"/>
        </w:rPr>
        <w:t>并推荐排名第一的为成交人。</w:t>
      </w:r>
    </w:p>
    <w:p w14:paraId="4A718556">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7.3 成交结果公示</w:t>
      </w:r>
    </w:p>
    <w:p w14:paraId="7B602CB1">
      <w:pPr>
        <w:spacing w:line="360" w:lineRule="auto"/>
        <w:ind w:firstLine="240" w:firstLineChars="100"/>
        <w:outlineLvl w:val="9"/>
        <w:rPr>
          <w:rFonts w:hint="eastAsia"/>
          <w:color w:val="auto"/>
          <w:sz w:val="24"/>
        </w:rPr>
      </w:pPr>
      <w:r>
        <w:rPr>
          <w:rFonts w:hint="eastAsia" w:eastAsia="宋体"/>
          <w:color w:val="auto"/>
          <w:sz w:val="24"/>
          <w:lang w:val="en-US" w:eastAsia="zh-CN"/>
        </w:rPr>
        <w:t>采购</w:t>
      </w:r>
      <w:r>
        <w:rPr>
          <w:rFonts w:hint="eastAsia"/>
          <w:color w:val="auto"/>
          <w:sz w:val="24"/>
        </w:rPr>
        <w:t>人将确定排名第</w:t>
      </w:r>
      <w:r>
        <w:rPr>
          <w:rFonts w:hint="eastAsia"/>
          <w:b/>
          <w:color w:val="auto"/>
          <w:sz w:val="24"/>
        </w:rPr>
        <w:t>一</w:t>
      </w:r>
      <w:r>
        <w:rPr>
          <w:rFonts w:hint="eastAsia"/>
          <w:color w:val="auto"/>
          <w:sz w:val="24"/>
        </w:rPr>
        <w:t>的</w:t>
      </w:r>
      <w:r>
        <w:rPr>
          <w:rFonts w:hint="eastAsia"/>
          <w:color w:val="auto"/>
          <w:sz w:val="24"/>
          <w:lang w:eastAsia="zh-CN"/>
        </w:rPr>
        <w:t>询比</w:t>
      </w:r>
      <w:r>
        <w:rPr>
          <w:rFonts w:hint="eastAsia"/>
          <w:color w:val="auto"/>
          <w:sz w:val="24"/>
        </w:rPr>
        <w:t>申请人为成交单位。</w:t>
      </w:r>
    </w:p>
    <w:p w14:paraId="1C7DC248">
      <w:pPr>
        <w:spacing w:line="360" w:lineRule="auto"/>
        <w:ind w:firstLine="240" w:firstLineChars="100"/>
        <w:outlineLvl w:val="9"/>
        <w:rPr>
          <w:rFonts w:hint="eastAsia"/>
          <w:color w:val="auto"/>
          <w:sz w:val="24"/>
        </w:rPr>
      </w:pPr>
      <w:r>
        <w:rPr>
          <w:rFonts w:hint="eastAsia"/>
          <w:color w:val="auto"/>
          <w:sz w:val="24"/>
        </w:rPr>
        <w:t>排名第一的成交人放弃成交，因不可抗拒因素不能履行合同，</w:t>
      </w:r>
      <w:r>
        <w:rPr>
          <w:rFonts w:hint="eastAsia"/>
          <w:color w:val="auto"/>
          <w:sz w:val="24"/>
          <w:lang w:eastAsia="zh-CN"/>
        </w:rPr>
        <w:t>询比</w:t>
      </w:r>
      <w:r>
        <w:rPr>
          <w:rFonts w:hint="eastAsia"/>
          <w:color w:val="auto"/>
          <w:sz w:val="24"/>
        </w:rPr>
        <w:t>人可以确定排名第二的为成交人，</w:t>
      </w:r>
      <w:r>
        <w:rPr>
          <w:rFonts w:hint="eastAsia"/>
          <w:color w:val="auto"/>
          <w:sz w:val="24"/>
          <w:lang w:eastAsia="zh-CN"/>
        </w:rPr>
        <w:t>以</w:t>
      </w:r>
      <w:r>
        <w:rPr>
          <w:rFonts w:hint="eastAsia"/>
          <w:color w:val="auto"/>
          <w:sz w:val="24"/>
        </w:rPr>
        <w:t>此类推。</w:t>
      </w:r>
    </w:p>
    <w:p w14:paraId="6405F3FC">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7.4 发出成交通知书</w:t>
      </w:r>
    </w:p>
    <w:p w14:paraId="65F8CA33">
      <w:pPr>
        <w:pStyle w:val="61"/>
        <w:tabs>
          <w:tab w:val="clear" w:pos="1843"/>
          <w:tab w:val="clear" w:pos="26875"/>
        </w:tabs>
        <w:adjustRightInd/>
        <w:spacing w:before="0" w:after="0" w:line="360" w:lineRule="auto"/>
        <w:ind w:left="0" w:right="15" w:rightChars="7" w:firstLine="240" w:firstLineChars="100"/>
        <w:outlineLvl w:val="9"/>
        <w:rPr>
          <w:color w:val="auto"/>
          <w:szCs w:val="24"/>
        </w:rPr>
      </w:pPr>
      <w:r>
        <w:rPr>
          <w:color w:val="auto"/>
          <w:szCs w:val="24"/>
        </w:rPr>
        <w:t>评审结束后，</w:t>
      </w:r>
      <w:r>
        <w:rPr>
          <w:rFonts w:hint="eastAsia" w:eastAsia="宋体"/>
          <w:color w:val="auto"/>
          <w:szCs w:val="24"/>
          <w:lang w:val="en-US" w:eastAsia="zh-CN"/>
        </w:rPr>
        <w:t>采购</w:t>
      </w:r>
      <w:r>
        <w:rPr>
          <w:rFonts w:hint="eastAsia"/>
          <w:color w:val="auto"/>
          <w:szCs w:val="24"/>
        </w:rPr>
        <w:t>人</w:t>
      </w:r>
      <w:r>
        <w:rPr>
          <w:color w:val="auto"/>
          <w:szCs w:val="24"/>
        </w:rPr>
        <w:t>将依据评委会的评审结果，将合同授予综合条件最优的</w:t>
      </w:r>
      <w:r>
        <w:rPr>
          <w:rFonts w:hint="eastAsia"/>
          <w:color w:val="auto"/>
          <w:szCs w:val="24"/>
          <w:lang w:eastAsia="zh-CN"/>
        </w:rPr>
        <w:t>询比</w:t>
      </w:r>
      <w:r>
        <w:rPr>
          <w:color w:val="auto"/>
          <w:szCs w:val="24"/>
        </w:rPr>
        <w:t>申请人（排名第一）即</w:t>
      </w:r>
      <w:r>
        <w:rPr>
          <w:rFonts w:hint="eastAsia"/>
          <w:color w:val="auto"/>
          <w:szCs w:val="24"/>
        </w:rPr>
        <w:t>成交</w:t>
      </w:r>
      <w:r>
        <w:rPr>
          <w:color w:val="auto"/>
          <w:szCs w:val="24"/>
        </w:rPr>
        <w:t>人。</w:t>
      </w:r>
    </w:p>
    <w:p w14:paraId="1BE8A7EF">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7.5 发布成交公告</w:t>
      </w:r>
    </w:p>
    <w:p w14:paraId="7B3300AE">
      <w:pPr>
        <w:pStyle w:val="20"/>
        <w:rPr>
          <w:rFonts w:hint="eastAsia" w:ascii="宋体" w:hAnsi="宋体" w:eastAsia="宋体" w:cs="宋体"/>
          <w:highlight w:val="none"/>
        </w:rPr>
      </w:pPr>
      <w:r>
        <w:rPr>
          <w:rFonts w:hint="eastAsia" w:ascii="宋体" w:hAnsi="宋体" w:eastAsia="宋体" w:cs="宋体"/>
          <w:highlight w:val="none"/>
          <w:lang w:val="en-US" w:eastAsia="zh-CN"/>
        </w:rPr>
        <w:t>采购</w:t>
      </w:r>
      <w:r>
        <w:rPr>
          <w:rFonts w:hint="eastAsia" w:ascii="宋体" w:hAnsi="宋体" w:eastAsia="宋体" w:cs="宋体"/>
          <w:highlight w:val="none"/>
        </w:rPr>
        <w:t>人将在评委会推荐成交人后</w:t>
      </w:r>
      <w:r>
        <w:rPr>
          <w:rFonts w:hint="eastAsia" w:ascii="宋体" w:hAnsi="宋体" w:eastAsia="宋体" w:cs="宋体"/>
          <w:highlight w:val="none"/>
          <w:lang w:val="en-US" w:eastAsia="zh-CN"/>
        </w:rPr>
        <w:t>公布</w:t>
      </w:r>
      <w:r>
        <w:rPr>
          <w:rFonts w:hint="eastAsia" w:ascii="宋体" w:hAnsi="宋体" w:eastAsia="宋体" w:cs="宋体"/>
          <w:highlight w:val="none"/>
        </w:rPr>
        <w:t>1个工作日，并向成交人发出成交通知书</w:t>
      </w:r>
      <w:r>
        <w:rPr>
          <w:rFonts w:hint="eastAsia" w:ascii="宋体" w:hAnsi="宋体" w:eastAsia="宋体" w:cs="宋体"/>
          <w:highlight w:val="none"/>
          <w:lang w:eastAsia="zh-CN"/>
        </w:rPr>
        <w:t>，</w:t>
      </w:r>
      <w:r>
        <w:rPr>
          <w:rFonts w:hint="eastAsia" w:ascii="宋体" w:hAnsi="宋体" w:eastAsia="宋体" w:cs="宋体"/>
          <w:highlight w:val="none"/>
        </w:rPr>
        <w:t>在发出成交通知书的同时，采购人将在供应商须知前附表规定的公告媒介发布成交公告，公告信息包括成交供应商名称、响应价格及工期/交货期/服务期限、成交份额(如有）及供应商须知前附表规定的其他内容。</w:t>
      </w:r>
    </w:p>
    <w:p w14:paraId="1D34A3BF">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7.6 履约保证金</w:t>
      </w:r>
    </w:p>
    <w:p w14:paraId="3740DF54">
      <w:pPr>
        <w:pStyle w:val="20"/>
        <w:rPr>
          <w:rFonts w:hint="eastAsia" w:ascii="宋体" w:hAnsi="宋体" w:eastAsia="宋体" w:cs="宋体"/>
          <w:color w:val="auto"/>
          <w:highlight w:val="none"/>
        </w:rPr>
      </w:pPr>
      <w:r>
        <w:rPr>
          <w:rFonts w:hint="eastAsia" w:ascii="宋体" w:hAnsi="宋体" w:eastAsia="宋体" w:cs="宋体"/>
          <w:highlight w:val="none"/>
        </w:rPr>
        <w:t>供应商须知前附表规定递交履约保证金的，成交供应商应按供应商须知前附表规定的形式、有效期限和递交时间向采购人</w:t>
      </w:r>
      <w:r>
        <w:rPr>
          <w:rFonts w:hint="eastAsia" w:ascii="宋体" w:hAnsi="宋体" w:eastAsia="宋体" w:cs="宋体"/>
          <w:color w:val="auto"/>
          <w:highlight w:val="none"/>
        </w:rPr>
        <w:t>递交履约保证金。除供应商须知前附表另有规定外，履约保证金为采购合同金额的</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p>
    <w:p w14:paraId="7105F603">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7.7 签订合同</w:t>
      </w:r>
    </w:p>
    <w:p w14:paraId="222C564B">
      <w:pPr>
        <w:pStyle w:val="20"/>
        <w:rPr>
          <w:rFonts w:hint="eastAsia" w:ascii="宋体" w:hAnsi="宋体" w:eastAsia="宋体" w:cs="宋体"/>
          <w:highlight w:val="none"/>
        </w:rPr>
      </w:pPr>
      <w:r>
        <w:rPr>
          <w:rFonts w:hint="eastAsia" w:ascii="宋体" w:hAnsi="宋体" w:eastAsia="宋体" w:cs="宋体"/>
          <w:highlight w:val="none"/>
        </w:rPr>
        <w:t>7.7.1  采购人和成交供应商应当在</w:t>
      </w:r>
      <w:r>
        <w:rPr>
          <w:rFonts w:hint="eastAsia" w:ascii="宋体" w:hAnsi="宋体" w:eastAsia="宋体" w:cs="宋体"/>
          <w:highlight w:val="none"/>
          <w:lang w:val="en-US" w:eastAsia="zh-CN"/>
        </w:rPr>
        <w:t>发出</w:t>
      </w:r>
      <w:r>
        <w:rPr>
          <w:rFonts w:hint="eastAsia" w:ascii="宋体" w:hAnsi="宋体" w:eastAsia="宋体" w:cs="宋体"/>
          <w:highlight w:val="none"/>
        </w:rPr>
        <w:t>成交通知书</w:t>
      </w:r>
      <w:r>
        <w:rPr>
          <w:rFonts w:hint="eastAsia" w:ascii="宋体" w:hAnsi="宋体" w:eastAsia="宋体" w:cs="宋体"/>
          <w:highlight w:val="none"/>
          <w:lang w:val="en-US" w:eastAsia="zh-CN"/>
        </w:rPr>
        <w:t>之日起7个工作日内</w:t>
      </w:r>
      <w:r>
        <w:rPr>
          <w:rFonts w:hint="eastAsia" w:ascii="宋体" w:hAnsi="宋体" w:eastAsia="宋体" w:cs="宋体"/>
          <w:highlight w:val="none"/>
        </w:rPr>
        <w:t>，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2F934915">
      <w:pPr>
        <w:pStyle w:val="20"/>
        <w:rPr>
          <w:rFonts w:hint="eastAsia" w:ascii="宋体" w:hAnsi="宋体" w:eastAsia="宋体" w:cs="宋体"/>
          <w:highlight w:val="none"/>
        </w:rPr>
      </w:pPr>
      <w:r>
        <w:rPr>
          <w:rFonts w:hint="eastAsia" w:ascii="宋体" w:hAnsi="宋体" w:eastAsia="宋体" w:cs="宋体"/>
          <w:highlight w:val="none"/>
        </w:rPr>
        <w:t>7.7.2  发出成交通知书后，采购人无正当理由拒绝签订合同，或者在签订合同时向成交供应商提出附加条件的，采购人向成交供应商退还响应保证金；给成交供应商造成损失的，还应当赔偿损失。</w:t>
      </w:r>
    </w:p>
    <w:p w14:paraId="38CD5AEB">
      <w:pPr>
        <w:pStyle w:val="20"/>
        <w:rPr>
          <w:rFonts w:hint="eastAsia" w:ascii="宋体" w:hAnsi="宋体" w:eastAsia="宋体" w:cs="宋体"/>
          <w:highlight w:val="none"/>
        </w:rPr>
      </w:pPr>
      <w:r>
        <w:rPr>
          <w:rFonts w:hint="eastAsia" w:ascii="宋体" w:hAnsi="宋体" w:eastAsia="宋体" w:cs="宋体"/>
          <w:highlight w:val="none"/>
        </w:rPr>
        <w:t>7.7.3  联合体成交的，联合体各方应当共同与采购人签订合同，就成交项目向采购人承担连带责任。</w:t>
      </w:r>
    </w:p>
    <w:p w14:paraId="2D223C0F">
      <w:pPr>
        <w:pStyle w:val="20"/>
        <w:rPr>
          <w:rFonts w:hint="eastAsia" w:ascii="宋体" w:hAnsi="宋体" w:eastAsia="宋体" w:cs="宋体"/>
          <w:highlight w:val="none"/>
        </w:rPr>
      </w:pPr>
      <w:r>
        <w:rPr>
          <w:rFonts w:hint="eastAsia" w:ascii="宋体" w:hAnsi="宋体" w:eastAsia="宋体" w:cs="宋体"/>
          <w:highlight w:val="none"/>
        </w:rPr>
        <w:t>7.7.4 除供应商须知前附表另有规定外，按照第三章“评审办法”第2.2.3 项规定对响应报价进行修正后，若修正后的响应报价小于按照第三章“评审办法” 第 2.2.2 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2058AF88">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7.8 特殊情形处理</w:t>
      </w:r>
    </w:p>
    <w:p w14:paraId="3F4C4E90">
      <w:pPr>
        <w:pStyle w:val="20"/>
        <w:rPr>
          <w:rFonts w:hint="eastAsia" w:ascii="宋体" w:hAnsi="宋体" w:eastAsia="宋体" w:cs="宋体"/>
          <w:highlight w:val="none"/>
        </w:rPr>
      </w:pPr>
      <w:r>
        <w:rPr>
          <w:rFonts w:hint="eastAsia" w:ascii="宋体" w:hAnsi="宋体" w:eastAsia="宋体" w:cs="宋体"/>
          <w:highlight w:val="none"/>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14:paraId="39EFC347">
      <w:pPr>
        <w:ind w:left="0" w:leftChars="0" w:firstLine="0" w:firstLineChars="0"/>
        <w:jc w:val="both"/>
        <w:outlineLvl w:val="9"/>
        <w:rPr>
          <w:rFonts w:hint="eastAsia" w:ascii="宋体" w:hAnsi="宋体" w:eastAsia="宋体" w:cs="宋体"/>
          <w:b/>
          <w:bCs/>
          <w:snapToGrid w:val="0"/>
          <w:color w:val="000000"/>
          <w:kern w:val="0"/>
          <w:sz w:val="24"/>
          <w:szCs w:val="32"/>
          <w:highlight w:val="none"/>
          <w:lang w:val="en-US" w:eastAsia="zh-CN" w:bidi="ar-SA"/>
        </w:rPr>
      </w:pPr>
      <w:bookmarkStart w:id="42" w:name="_Toc14211"/>
      <w:bookmarkStart w:id="43" w:name="_Toc7363"/>
      <w:r>
        <w:rPr>
          <w:rFonts w:hint="eastAsia" w:ascii="宋体" w:hAnsi="宋体" w:eastAsia="宋体" w:cs="宋体"/>
          <w:b/>
          <w:bCs/>
          <w:snapToGrid w:val="0"/>
          <w:color w:val="000000"/>
          <w:kern w:val="0"/>
          <w:sz w:val="24"/>
          <w:szCs w:val="32"/>
          <w:highlight w:val="none"/>
          <w:lang w:val="en-US" w:eastAsia="zh-CN" w:bidi="ar-SA"/>
        </w:rPr>
        <w:t>8 异议</w:t>
      </w:r>
      <w:bookmarkEnd w:id="42"/>
      <w:bookmarkEnd w:id="43"/>
    </w:p>
    <w:p w14:paraId="36539E2F">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8.1 提出异议</w:t>
      </w:r>
    </w:p>
    <w:p w14:paraId="07A6366B">
      <w:pPr>
        <w:pStyle w:val="20"/>
        <w:rPr>
          <w:rFonts w:hint="eastAsia" w:ascii="宋体" w:hAnsi="宋体" w:eastAsia="宋体" w:cs="宋体"/>
          <w:highlight w:val="none"/>
        </w:rPr>
      </w:pPr>
      <w:r>
        <w:rPr>
          <w:rFonts w:hint="eastAsia" w:ascii="宋体" w:hAnsi="宋体" w:eastAsia="宋体" w:cs="宋体"/>
          <w:highlight w:val="none"/>
        </w:rPr>
        <w:t>供应商或者其他利害关系人可以对预成交结果提出异议。异议应在预成交结果公示期间通过供应商须知前附表规定的异议渠道提出，并递交异议函和必要的证明材料。异议函包括但不限于下列内容：</w:t>
      </w:r>
    </w:p>
    <w:p w14:paraId="7918FA25">
      <w:pPr>
        <w:pStyle w:val="20"/>
        <w:rPr>
          <w:rFonts w:hint="eastAsia" w:ascii="宋体" w:hAnsi="宋体" w:eastAsia="宋体" w:cs="宋体"/>
          <w:highlight w:val="none"/>
        </w:rPr>
      </w:pPr>
      <w:r>
        <w:rPr>
          <w:rFonts w:hint="eastAsia" w:ascii="宋体" w:hAnsi="宋体" w:eastAsia="宋体" w:cs="宋体"/>
          <w:highlight w:val="none"/>
        </w:rPr>
        <w:t>(1)异议人名称、地址、邮政编码、联系人及联系电话；</w:t>
      </w:r>
    </w:p>
    <w:p w14:paraId="5CF4B130">
      <w:pPr>
        <w:pStyle w:val="20"/>
        <w:rPr>
          <w:rFonts w:hint="eastAsia" w:ascii="宋体" w:hAnsi="宋体" w:eastAsia="宋体" w:cs="宋体"/>
          <w:highlight w:val="none"/>
        </w:rPr>
      </w:pPr>
      <w:r>
        <w:rPr>
          <w:rFonts w:hint="eastAsia" w:ascii="宋体" w:hAnsi="宋体" w:eastAsia="宋体" w:cs="宋体"/>
          <w:highlight w:val="none"/>
        </w:rPr>
        <w:t>(2)具体、明确的异议事项、事实依据及与异议事项相关的请求。</w:t>
      </w:r>
    </w:p>
    <w:p w14:paraId="58D78634">
      <w:pPr>
        <w:pStyle w:val="20"/>
        <w:rPr>
          <w:rFonts w:hint="eastAsia" w:ascii="宋体" w:hAnsi="宋体" w:eastAsia="宋体" w:cs="宋体"/>
          <w:highlight w:val="none"/>
        </w:rPr>
      </w:pPr>
      <w:r>
        <w:rPr>
          <w:rFonts w:hint="eastAsia" w:ascii="宋体" w:hAnsi="宋体" w:eastAsia="宋体" w:cs="宋体"/>
          <w:highlight w:val="none"/>
          <w:lang w:val="en-US" w:eastAsia="zh-CN"/>
        </w:rPr>
        <w:t>异议函</w:t>
      </w:r>
      <w:r>
        <w:rPr>
          <w:rFonts w:hint="eastAsia" w:ascii="宋体" w:hAnsi="宋体" w:eastAsia="宋体" w:cs="宋体"/>
          <w:highlight w:val="none"/>
        </w:rPr>
        <w:t>应由异议人的法定代表人(单位负责人）或其授权的代理人签字并加盖单位章。</w:t>
      </w:r>
    </w:p>
    <w:p w14:paraId="60F57CC3">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8.2 异议处理</w:t>
      </w:r>
    </w:p>
    <w:p w14:paraId="0A8898BA">
      <w:pPr>
        <w:pStyle w:val="20"/>
        <w:rPr>
          <w:rFonts w:hint="eastAsia" w:ascii="宋体" w:hAnsi="宋体" w:eastAsia="宋体" w:cs="宋体"/>
          <w:highlight w:val="none"/>
        </w:rPr>
      </w:pPr>
      <w:r>
        <w:rPr>
          <w:rFonts w:hint="eastAsia" w:ascii="宋体" w:hAnsi="宋体" w:eastAsia="宋体" w:cs="宋体"/>
          <w:highlight w:val="none"/>
        </w:rPr>
        <w:t>采购人将针对异议事项进行核查，经过核查，发现异议人对相关问题理解有 误的，应作出解释；发现采购活动中确实存在错误或不当行为的，应及时予以改 正或补救。</w:t>
      </w:r>
    </w:p>
    <w:p w14:paraId="51190E20">
      <w:pPr>
        <w:pStyle w:val="20"/>
        <w:rPr>
          <w:rFonts w:hint="eastAsia" w:ascii="宋体" w:hAnsi="宋体" w:eastAsia="宋体" w:cs="宋体"/>
          <w:highlight w:val="none"/>
        </w:rPr>
      </w:pPr>
      <w:r>
        <w:rPr>
          <w:rFonts w:hint="eastAsia" w:ascii="宋体" w:hAnsi="宋体" w:eastAsia="宋体" w:cs="宋体"/>
          <w:highlight w:val="none"/>
        </w:rPr>
        <w:t>异议人与采购人对异议事项无法达成一致的，异议人可向供应商须知前附表 规定的行业组织或专业咨询机构申请调解或进行反映。</w:t>
      </w:r>
    </w:p>
    <w:p w14:paraId="4821839B">
      <w:pPr>
        <w:pStyle w:val="20"/>
        <w:rPr>
          <w:rFonts w:hint="eastAsia" w:ascii="宋体" w:hAnsi="宋体" w:eastAsia="宋体" w:cs="宋体"/>
          <w:highlight w:val="none"/>
        </w:rPr>
      </w:pPr>
      <w:r>
        <w:rPr>
          <w:rFonts w:hint="eastAsia" w:ascii="宋体" w:hAnsi="宋体" w:eastAsia="宋体" w:cs="宋体"/>
          <w:highlight w:val="none"/>
        </w:rPr>
        <w:t>采购人认为异议不成立或不影响采购结果的，可以继续进行采购活动。</w:t>
      </w:r>
    </w:p>
    <w:p w14:paraId="3A3D9650">
      <w:pPr>
        <w:ind w:left="0" w:leftChars="0" w:firstLine="0" w:firstLineChars="0"/>
        <w:jc w:val="both"/>
        <w:outlineLvl w:val="9"/>
        <w:rPr>
          <w:rFonts w:hint="eastAsia" w:ascii="宋体" w:hAnsi="宋体" w:eastAsia="宋体" w:cs="宋体"/>
          <w:b/>
          <w:bCs/>
          <w:snapToGrid w:val="0"/>
          <w:color w:val="000000"/>
          <w:kern w:val="0"/>
          <w:sz w:val="24"/>
          <w:szCs w:val="32"/>
          <w:highlight w:val="none"/>
          <w:lang w:val="en-US" w:eastAsia="zh-CN" w:bidi="ar-SA"/>
        </w:rPr>
      </w:pPr>
      <w:bookmarkStart w:id="44" w:name="_Toc14652"/>
      <w:bookmarkStart w:id="45" w:name="_Toc6790"/>
      <w:r>
        <w:rPr>
          <w:rFonts w:hint="eastAsia" w:ascii="宋体" w:hAnsi="宋体" w:eastAsia="宋体" w:cs="宋体"/>
          <w:b/>
          <w:bCs/>
          <w:snapToGrid w:val="0"/>
          <w:color w:val="000000"/>
          <w:kern w:val="0"/>
          <w:sz w:val="24"/>
          <w:szCs w:val="32"/>
          <w:highlight w:val="none"/>
          <w:lang w:val="en-US" w:eastAsia="zh-CN" w:bidi="ar-SA"/>
        </w:rPr>
        <w:t>9 纪律要求</w:t>
      </w:r>
      <w:bookmarkEnd w:id="44"/>
      <w:bookmarkEnd w:id="45"/>
    </w:p>
    <w:p w14:paraId="1FFA0F29">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9.1 对采购人的纪律要求</w:t>
      </w:r>
    </w:p>
    <w:p w14:paraId="6214355B">
      <w:pPr>
        <w:pStyle w:val="20"/>
        <w:rPr>
          <w:rFonts w:hint="eastAsia" w:ascii="宋体" w:hAnsi="宋体" w:eastAsia="宋体" w:cs="宋体"/>
          <w:highlight w:val="none"/>
        </w:rPr>
      </w:pPr>
      <w:r>
        <w:rPr>
          <w:rFonts w:hint="eastAsia" w:ascii="宋体" w:hAnsi="宋体" w:eastAsia="宋体" w:cs="宋体"/>
          <w:highlight w:val="none"/>
        </w:rPr>
        <w:t>采购人不得泄露询比采购活动中应当保密的情况和资料，不得与供应商串通损害国家利益、社会公共利益或者他人合法权益。</w:t>
      </w:r>
    </w:p>
    <w:p w14:paraId="22B6C241">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9.2 对供应商的纪律要求</w:t>
      </w:r>
    </w:p>
    <w:p w14:paraId="25566D88">
      <w:pPr>
        <w:pStyle w:val="20"/>
        <w:rPr>
          <w:rFonts w:hint="eastAsia" w:ascii="宋体" w:hAnsi="宋体" w:eastAsia="宋体" w:cs="宋体"/>
          <w:highlight w:val="none"/>
        </w:rPr>
      </w:pPr>
      <w:r>
        <w:rPr>
          <w:rFonts w:hint="eastAsia" w:ascii="宋体" w:hAnsi="宋体" w:eastAsia="宋体" w:cs="宋体"/>
          <w:highlight w:val="none"/>
        </w:rPr>
        <w:t>供应商不得相互串通或者与采购人串通，不得向采购人或者评审小组成员行贿谋取成交，不得以他人名义参加询比采购活动或者以其他方式弄虚作假骗取成交；供应商不得以任何方式干扰、影响评审工作。</w:t>
      </w:r>
    </w:p>
    <w:p w14:paraId="7A72BE0D">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9.3 对评审小组成员的纪律要求</w:t>
      </w:r>
    </w:p>
    <w:p w14:paraId="6F13C61C">
      <w:pPr>
        <w:pStyle w:val="20"/>
        <w:rPr>
          <w:rFonts w:hint="eastAsia" w:ascii="宋体" w:hAnsi="宋体" w:eastAsia="宋体" w:cs="宋体"/>
          <w:highlight w:val="none"/>
        </w:rPr>
      </w:pPr>
      <w:r>
        <w:rPr>
          <w:rFonts w:hint="eastAsia" w:ascii="宋体" w:hAnsi="宋体" w:eastAsia="宋体" w:cs="宋体"/>
          <w:highlight w:val="none"/>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14:paraId="7B543B43">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9.4 对与询比活动有关的工作人员的纪律要求</w:t>
      </w:r>
    </w:p>
    <w:p w14:paraId="1E130685">
      <w:pPr>
        <w:pStyle w:val="20"/>
        <w:rPr>
          <w:rFonts w:hint="eastAsia" w:ascii="宋体" w:hAnsi="宋体" w:eastAsia="宋体" w:cs="宋体"/>
          <w:highlight w:val="none"/>
        </w:rPr>
      </w:pPr>
      <w:r>
        <w:rPr>
          <w:rFonts w:hint="eastAsia" w:ascii="宋体" w:hAnsi="宋体" w:eastAsia="宋体" w:cs="宋体"/>
          <w:highlight w:val="none"/>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14:paraId="508F5368">
      <w:pPr>
        <w:ind w:left="0" w:leftChars="0" w:firstLine="0" w:firstLineChars="0"/>
        <w:jc w:val="both"/>
        <w:outlineLvl w:val="9"/>
        <w:rPr>
          <w:rFonts w:hint="eastAsia" w:ascii="宋体" w:hAnsi="宋体" w:eastAsia="宋体" w:cs="宋体"/>
          <w:b/>
          <w:bCs/>
          <w:snapToGrid w:val="0"/>
          <w:color w:val="000000"/>
          <w:kern w:val="0"/>
          <w:sz w:val="24"/>
          <w:szCs w:val="32"/>
          <w:highlight w:val="none"/>
          <w:lang w:val="en-US" w:eastAsia="zh-CN" w:bidi="ar-SA"/>
        </w:rPr>
      </w:pPr>
      <w:bookmarkStart w:id="46" w:name="_Toc13482"/>
      <w:bookmarkStart w:id="47" w:name="_Toc2091"/>
      <w:r>
        <w:rPr>
          <w:rFonts w:hint="eastAsia" w:ascii="宋体" w:hAnsi="宋体" w:eastAsia="宋体" w:cs="宋体"/>
          <w:b/>
          <w:bCs/>
          <w:snapToGrid w:val="0"/>
          <w:color w:val="000000"/>
          <w:kern w:val="0"/>
          <w:sz w:val="24"/>
          <w:szCs w:val="32"/>
          <w:highlight w:val="none"/>
          <w:lang w:val="en-US" w:eastAsia="zh-CN" w:bidi="ar-SA"/>
        </w:rPr>
        <w:t>10 需要补充的其他内容</w:t>
      </w:r>
      <w:bookmarkEnd w:id="46"/>
      <w:bookmarkEnd w:id="47"/>
    </w:p>
    <w:p w14:paraId="53C9BFAF">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10.1 采购代理服务费</w:t>
      </w:r>
    </w:p>
    <w:p w14:paraId="766B6E6C">
      <w:pPr>
        <w:pStyle w:val="20"/>
        <w:rPr>
          <w:rFonts w:hint="eastAsia" w:ascii="宋体" w:hAnsi="宋体" w:eastAsia="宋体" w:cs="宋体"/>
          <w:highlight w:val="none"/>
        </w:rPr>
      </w:pPr>
      <w:r>
        <w:rPr>
          <w:rFonts w:hint="eastAsia" w:ascii="宋体" w:hAnsi="宋体" w:eastAsia="宋体" w:cs="宋体"/>
          <w:highlight w:val="none"/>
        </w:rPr>
        <w:t>供应商须知前附表规定由供应商承担采购代理服务费的，供应商应按照供应商须知前附表规定的费用标准或金额、交费时间和方式向采购代理机构支付代理服务费。</w:t>
      </w:r>
    </w:p>
    <w:p w14:paraId="7CF6C1DC">
      <w:pPr>
        <w:pStyle w:val="20"/>
        <w:ind w:left="0" w:leftChars="0" w:firstLine="241" w:firstLineChars="100"/>
        <w:rPr>
          <w:rFonts w:hint="eastAsia" w:ascii="宋体" w:hAnsi="宋体" w:eastAsia="宋体" w:cs="宋体"/>
          <w:b/>
          <w:bCs/>
          <w:highlight w:val="none"/>
        </w:rPr>
      </w:pPr>
      <w:r>
        <w:rPr>
          <w:rFonts w:hint="eastAsia" w:ascii="宋体" w:hAnsi="宋体" w:eastAsia="宋体" w:cs="宋体"/>
          <w:b/>
          <w:bCs/>
          <w:highlight w:val="none"/>
        </w:rPr>
        <w:t>10.2 其他</w:t>
      </w:r>
    </w:p>
    <w:p w14:paraId="03E1B4F7">
      <w:pPr>
        <w:pStyle w:val="20"/>
        <w:rPr>
          <w:rFonts w:hint="eastAsia" w:ascii="宋体" w:hAnsi="宋体" w:eastAsia="宋体" w:cs="宋体"/>
          <w:highlight w:val="none"/>
        </w:rPr>
      </w:pPr>
      <w:r>
        <w:rPr>
          <w:rFonts w:hint="eastAsia" w:ascii="宋体" w:hAnsi="宋体" w:eastAsia="宋体" w:cs="宋体"/>
          <w:highlight w:val="none"/>
        </w:rPr>
        <w:t>需要补充的其他内容：见供应商须知前附表。</w:t>
      </w:r>
    </w:p>
    <w:p w14:paraId="0F31FAD0">
      <w:pPr>
        <w:pStyle w:val="4"/>
        <w:keepNext w:val="0"/>
        <w:keepLines w:val="0"/>
        <w:spacing w:line="415" w:lineRule="auto"/>
        <w:ind w:firstLine="629"/>
        <w:outlineLvl w:val="9"/>
        <w:rPr>
          <w:rFonts w:hint="eastAsia"/>
          <w:color w:val="auto"/>
          <w:highlight w:val="none"/>
        </w:rPr>
        <w:sectPr>
          <w:footerReference r:id="rId5" w:type="default"/>
          <w:pgSz w:w="11907" w:h="16840"/>
          <w:pgMar w:top="1440" w:right="1000" w:bottom="900" w:left="1247" w:header="851" w:footer="992" w:gutter="0"/>
          <w:pgNumType w:fmt="decimal" w:start="1"/>
          <w:cols w:space="720" w:num="1"/>
          <w:docGrid w:linePitch="303" w:charSpace="0"/>
        </w:sectPr>
      </w:pPr>
    </w:p>
    <w:p w14:paraId="63B363BA">
      <w:pPr>
        <w:spacing w:before="176" w:line="208" w:lineRule="auto"/>
        <w:jc w:val="center"/>
        <w:outlineLvl w:val="0"/>
        <w:rPr>
          <w:rFonts w:hint="eastAsia" w:ascii="宋体" w:hAnsi="宋体" w:eastAsia="宋体" w:cs="宋体"/>
          <w:b/>
          <w:bCs/>
          <w:snapToGrid w:val="0"/>
          <w:color w:val="auto"/>
          <w:spacing w:val="1"/>
          <w:kern w:val="0"/>
          <w:sz w:val="22"/>
          <w:szCs w:val="22"/>
          <w:lang w:val="en-US" w:eastAsia="zh-CN" w:bidi="ar-SA"/>
        </w:rPr>
      </w:pPr>
      <w:bookmarkStart w:id="48" w:name="_Toc9002"/>
      <w:bookmarkStart w:id="49" w:name="_Toc29316"/>
      <w:bookmarkStart w:id="50" w:name="_Toc24571"/>
      <w:bookmarkStart w:id="51" w:name="_Toc22663"/>
      <w:bookmarkStart w:id="52" w:name="_Toc8324"/>
      <w:bookmarkStart w:id="53" w:name="_Toc16648"/>
      <w:bookmarkStart w:id="54" w:name="_Toc31085"/>
      <w:r>
        <w:rPr>
          <w:rFonts w:hint="eastAsia" w:ascii="华文中宋" w:hAnsi="华文中宋" w:eastAsia="华文中宋" w:cs="华文中宋"/>
          <w:spacing w:val="-2"/>
          <w:sz w:val="36"/>
          <w:szCs w:val="36"/>
        </w:rPr>
        <w:t>第三章  评审办法</w:t>
      </w:r>
      <w:bookmarkEnd w:id="48"/>
      <w:bookmarkEnd w:id="49"/>
      <w:bookmarkEnd w:id="50"/>
      <w:bookmarkEnd w:id="51"/>
      <w:bookmarkEnd w:id="52"/>
    </w:p>
    <w:p w14:paraId="25A716FE">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一、</w:t>
      </w:r>
      <w:r>
        <w:rPr>
          <w:rFonts w:hint="eastAsia" w:ascii="宋体" w:hAnsi="宋体" w:eastAsia="宋体" w:cs="宋体"/>
          <w:b/>
          <w:bCs/>
          <w:sz w:val="32"/>
          <w:szCs w:val="32"/>
        </w:rPr>
        <w:t>评审办法前附表</w:t>
      </w:r>
    </w:p>
    <w:p w14:paraId="5454F26E">
      <w:pPr>
        <w:rPr>
          <w:rFonts w:hint="eastAsia"/>
          <w:color w:val="auto"/>
          <w:highlight w:val="none"/>
        </w:rPr>
      </w:pPr>
    </w:p>
    <w:tbl>
      <w:tblPr>
        <w:tblStyle w:val="22"/>
        <w:tblW w:w="9150"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2"/>
        <w:gridCol w:w="1245"/>
        <w:gridCol w:w="2717"/>
        <w:gridCol w:w="4346"/>
      </w:tblGrid>
      <w:tr w14:paraId="2317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087" w:type="dxa"/>
            <w:gridSpan w:val="2"/>
            <w:tcBorders>
              <w:top w:val="single" w:color="000000" w:sz="4" w:space="0"/>
              <w:left w:val="single" w:color="000000" w:sz="4" w:space="0"/>
              <w:bottom w:val="single" w:color="000000" w:sz="4" w:space="0"/>
              <w:right w:val="single" w:color="000000" w:sz="4" w:space="0"/>
            </w:tcBorders>
            <w:noWrap w:val="0"/>
            <w:vAlign w:val="center"/>
          </w:tcPr>
          <w:p w14:paraId="78E6F2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条款号及名称</w:t>
            </w: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247016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评审因素</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13609F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评审标准</w:t>
            </w:r>
          </w:p>
        </w:tc>
      </w:tr>
      <w:tr w14:paraId="06C5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3A82B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FAA1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评审方法</w:t>
            </w: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4BC32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评审方法</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76DF6F8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综合评分法</w:t>
            </w:r>
          </w:p>
        </w:tc>
      </w:tr>
      <w:tr w14:paraId="4FEC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20799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7A50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形式评审标准</w:t>
            </w: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5A2BA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供应商名称</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624B8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与市场监管部门或其他行政机关颁发的可以合法开展业务的执照或证书一致</w:t>
            </w:r>
          </w:p>
        </w:tc>
      </w:tr>
      <w:tr w14:paraId="5DE5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CD359">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48272">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36BD9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响应文件签字盖章</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5731E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符合第二章第</w:t>
            </w:r>
            <w:r>
              <w:rPr>
                <w:rFonts w:hint="eastAsia" w:ascii="宋体" w:hAnsi="宋体" w:cs="宋体"/>
                <w:i w:val="0"/>
                <w:iCs w:val="0"/>
                <w:color w:val="000000"/>
                <w:kern w:val="0"/>
                <w:sz w:val="21"/>
                <w:szCs w:val="21"/>
                <w:u w:val="none"/>
                <w:lang w:val="en-US" w:eastAsia="zh-CN" w:bidi="ar"/>
              </w:rPr>
              <w:t>3.7.2</w:t>
            </w:r>
            <w:r>
              <w:rPr>
                <w:rFonts w:hint="eastAsia" w:ascii="宋体" w:hAnsi="宋体" w:eastAsia="宋体" w:cs="宋体"/>
                <w:i w:val="0"/>
                <w:iCs w:val="0"/>
                <w:color w:val="000000"/>
                <w:kern w:val="0"/>
                <w:sz w:val="21"/>
                <w:szCs w:val="21"/>
                <w:u w:val="none"/>
                <w:lang w:val="en-US" w:eastAsia="zh-CN" w:bidi="ar"/>
              </w:rPr>
              <w:t>项及第</w:t>
            </w:r>
            <w:r>
              <w:rPr>
                <w:rFonts w:hint="eastAsia" w:ascii="宋体" w:hAnsi="宋体" w:cs="宋体"/>
                <w:i w:val="0"/>
                <w:iCs w:val="0"/>
                <w:color w:val="000000"/>
                <w:kern w:val="0"/>
                <w:sz w:val="21"/>
                <w:szCs w:val="21"/>
                <w:u w:val="none"/>
                <w:lang w:val="en-US" w:eastAsia="zh-CN" w:bidi="ar"/>
              </w:rPr>
              <w:t>3.7.3</w:t>
            </w:r>
            <w:r>
              <w:rPr>
                <w:rFonts w:hint="eastAsia" w:ascii="宋体" w:hAnsi="宋体" w:eastAsia="宋体" w:cs="宋体"/>
                <w:i w:val="0"/>
                <w:iCs w:val="0"/>
                <w:color w:val="000000"/>
                <w:kern w:val="0"/>
                <w:sz w:val="21"/>
                <w:szCs w:val="21"/>
                <w:u w:val="none"/>
                <w:lang w:val="en-US" w:eastAsia="zh-CN" w:bidi="ar"/>
              </w:rPr>
              <w:t>项的规定</w:t>
            </w:r>
          </w:p>
        </w:tc>
      </w:tr>
      <w:tr w14:paraId="4BF2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37DDC">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A970B">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7E9F0D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联合体协议书</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1EA786C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符合询比公告要求</w:t>
            </w:r>
          </w:p>
        </w:tc>
      </w:tr>
      <w:tr w14:paraId="1F67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DFC7A">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D1E4F">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2990B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响应函中实质性内容</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24F449E1">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符合询比采购文件要求</w:t>
            </w:r>
          </w:p>
        </w:tc>
      </w:tr>
      <w:tr w14:paraId="4A64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99A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DE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资格评审标准</w:t>
            </w: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39A65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依法设立</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0E7D5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符合供应商须知前附表第</w:t>
            </w: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款规定</w:t>
            </w:r>
          </w:p>
        </w:tc>
      </w:tr>
      <w:tr w14:paraId="40C7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790D3">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4A06C1">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78639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资质要求</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70B7B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w:t>
            </w:r>
            <w:r>
              <w:rPr>
                <w:rFonts w:hint="eastAsia" w:ascii="宋体" w:hAnsi="宋体" w:cs="宋体"/>
                <w:i w:val="0"/>
                <w:iCs w:val="0"/>
                <w:color w:val="000000"/>
                <w:kern w:val="0"/>
                <w:sz w:val="21"/>
                <w:szCs w:val="21"/>
                <w:u w:val="none"/>
                <w:lang w:val="en-US" w:eastAsia="zh-CN" w:bidi="ar"/>
              </w:rPr>
              <w:t>三</w:t>
            </w:r>
            <w:r>
              <w:rPr>
                <w:rFonts w:hint="eastAsia" w:ascii="宋体" w:hAnsi="宋体" w:eastAsia="宋体" w:cs="宋体"/>
                <w:i w:val="0"/>
                <w:iCs w:val="0"/>
                <w:color w:val="000000"/>
                <w:kern w:val="0"/>
                <w:sz w:val="21"/>
                <w:szCs w:val="21"/>
                <w:u w:val="none"/>
                <w:lang w:val="en-US" w:eastAsia="zh-CN" w:bidi="ar"/>
              </w:rPr>
              <w:t>款及供应商须知前附表第</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款规定</w:t>
            </w:r>
          </w:p>
        </w:tc>
      </w:tr>
      <w:tr w14:paraId="5D4D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168B9">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74D08">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425E4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财务要求</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7AAAC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符合第一章第三款及供应商须知前附表第</w:t>
            </w:r>
            <w:r>
              <w:rPr>
                <w:rFonts w:hint="eastAsia" w:ascii="宋体" w:hAnsi="宋体"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款规定</w:t>
            </w:r>
          </w:p>
        </w:tc>
      </w:tr>
      <w:tr w14:paraId="6EC9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9A313">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7C768">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64C0B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业绩要求</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69468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符合供应商须知前附表第</w:t>
            </w:r>
            <w:r>
              <w:rPr>
                <w:rFonts w:hint="eastAsia" w:ascii="宋体" w:hAnsi="宋体" w:cs="宋体"/>
                <w:i w:val="0"/>
                <w:iCs w:val="0"/>
                <w:color w:val="000000"/>
                <w:kern w:val="0"/>
                <w:sz w:val="21"/>
                <w:szCs w:val="21"/>
                <w:u w:val="none"/>
                <w:lang w:val="en-US" w:eastAsia="zh-CN" w:bidi="ar"/>
              </w:rPr>
              <w:t>17</w:t>
            </w:r>
            <w:r>
              <w:rPr>
                <w:rFonts w:hint="eastAsia" w:ascii="宋体" w:hAnsi="宋体" w:eastAsia="宋体" w:cs="宋体"/>
                <w:i w:val="0"/>
                <w:iCs w:val="0"/>
                <w:color w:val="000000"/>
                <w:kern w:val="0"/>
                <w:sz w:val="21"/>
                <w:szCs w:val="21"/>
                <w:u w:val="none"/>
                <w:lang w:val="en-US" w:eastAsia="zh-CN" w:bidi="ar"/>
              </w:rPr>
              <w:t>款规定</w:t>
            </w:r>
          </w:p>
        </w:tc>
      </w:tr>
      <w:tr w14:paraId="4FB1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D2858">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B5315">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7FE79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信誉要求</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032E7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符合第一章第三款及供应商须知前附表第18款规定</w:t>
            </w:r>
          </w:p>
        </w:tc>
      </w:tr>
      <w:tr w14:paraId="411F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BA2CD">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0B721">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2A4AD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人员要求</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7DC5D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符合第一章第三款及供应商须知前附表第</w:t>
            </w:r>
            <w:r>
              <w:rPr>
                <w:rFonts w:hint="eastAsia" w:ascii="宋体" w:hAnsi="宋体" w:cs="宋体"/>
                <w:i w:val="0"/>
                <w:iCs w:val="0"/>
                <w:color w:val="000000"/>
                <w:kern w:val="0"/>
                <w:sz w:val="21"/>
                <w:szCs w:val="21"/>
                <w:u w:val="none"/>
                <w:lang w:val="en-US" w:eastAsia="zh-CN" w:bidi="ar"/>
              </w:rPr>
              <w:t>19</w:t>
            </w:r>
            <w:r>
              <w:rPr>
                <w:rFonts w:hint="eastAsia" w:ascii="宋体" w:hAnsi="宋体" w:eastAsia="宋体" w:cs="宋体"/>
                <w:i w:val="0"/>
                <w:iCs w:val="0"/>
                <w:color w:val="000000"/>
                <w:kern w:val="0"/>
                <w:sz w:val="21"/>
                <w:szCs w:val="21"/>
                <w:u w:val="none"/>
                <w:lang w:val="en-US" w:eastAsia="zh-CN" w:bidi="ar"/>
              </w:rPr>
              <w:t>款规定</w:t>
            </w:r>
          </w:p>
        </w:tc>
      </w:tr>
      <w:tr w14:paraId="64ED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BA7AC">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8307B">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6AC34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其他要求</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18D43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符合第一章第三款及供应商须知前附表第</w:t>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款规定</w:t>
            </w:r>
          </w:p>
        </w:tc>
      </w:tr>
      <w:tr w14:paraId="0F792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4B4BD">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CA792">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09901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不存在第一章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第三款第3条情形</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4F8F0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符合第一章第三款第2条规定</w:t>
            </w:r>
          </w:p>
        </w:tc>
      </w:tr>
      <w:tr w14:paraId="2207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23306">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8250A">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32767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联合体供应商</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237AD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符合第一章第三款及供应商须知前附表第</w:t>
            </w:r>
            <w:r>
              <w:rPr>
                <w:rFonts w:hint="eastAsia" w:ascii="宋体" w:hAnsi="宋体" w:cs="宋体"/>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款规定</w:t>
            </w:r>
          </w:p>
        </w:tc>
      </w:tr>
      <w:tr w14:paraId="2191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B24C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DFF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响应性评审标准</w:t>
            </w: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1F9DD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20399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符合第二章第</w:t>
            </w:r>
            <w:r>
              <w:rPr>
                <w:rFonts w:hint="eastAsia" w:ascii="宋体" w:hAnsi="宋体" w:cs="宋体"/>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款规定</w:t>
            </w:r>
          </w:p>
        </w:tc>
      </w:tr>
      <w:tr w14:paraId="421C2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08EBE">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6B3CD">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right w:val="single" w:color="000000" w:sz="4" w:space="0"/>
            </w:tcBorders>
            <w:noWrap w:val="0"/>
            <w:vAlign w:val="center"/>
          </w:tcPr>
          <w:p w14:paraId="1DFAE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响应文件有效期</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47CCB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符合第二章第</w:t>
            </w:r>
            <w:r>
              <w:rPr>
                <w:rFonts w:hint="eastAsia" w:ascii="宋体" w:hAnsi="宋体" w:cs="宋体"/>
                <w:i w:val="0"/>
                <w:iCs w:val="0"/>
                <w:color w:val="000000"/>
                <w:kern w:val="0"/>
                <w:sz w:val="21"/>
                <w:szCs w:val="21"/>
                <w:u w:val="none"/>
                <w:lang w:val="en-US" w:eastAsia="zh-CN" w:bidi="ar"/>
              </w:rPr>
              <w:t>3.3.1</w:t>
            </w:r>
            <w:r>
              <w:rPr>
                <w:rFonts w:hint="eastAsia" w:ascii="宋体" w:hAnsi="宋体" w:eastAsia="宋体" w:cs="宋体"/>
                <w:i w:val="0"/>
                <w:iCs w:val="0"/>
                <w:color w:val="000000"/>
                <w:kern w:val="0"/>
                <w:sz w:val="21"/>
                <w:szCs w:val="21"/>
                <w:u w:val="none"/>
                <w:lang w:val="en-US" w:eastAsia="zh-CN" w:bidi="ar"/>
              </w:rPr>
              <w:t>款规定</w:t>
            </w:r>
          </w:p>
        </w:tc>
      </w:tr>
      <w:tr w14:paraId="6A82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28E62">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E8F47">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5F52C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响应方案</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08F1B5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符合第二章第</w:t>
            </w:r>
            <w:r>
              <w:rPr>
                <w:rFonts w:hint="eastAsia" w:ascii="宋体" w:hAnsi="宋体" w:cs="宋体"/>
                <w:i w:val="0"/>
                <w:iCs w:val="0"/>
                <w:color w:val="auto"/>
                <w:kern w:val="0"/>
                <w:sz w:val="21"/>
                <w:szCs w:val="21"/>
                <w:u w:val="none"/>
                <w:lang w:val="en-US" w:eastAsia="zh-CN" w:bidi="ar"/>
              </w:rPr>
              <w:t>3.6</w:t>
            </w:r>
            <w:r>
              <w:rPr>
                <w:rFonts w:hint="eastAsia" w:ascii="宋体" w:hAnsi="宋体" w:eastAsia="宋体" w:cs="宋体"/>
                <w:i w:val="0"/>
                <w:iCs w:val="0"/>
                <w:color w:val="auto"/>
                <w:kern w:val="0"/>
                <w:sz w:val="21"/>
                <w:szCs w:val="21"/>
                <w:u w:val="none"/>
                <w:lang w:val="en-US" w:eastAsia="zh-CN" w:bidi="ar"/>
              </w:rPr>
              <w:t>款规定</w:t>
            </w:r>
          </w:p>
        </w:tc>
      </w:tr>
      <w:tr w14:paraId="401E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0A796">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F1D320">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453D5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质量标准</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63D4F2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符合第五章第一款规定</w:t>
            </w:r>
          </w:p>
        </w:tc>
      </w:tr>
      <w:tr w14:paraId="13CD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8108A">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C8DD3">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56692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完成期限 </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53137D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符合第五章规定</w:t>
            </w:r>
          </w:p>
        </w:tc>
      </w:tr>
      <w:tr w14:paraId="01B8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9343C">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7DAB9">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2EE98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合同条款</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66511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符合第四章规定</w:t>
            </w:r>
          </w:p>
        </w:tc>
      </w:tr>
      <w:tr w14:paraId="079F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08F62">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CF930">
            <w:pPr>
              <w:jc w:val="center"/>
              <w:rPr>
                <w:rFonts w:hint="eastAsia" w:ascii="宋体" w:hAnsi="宋体" w:eastAsia="宋体" w:cs="宋体"/>
                <w:i w:val="0"/>
                <w:iCs w:val="0"/>
                <w:color w:val="000000"/>
                <w:sz w:val="21"/>
                <w:szCs w:val="21"/>
                <w:u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081EB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对非关键条款的偏差</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14:paraId="2A24F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偏差范围和偏差项数符合第二章第</w:t>
            </w:r>
            <w:r>
              <w:rPr>
                <w:rFonts w:hint="eastAsia" w:ascii="宋体" w:hAnsi="宋体" w:cs="宋体"/>
                <w:i w:val="0"/>
                <w:iCs w:val="0"/>
                <w:color w:val="000000"/>
                <w:kern w:val="0"/>
                <w:sz w:val="21"/>
                <w:szCs w:val="21"/>
                <w:u w:val="none"/>
                <w:lang w:val="en-US" w:eastAsia="zh-CN" w:bidi="ar"/>
              </w:rPr>
              <w:t>1.10.2</w:t>
            </w:r>
            <w:r>
              <w:rPr>
                <w:rFonts w:hint="eastAsia" w:ascii="宋体" w:hAnsi="宋体" w:eastAsia="宋体" w:cs="宋体"/>
                <w:i w:val="0"/>
                <w:iCs w:val="0"/>
                <w:color w:val="000000"/>
                <w:kern w:val="0"/>
                <w:sz w:val="21"/>
                <w:szCs w:val="21"/>
                <w:u w:val="none"/>
                <w:lang w:val="en-US" w:eastAsia="zh-CN" w:bidi="ar"/>
              </w:rPr>
              <w:t>项的规定</w:t>
            </w:r>
          </w:p>
        </w:tc>
      </w:tr>
      <w:tr w14:paraId="491D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150" w:type="dxa"/>
            <w:gridSpan w:val="4"/>
            <w:tcBorders>
              <w:top w:val="single" w:color="000000" w:sz="4" w:space="0"/>
              <w:left w:val="single" w:color="000000" w:sz="4" w:space="0"/>
              <w:bottom w:val="single" w:color="000000" w:sz="4" w:space="0"/>
              <w:right w:val="single" w:color="000000" w:sz="4" w:space="0"/>
            </w:tcBorders>
            <w:noWrap w:val="0"/>
            <w:vAlign w:val="center"/>
          </w:tcPr>
          <w:p w14:paraId="1E34F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6"/>
                <w:b/>
                <w:bCs/>
                <w:sz w:val="21"/>
                <w:szCs w:val="21"/>
                <w:lang w:val="en-US" w:eastAsia="zh-CN" w:bidi="ar"/>
              </w:rPr>
              <w:t>详细评审标准和程序（</w:t>
            </w:r>
            <w:r>
              <w:rPr>
                <w:rStyle w:val="46"/>
                <w:rFonts w:hint="eastAsia"/>
                <w:b/>
                <w:bCs/>
                <w:sz w:val="21"/>
                <w:szCs w:val="21"/>
                <w:lang w:val="en-US" w:eastAsia="zh-CN" w:bidi="ar"/>
              </w:rPr>
              <w:t>综合评分法</w:t>
            </w:r>
            <w:r>
              <w:rPr>
                <w:rStyle w:val="46"/>
                <w:b/>
                <w:bCs/>
                <w:sz w:val="21"/>
                <w:szCs w:val="21"/>
                <w:lang w:val="en-US" w:eastAsia="zh-CN" w:bidi="ar"/>
              </w:rPr>
              <w:t>）</w:t>
            </w:r>
          </w:p>
        </w:tc>
      </w:tr>
      <w:tr w14:paraId="13A1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5F8BAD5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条款号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677F85C">
            <w:pPr>
              <w:keepNext w:val="0"/>
              <w:keepLines w:val="0"/>
              <w:pageBreakBefore w:val="0"/>
              <w:widowControl/>
              <w:suppressLineNumbers w:val="0"/>
              <w:wordWrap/>
              <w:overflowPunct/>
              <w:topLinePunct w:val="0"/>
              <w:bidi w:val="0"/>
              <w:spacing w:line="360" w:lineRule="exact"/>
              <w:jc w:val="center"/>
              <w:textAlignment w:val="center"/>
              <w:rPr>
                <w:rFonts w:hint="default" w:eastAsia="宋体"/>
                <w:b/>
                <w:bCs/>
                <w:sz w:val="21"/>
                <w:szCs w:val="21"/>
                <w:lang w:val="en-US" w:eastAsia="zh-CN"/>
              </w:rPr>
            </w:pPr>
            <w:r>
              <w:rPr>
                <w:rFonts w:hint="eastAsia" w:eastAsia="宋体"/>
                <w:b/>
                <w:bCs/>
                <w:sz w:val="21"/>
                <w:szCs w:val="21"/>
                <w:lang w:val="en-US" w:eastAsia="zh-CN"/>
              </w:rPr>
              <w:t>评分因素</w:t>
            </w:r>
          </w:p>
        </w:tc>
        <w:tc>
          <w:tcPr>
            <w:tcW w:w="7063" w:type="dxa"/>
            <w:gridSpan w:val="2"/>
            <w:tcBorders>
              <w:top w:val="single" w:color="000000" w:sz="4" w:space="0"/>
              <w:left w:val="single" w:color="000000" w:sz="4" w:space="0"/>
              <w:bottom w:val="single" w:color="000000" w:sz="4" w:space="0"/>
              <w:right w:val="single" w:color="000000" w:sz="4" w:space="0"/>
            </w:tcBorders>
            <w:noWrap w:val="0"/>
            <w:vAlign w:val="center"/>
          </w:tcPr>
          <w:p w14:paraId="4D0F66EC">
            <w:pPr>
              <w:keepNext w:val="0"/>
              <w:keepLines w:val="0"/>
              <w:pageBreakBefore w:val="0"/>
              <w:widowControl/>
              <w:suppressLineNumbers w:val="0"/>
              <w:wordWrap/>
              <w:overflowPunct/>
              <w:topLinePunct w:val="0"/>
              <w:bidi w:val="0"/>
              <w:spacing w:line="360" w:lineRule="exact"/>
              <w:jc w:val="center"/>
              <w:textAlignment w:val="center"/>
              <w:rPr>
                <w:rFonts w:hint="default"/>
                <w:b/>
                <w:bCs/>
                <w:sz w:val="21"/>
                <w:szCs w:val="21"/>
                <w:lang w:val="en-US"/>
              </w:rPr>
            </w:pPr>
            <w:r>
              <w:rPr>
                <w:rFonts w:hint="eastAsia" w:ascii="宋体" w:hAnsi="宋体" w:eastAsia="宋体" w:cs="宋体"/>
                <w:b/>
                <w:bCs/>
                <w:i w:val="0"/>
                <w:iCs w:val="0"/>
                <w:color w:val="000000"/>
                <w:kern w:val="0"/>
                <w:sz w:val="21"/>
                <w:szCs w:val="21"/>
                <w:u w:val="none"/>
                <w:lang w:val="en-US" w:eastAsia="zh-CN" w:bidi="ar"/>
              </w:rPr>
              <w:t>评分标准</w:t>
            </w:r>
          </w:p>
        </w:tc>
      </w:tr>
      <w:tr w14:paraId="67CA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4BE260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529C511">
            <w:pPr>
              <w:keepNext w:val="0"/>
              <w:keepLines w:val="0"/>
              <w:pageBreakBefore w:val="0"/>
              <w:widowControl/>
              <w:suppressLineNumbers w:val="0"/>
              <w:wordWrap/>
              <w:overflowPunct/>
              <w:topLinePunct w:val="0"/>
              <w:bidi w:val="0"/>
              <w:spacing w:line="400" w:lineRule="exact"/>
              <w:jc w:val="center"/>
              <w:textAlignment w:val="center"/>
              <w:rPr>
                <w:rFonts w:hint="default" w:eastAsia="宋体"/>
                <w:sz w:val="21"/>
                <w:szCs w:val="21"/>
                <w:lang w:val="en-US" w:eastAsia="zh-CN"/>
              </w:rPr>
            </w:pPr>
            <w:r>
              <w:rPr>
                <w:rFonts w:hint="eastAsia" w:eastAsia="宋体"/>
                <w:sz w:val="21"/>
                <w:szCs w:val="21"/>
                <w:lang w:val="en-US" w:eastAsia="zh-CN"/>
              </w:rPr>
              <w:t>分值构成</w:t>
            </w:r>
          </w:p>
        </w:tc>
        <w:tc>
          <w:tcPr>
            <w:tcW w:w="7063" w:type="dxa"/>
            <w:gridSpan w:val="2"/>
            <w:tcBorders>
              <w:top w:val="single" w:color="000000" w:sz="4" w:space="0"/>
              <w:left w:val="single" w:color="000000" w:sz="4" w:space="0"/>
              <w:bottom w:val="single" w:color="000000" w:sz="4" w:space="0"/>
              <w:right w:val="single" w:color="000000" w:sz="4" w:space="0"/>
            </w:tcBorders>
            <w:noWrap w:val="0"/>
            <w:vAlign w:val="center"/>
          </w:tcPr>
          <w:p w14:paraId="1756E284">
            <w:pPr>
              <w:keepNext w:val="0"/>
              <w:keepLines w:val="0"/>
              <w:pageBreakBefore w:val="0"/>
              <w:widowControl/>
              <w:suppressLineNumbers w:val="0"/>
              <w:wordWrap/>
              <w:overflowPunct/>
              <w:topLinePunct w:val="0"/>
              <w:bidi w:val="0"/>
              <w:spacing w:line="400" w:lineRule="exact"/>
              <w:jc w:val="left"/>
              <w:textAlignment w:val="center"/>
              <w:rPr>
                <w:rFonts w:hint="eastAsia"/>
                <w:sz w:val="21"/>
                <w:szCs w:val="21"/>
                <w:lang w:val="en-US" w:eastAsia="zh-CN"/>
              </w:rPr>
            </w:pPr>
            <w:r>
              <w:rPr>
                <w:rFonts w:hint="eastAsia"/>
                <w:sz w:val="21"/>
                <w:szCs w:val="21"/>
                <w:lang w:val="en-US" w:eastAsia="zh-CN"/>
              </w:rPr>
              <w:t>施工组织设计：60分</w:t>
            </w:r>
          </w:p>
          <w:p w14:paraId="1160D43A">
            <w:pPr>
              <w:keepNext w:val="0"/>
              <w:keepLines w:val="0"/>
              <w:pageBreakBefore w:val="0"/>
              <w:widowControl/>
              <w:suppressLineNumbers w:val="0"/>
              <w:wordWrap/>
              <w:overflowPunct/>
              <w:topLinePunct w:val="0"/>
              <w:bidi w:val="0"/>
              <w:spacing w:line="400" w:lineRule="exact"/>
              <w:jc w:val="left"/>
              <w:textAlignment w:val="center"/>
              <w:rPr>
                <w:rFonts w:hint="default"/>
                <w:sz w:val="21"/>
                <w:szCs w:val="21"/>
                <w:lang w:val="en-US" w:eastAsia="zh-CN"/>
              </w:rPr>
            </w:pPr>
            <w:r>
              <w:rPr>
                <w:rFonts w:hint="eastAsia"/>
                <w:sz w:val="21"/>
                <w:szCs w:val="21"/>
                <w:lang w:val="en-US" w:eastAsia="zh-CN"/>
              </w:rPr>
              <w:t>投标报价得分：40分</w:t>
            </w:r>
          </w:p>
        </w:tc>
      </w:tr>
      <w:tr w14:paraId="5EF1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3C54B6B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B83159E">
            <w:pPr>
              <w:keepNext w:val="0"/>
              <w:keepLines w:val="0"/>
              <w:pageBreakBefore w:val="0"/>
              <w:widowControl/>
              <w:suppressLineNumbers w:val="0"/>
              <w:wordWrap/>
              <w:overflowPunct/>
              <w:topLinePunct w:val="0"/>
              <w:bidi w:val="0"/>
              <w:spacing w:line="400" w:lineRule="exact"/>
              <w:jc w:val="center"/>
              <w:textAlignment w:val="center"/>
              <w:rPr>
                <w:rFonts w:hint="default" w:eastAsia="宋体"/>
                <w:sz w:val="21"/>
                <w:szCs w:val="21"/>
                <w:lang w:val="en-US" w:eastAsia="zh-CN"/>
              </w:rPr>
            </w:pPr>
            <w:r>
              <w:rPr>
                <w:rFonts w:hint="eastAsia" w:eastAsia="宋体"/>
                <w:sz w:val="21"/>
                <w:szCs w:val="21"/>
                <w:lang w:val="en-US" w:eastAsia="zh-CN"/>
              </w:rPr>
              <w:t>施工组织设计评分标准</w:t>
            </w:r>
          </w:p>
        </w:tc>
        <w:tc>
          <w:tcPr>
            <w:tcW w:w="7063" w:type="dxa"/>
            <w:gridSpan w:val="2"/>
            <w:tcBorders>
              <w:top w:val="single" w:color="000000" w:sz="4" w:space="0"/>
              <w:left w:val="single" w:color="000000" w:sz="4" w:space="0"/>
              <w:bottom w:val="single" w:color="000000" w:sz="4" w:space="0"/>
              <w:right w:val="single" w:color="000000" w:sz="4" w:space="0"/>
            </w:tcBorders>
            <w:noWrap w:val="0"/>
            <w:vAlign w:val="center"/>
          </w:tcPr>
          <w:p w14:paraId="3A776D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 xml:space="preserve">1.工程概况（5 分） </w:t>
            </w:r>
          </w:p>
          <w:p w14:paraId="5FB657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①对项目总体有深刻的认识，对本项目内外部施工环境表述清晰、严谨、合理，符合要求得 5 分； </w:t>
            </w:r>
          </w:p>
          <w:p w14:paraId="1B19CD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②对项目总体有较深刻的认识，对本项目内外部施工环境表述较清晰、较严谨、较合理， 基本符合要求得 3 分； </w:t>
            </w:r>
          </w:p>
          <w:p w14:paraId="6E9610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③对项目总体认识不清，对本项目内外部施工环境表述不清晰、不严谨、不合理，不能符合基本要求得 1 分。 </w:t>
            </w:r>
          </w:p>
          <w:p w14:paraId="4BEB2F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④不提供的不得分。 </w:t>
            </w:r>
          </w:p>
          <w:p w14:paraId="6D959E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2.主要施工方法（3 分） </w:t>
            </w:r>
          </w:p>
          <w:p w14:paraId="06A4CA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①对项目关键技术、工艺有深入的表述，对重点、难点有先进、合理的建议，解决方案完整、经济、安全、切实可行，措施得力得 3分。 </w:t>
            </w:r>
          </w:p>
          <w:p w14:paraId="4106C2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②对项目关键技术、工艺有基本的表述，对重点、难点有合理建议解决方案经济、安全、基本可行得 2 分。 </w:t>
            </w:r>
          </w:p>
          <w:p w14:paraId="3D3F44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③对项目关键技术有表述，对重点、难点有建议，解决方案不可行得 1 分。 </w:t>
            </w:r>
          </w:p>
          <w:p w14:paraId="08A640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④不提供的不得分。 </w:t>
            </w:r>
          </w:p>
          <w:p w14:paraId="0CFBF2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3.拟投入的主要物资计划（5 分） </w:t>
            </w:r>
          </w:p>
          <w:p w14:paraId="305408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①拟投入的主要物资计划有详细计划且计划周密，物资数量、进场数量、时间安排合理，满足施工需要得 5 分。 </w:t>
            </w:r>
          </w:p>
          <w:p w14:paraId="1CD2E3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②拟投入的主要物资计划有较详细计划且计划较周密，物资数量、进场数量、时间安排较合理，基本满足施工需要得 3 分。 </w:t>
            </w:r>
          </w:p>
          <w:p w14:paraId="2AE839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③拟投入的主要主要物资计划无详细计划，物资数量、进场数量、时间安排不合理，不能满足施工需要得 1 分。 </w:t>
            </w:r>
          </w:p>
          <w:p w14:paraId="133F65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④不提供的不得分。 </w:t>
            </w:r>
          </w:p>
          <w:p w14:paraId="79F18E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4.拟投入的主要机械、设备计划（3 分）</w:t>
            </w:r>
            <w:r>
              <w:rPr>
                <w:rFonts w:hint="eastAsia" w:ascii="宋体" w:hAnsi="宋体" w:eastAsia="宋体" w:cs="宋体"/>
                <w:color w:val="000000"/>
                <w:kern w:val="0"/>
                <w:sz w:val="21"/>
                <w:szCs w:val="21"/>
                <w:lang w:val="en-US" w:eastAsia="zh-CN" w:bidi="ar"/>
              </w:rPr>
              <w:t xml:space="preserve"> </w:t>
            </w:r>
          </w:p>
          <w:p w14:paraId="733D42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①拟投入的主要机械、设备计划有详细计划且计划周密，设备数量、选型配置、进场数量、时间安排合理，满足施工需要得3分。 </w:t>
            </w:r>
          </w:p>
          <w:p w14:paraId="5978C2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②拟投入的主要机械、设备计划有较详细计划且计划较周密，设备数量、选型配置、进场数量、时间安排较合理，基本满足施工需要得2分。 </w:t>
            </w:r>
          </w:p>
          <w:p w14:paraId="21F439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③拟投入的主要主要机械、设备计划无详细计划，设备数量、选型配置、进场数量、时间安排不合理，不能满足施工需要得 1分。 </w:t>
            </w:r>
          </w:p>
          <w:p w14:paraId="6403F9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④不提供的不得分。 </w:t>
            </w:r>
          </w:p>
          <w:p w14:paraId="54A0DE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5.劳动力安排计划（3分） </w:t>
            </w:r>
          </w:p>
          <w:p w14:paraId="57B528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①各主要施工工序有详细周密的劳动力安排计划明细，有各工种劳动力安排计划，劳动力投入经济合理与项目进度计划呼应，满足施工需要得 3分。 </w:t>
            </w:r>
          </w:p>
          <w:p w14:paraId="1DA046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②各主要施工工序有较为周密的劳动力安排计划明细，有各工种劳动力安排计划，劳动力投入经济基本合理与项目进度计划较为呼应，基本满足施工需要得2分。 </w:t>
            </w:r>
          </w:p>
          <w:p w14:paraId="1C5E34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③各主要施工工序无详细的劳动力安排计划明细，无各工种劳动力安排计划，劳动力投入经济不合理与项目进度计划呼应，不能满足施工需要得 1 分。 </w:t>
            </w:r>
          </w:p>
          <w:p w14:paraId="6CCA7EF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④不提供的不得分。</w:t>
            </w:r>
          </w:p>
          <w:p w14:paraId="3700E0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6.确保工程质量的技术组织措施（5 分）</w:t>
            </w:r>
            <w:r>
              <w:rPr>
                <w:rFonts w:hint="eastAsia" w:ascii="宋体" w:hAnsi="宋体" w:eastAsia="宋体" w:cs="宋体"/>
                <w:color w:val="000000"/>
                <w:kern w:val="0"/>
                <w:sz w:val="21"/>
                <w:szCs w:val="21"/>
                <w:lang w:val="en-US" w:eastAsia="zh-CN" w:bidi="ar"/>
              </w:rPr>
              <w:t xml:space="preserve"> </w:t>
            </w:r>
          </w:p>
          <w:p w14:paraId="2E7B25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①施工项目有专门的质量技术管理班子和制度，且人员配备合理，制度健全。主要工序有针对性强的质量技术保证措施和手段，自控体系完整，能有效保证技术质量，达到承诺的质量标准得 5 分。 </w:t>
            </w:r>
          </w:p>
          <w:p w14:paraId="03FEC3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②施工项目有质量技术管理班子和制度，且人员配备较合理，制度较健全。主要工序有质量技术保证措施和手段，自控体系较完整，能有效保证技术质量，基本达到承诺的质量标准得 3 分。 </w:t>
            </w:r>
          </w:p>
          <w:p w14:paraId="3FD97F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③施工项目质量技术管理班子和制度不健全，且人员配备不合理。主要工序无质量技术保证措施和手段，自控体系不完整，不能有效保证技术质量得 1 分。 </w:t>
            </w:r>
          </w:p>
          <w:p w14:paraId="73B291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④不提供的不得分。 </w:t>
            </w:r>
          </w:p>
          <w:p w14:paraId="675CD8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7.确保安全生产的技术组织措施（5 分）</w:t>
            </w:r>
            <w:r>
              <w:rPr>
                <w:rFonts w:hint="eastAsia" w:ascii="宋体" w:hAnsi="宋体" w:eastAsia="宋体" w:cs="宋体"/>
                <w:color w:val="000000"/>
                <w:kern w:val="0"/>
                <w:sz w:val="21"/>
                <w:szCs w:val="21"/>
                <w:lang w:val="en-US" w:eastAsia="zh-CN" w:bidi="ar"/>
              </w:rPr>
              <w:t xml:space="preserve"> </w:t>
            </w:r>
          </w:p>
          <w:p w14:paraId="6C9F02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①有专门的安全管理人员和制度，且人员配备合理，制度健全，各道工序安全技术措施针对性强，符合实际且满足有关安全技术标准要求得 5 分。 </w:t>
            </w:r>
          </w:p>
          <w:p w14:paraId="4F1729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②有安全管理人员和制度，且人员配备较合理，制度较健全，各道工序安全技术措施具有针对性，基本符合实际且满足有关安全技术标准要求得 3 分。 </w:t>
            </w:r>
          </w:p>
          <w:p w14:paraId="01DD26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③安全管理人员和制度不到位，人员配备不合理，制度不健全， </w:t>
            </w:r>
          </w:p>
          <w:p w14:paraId="577656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各道工序安全技术措施没有针对性，不能满足有关安全技术标准要求得 1 分。 </w:t>
            </w:r>
          </w:p>
          <w:p w14:paraId="07B519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④不提供的不得分。 </w:t>
            </w:r>
          </w:p>
          <w:p w14:paraId="568115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8.确保工期进度的技术组织措施（3 分） </w:t>
            </w:r>
          </w:p>
          <w:p w14:paraId="3E5FD2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①施工进度计划。有施工网络图，各项计划图表编制完善，安排科学合理，符合本项目施工实际要求得 3 分。 </w:t>
            </w:r>
          </w:p>
          <w:p w14:paraId="746C8D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施工工艺、施工方法、劳动力安排、技术等方面有保证工期的具体措施且措施具有可操作性。有控制工期的施工进度计划。有施工网络图，各项计划图表编制较完善，安排科学合理，能基本符合本项目施工实际要求得 2分。 </w:t>
            </w:r>
          </w:p>
          <w:p w14:paraId="67BF43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③施工工艺、施工方法、劳动力安排、技术等方面没有保证工期的具体措施。没有有控制工期的施工进度计划。各项计划图表编制不完善，不能符合本项目施工实际要求得 1 分。 </w:t>
            </w:r>
          </w:p>
          <w:p w14:paraId="3C6BBF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④不提供的不得分。 </w:t>
            </w:r>
          </w:p>
          <w:p w14:paraId="1B885B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9.确保文明施工的技术组织措施（3分） </w:t>
            </w:r>
          </w:p>
          <w:p w14:paraId="47B799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①针对本工程项目特点，有非常完善的现场文明施工计划、环境保护措施，各项措施非常周全、具体、有效，得3分；</w:t>
            </w:r>
          </w:p>
          <w:p w14:paraId="1C7A98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②针对本工程项目特点，有完善的现场文明施工计划、环境保护措施，各项措施周全、具体、有效，得 2分；</w:t>
            </w:r>
          </w:p>
          <w:p w14:paraId="15D1F4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③针对本工程项目特点，有较完善的现场文明施工计划、环境保护措施，各项措施较周全、具体、 有效，得 1 分； </w:t>
            </w:r>
          </w:p>
          <w:p w14:paraId="4321A8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④不提供不得分。 </w:t>
            </w:r>
          </w:p>
          <w:p w14:paraId="544C8B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10.确保文明施工的环境保护措施（3 分） </w:t>
            </w:r>
          </w:p>
          <w:p w14:paraId="1FB9C4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①施工项目应在施工前针对施工废水处理、生活污水处理、废弃物处理制定详细的环保措施，各项措施周全、具体、有效，有具体实现施工现场环境保护目标的承诺得 3 分； </w:t>
            </w:r>
          </w:p>
          <w:p w14:paraId="7162BA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②有制定详细的环保措施，各项措施较周全、具体、有效，有具体实现施工现场环境保护目标的承诺得 2 分； </w:t>
            </w:r>
          </w:p>
          <w:p w14:paraId="7F721B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③有制定环保措施，各项措施周全有待完善的得1 分； </w:t>
            </w:r>
          </w:p>
          <w:p w14:paraId="515DBC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④差或无相关内容的得 0 分</w:t>
            </w:r>
          </w:p>
          <w:p w14:paraId="1A974A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11.工程施工的重点和难点及保证措施（5 分） </w:t>
            </w:r>
          </w:p>
          <w:p w14:paraId="138B6A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①编制完善，安排科学合理，针对施工重点和难点有具体的较强针对性的保证措施得 5 分。 </w:t>
            </w:r>
          </w:p>
          <w:p w14:paraId="27EC18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②编制较完善，安排基本科学合理，针对施工重点和难点有具体的保证措施得 3 分。 </w:t>
            </w:r>
          </w:p>
          <w:p w14:paraId="76D1AE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③编制不完善，安排不合理，针对施工重点和难点没有保证措施得 1 分。</w:t>
            </w:r>
          </w:p>
          <w:p w14:paraId="0FA9E0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④不提供的不得分。 </w:t>
            </w:r>
          </w:p>
          <w:p w14:paraId="2B6C43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12.施工总平面布置图（3 分） </w:t>
            </w:r>
          </w:p>
          <w:p w14:paraId="743A3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①施工总平面布置图完善、合理、详细，较好满足项目要求，得 3分； </w:t>
            </w:r>
          </w:p>
          <w:p w14:paraId="1E1D56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②施工总平面布置图完整、具体，能够满足项目要求，得 2分； </w:t>
            </w:r>
          </w:p>
          <w:p w14:paraId="68BFA8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③施工总平面布置图基本完整，勉强满足项目要求，得 1 分； </w:t>
            </w:r>
          </w:p>
          <w:p w14:paraId="433553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④不提供的不得分。 </w:t>
            </w:r>
          </w:p>
          <w:p w14:paraId="3ECFCA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13.总体筹划（5 分） </w:t>
            </w:r>
          </w:p>
          <w:p w14:paraId="31C2D6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①结合本工程特点，对本项目特点和难点理解非常准确，方案优于本项目采购需求，非常完整详细，可行性、实用性、针对性非常强的，得 5 分； </w:t>
            </w:r>
          </w:p>
          <w:p w14:paraId="75471E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②对本项目特点和难点理解基本准确，方案适合本项目采购需求，完整详细，具有可行性、实用性和针对性的，得 3 分； </w:t>
            </w:r>
          </w:p>
          <w:p w14:paraId="608B2A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③对本项目特点和难点理解有待提升，方案基本适合本项目采购需求，可行性、实用性和针对性有待改善的，得 1 分； </w:t>
            </w:r>
          </w:p>
          <w:p w14:paraId="65E809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④不提供不得分。 </w:t>
            </w:r>
          </w:p>
          <w:p w14:paraId="667DDE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14.项目管理班子的人员岗位职责、分工（3分） </w:t>
            </w:r>
          </w:p>
          <w:p w14:paraId="5997DA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①根据项目实际情况，供应商所投入的项目管理班子岗位职责、分工及编排情况合理、完善性，综合性非常高的，得 3 分； </w:t>
            </w:r>
          </w:p>
          <w:p w14:paraId="723F4D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②根据项目实际情况，供应商所投入的项目管理班子岗位职责、分工及编排情况合理，综合性高的；得 2分。 </w:t>
            </w:r>
          </w:p>
          <w:p w14:paraId="148451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③根据项目实际情况，供应商所投入的项目管理班子岗位职责、分工及编排情况一般，综合性一般的，得 1 分；</w:t>
            </w:r>
          </w:p>
          <w:p w14:paraId="6304BD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④不提供不得分。</w:t>
            </w:r>
          </w:p>
          <w:p w14:paraId="61520A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auto"/>
                <w:kern w:val="0"/>
                <w:sz w:val="21"/>
                <w:szCs w:val="21"/>
                <w:lang w:val="en-US" w:eastAsia="zh-CN" w:bidi="ar"/>
              </w:rPr>
              <w:t>15.应急预案（3分）</w:t>
            </w:r>
            <w:r>
              <w:rPr>
                <w:rFonts w:hint="eastAsia" w:ascii="宋体" w:hAnsi="宋体" w:eastAsia="宋体" w:cs="宋体"/>
                <w:color w:val="000000"/>
                <w:kern w:val="0"/>
                <w:sz w:val="21"/>
                <w:szCs w:val="21"/>
                <w:lang w:val="en-US" w:eastAsia="zh-CN" w:bidi="ar"/>
              </w:rPr>
              <w:t xml:space="preserve"> </w:t>
            </w:r>
          </w:p>
          <w:p w14:paraId="02DD45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①针对本项目特点有非常完善的应急管理机构、应急预警机制、应急处置措施、应急组织措施的，得 3 分；</w:t>
            </w:r>
          </w:p>
          <w:p w14:paraId="50BE89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②针对本项目特点有完善的应急管理机构、应急预警机制、应急处置措施、应急组织措施的，得 2分；</w:t>
            </w:r>
          </w:p>
          <w:p w14:paraId="72A040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③针对本项目特点有比较完善的应急管理机构、应急预警机制、应急处置措施、应急组织措施的，得 1 分；</w:t>
            </w:r>
          </w:p>
          <w:p w14:paraId="4204C3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④不提供不得分</w:t>
            </w:r>
          </w:p>
          <w:p w14:paraId="41FAEB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16.实施方案整体（3 分） </w:t>
            </w:r>
          </w:p>
          <w:p w14:paraId="3BCB41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①编制非常完善，安排非常科学合理，针对专项施工重点和难点有针对性非常强的保证措施的，得3分。</w:t>
            </w:r>
          </w:p>
          <w:p w14:paraId="2DC046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②编制完善，安排科学合理，针对 专项施工重点和难点有针对性保证措施的，得2分。</w:t>
            </w:r>
          </w:p>
          <w:p w14:paraId="6E8709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③编制比较完善，安排比较科学合理，针对专项施工重点和难点有比较针对性的保证措施的，得 1 分； </w:t>
            </w:r>
          </w:p>
          <w:p w14:paraId="53F3A8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sz w:val="21"/>
                <w:szCs w:val="21"/>
                <w:lang w:val="en-US" w:eastAsia="zh-CN"/>
              </w:rPr>
            </w:pPr>
            <w:r>
              <w:rPr>
                <w:rFonts w:hint="eastAsia" w:ascii="宋体" w:hAnsi="宋体" w:eastAsia="宋体" w:cs="宋体"/>
                <w:color w:val="000000"/>
                <w:kern w:val="0"/>
                <w:sz w:val="21"/>
                <w:szCs w:val="21"/>
                <w:lang w:val="en-US" w:eastAsia="zh-CN" w:bidi="ar"/>
              </w:rPr>
              <w:t>④不提供不得分。</w:t>
            </w:r>
          </w:p>
        </w:tc>
      </w:tr>
      <w:tr w14:paraId="5E18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276B6E3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48EA535">
            <w:pPr>
              <w:keepNext w:val="0"/>
              <w:keepLines w:val="0"/>
              <w:pageBreakBefore w:val="0"/>
              <w:widowControl/>
              <w:suppressLineNumbers w:val="0"/>
              <w:wordWrap/>
              <w:overflowPunct/>
              <w:topLinePunct w:val="0"/>
              <w:bidi w:val="0"/>
              <w:adjustRightInd w:val="0"/>
              <w:spacing w:line="400" w:lineRule="exact"/>
              <w:jc w:val="center"/>
              <w:textAlignment w:val="center"/>
              <w:rPr>
                <w:rFonts w:hint="default" w:eastAsia="宋体"/>
                <w:sz w:val="21"/>
                <w:szCs w:val="21"/>
                <w:lang w:val="en-US" w:eastAsia="zh-CN"/>
              </w:rPr>
            </w:pPr>
            <w:r>
              <w:rPr>
                <w:rFonts w:hint="eastAsia" w:eastAsia="宋体"/>
                <w:sz w:val="21"/>
                <w:szCs w:val="21"/>
                <w:lang w:val="en-US" w:eastAsia="zh-CN"/>
              </w:rPr>
              <w:t>评审基准价计算方法</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A1D8D">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1、评标委员会首先对商务标进行初审，发现下列情形之一的，作无效标处理，其报价不参与 B 值计算： </w:t>
            </w:r>
          </w:p>
          <w:p w14:paraId="67D144C1">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1）投标报价高于招标控制价的； </w:t>
            </w:r>
          </w:p>
          <w:p w14:paraId="43BFD8BC">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2）被评标委员会认定为“串通投标”的； </w:t>
            </w:r>
          </w:p>
          <w:p w14:paraId="013BF3FB">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3）不按评标委员会要求澄清、说明或补正的； </w:t>
            </w:r>
          </w:p>
          <w:p w14:paraId="5B9EB275">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4）投标文件中存在招标人不能接受的其他实质性条件的。 </w:t>
            </w:r>
          </w:p>
          <w:p w14:paraId="6FBCE52B">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2、评标基准价 B 值 </w:t>
            </w:r>
          </w:p>
          <w:p w14:paraId="1C5991DB">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1）A 值为招标控制价 </w:t>
            </w:r>
          </w:p>
          <w:p w14:paraId="0817BD60">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2）B 值为≥A值90%的初步评审合格各投标有效报价平均值（小于A 值90%的投标报价不参与平均值计算）。</w:t>
            </w:r>
          </w:p>
          <w:p w14:paraId="4B1AD667">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3、评标基准价 B 值计算方法： </w:t>
            </w:r>
          </w:p>
          <w:p w14:paraId="18740EBB">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1）有效投标报价的投标人家数 M≤5 时，取所有有效投标报价的平均值为 B 值； </w:t>
            </w:r>
          </w:p>
          <w:p w14:paraId="3BEEFD32">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2）有效投标报价的投标人家数 5＜M≤10 时，去掉一个最高报价，去掉一个最低报价，取其余有效报价平均值为 B 值； </w:t>
            </w:r>
          </w:p>
          <w:p w14:paraId="6F022181">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）有效投标报价的投标人家数 M＞</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0 时，按有效投标报价由高到低顺序去掉报价高的 M×10%家（四舍五入取整数）和按由低到高顺序去掉报价低的 M×15%家（四舍五入取整数）后，剩余有效报价的算术平均值为B值。 </w:t>
            </w:r>
          </w:p>
          <w:p w14:paraId="15AED58F">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评标基准价 B 值经评标委员会确定后，除 B 值计算错误外，不因异议投诉等事项而改变。</w:t>
            </w:r>
          </w:p>
        </w:tc>
      </w:tr>
      <w:tr w14:paraId="7CD1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42" w:type="dxa"/>
            <w:vMerge w:val="restart"/>
            <w:tcBorders>
              <w:top w:val="single" w:color="000000" w:sz="4" w:space="0"/>
              <w:left w:val="single" w:color="000000" w:sz="4" w:space="0"/>
              <w:right w:val="single" w:color="000000" w:sz="4" w:space="0"/>
            </w:tcBorders>
            <w:noWrap w:val="0"/>
            <w:vAlign w:val="center"/>
          </w:tcPr>
          <w:p w14:paraId="120A02C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245" w:type="dxa"/>
            <w:vMerge w:val="restart"/>
            <w:tcBorders>
              <w:top w:val="single" w:color="000000" w:sz="4" w:space="0"/>
              <w:left w:val="single" w:color="000000" w:sz="4" w:space="0"/>
              <w:right w:val="single" w:color="000000" w:sz="4" w:space="0"/>
            </w:tcBorders>
            <w:noWrap w:val="0"/>
            <w:vAlign w:val="center"/>
          </w:tcPr>
          <w:p w14:paraId="24B5737B">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投标报价偏差率计算方法</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64E23">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偏差率=100%×｜投标人报价-评标基准价｜/评标基准价</w:t>
            </w:r>
          </w:p>
        </w:tc>
      </w:tr>
      <w:tr w14:paraId="3915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42" w:type="dxa"/>
            <w:vMerge w:val="continue"/>
            <w:tcBorders>
              <w:left w:val="single" w:color="000000" w:sz="4" w:space="0"/>
              <w:bottom w:val="single" w:color="000000" w:sz="4" w:space="0"/>
              <w:right w:val="single" w:color="000000" w:sz="4" w:space="0"/>
            </w:tcBorders>
            <w:noWrap w:val="0"/>
            <w:vAlign w:val="center"/>
          </w:tcPr>
          <w:p w14:paraId="749F7B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45" w:type="dxa"/>
            <w:vMerge w:val="continue"/>
            <w:tcBorders>
              <w:left w:val="single" w:color="000000" w:sz="4" w:space="0"/>
              <w:bottom w:val="single" w:color="000000" w:sz="4" w:space="0"/>
              <w:right w:val="single" w:color="000000" w:sz="4" w:space="0"/>
            </w:tcBorders>
            <w:noWrap w:val="0"/>
            <w:vAlign w:val="center"/>
          </w:tcPr>
          <w:p w14:paraId="161F8D81">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default" w:ascii="宋体" w:hAnsi="宋体" w:eastAsia="宋体" w:cs="宋体"/>
                <w:color w:val="000000"/>
                <w:kern w:val="0"/>
                <w:sz w:val="21"/>
                <w:szCs w:val="21"/>
                <w:lang w:val="en-US" w:eastAsia="zh-CN" w:bidi="ar"/>
              </w:rPr>
            </w:pP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7477F">
            <w:pPr>
              <w:keepNext w:val="0"/>
              <w:keepLines w:val="0"/>
              <w:pageBreakBefore w:val="0"/>
              <w:widowControl/>
              <w:kinsoku/>
              <w:wordWrap/>
              <w:overflowPunct/>
              <w:topLinePunct w:val="0"/>
              <w:autoSpaceDE/>
              <w:autoSpaceDN/>
              <w:bidi w:val="0"/>
              <w:adjustRightInd w:val="0"/>
              <w:snapToGrid/>
              <w:spacing w:line="400" w:lineRule="exact"/>
              <w:jc w:val="left"/>
              <w:textAlignment w:val="baseline"/>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投标单位投标报价每高于基准价 1%扣 0.2 分，每低于基准价 1% 扣 0.1 分。</w:t>
            </w:r>
          </w:p>
        </w:tc>
      </w:tr>
    </w:tbl>
    <w:p w14:paraId="12B029EB">
      <w:pPr>
        <w:rPr>
          <w:rFonts w:hint="eastAsia"/>
          <w:color w:val="auto"/>
          <w:highlight w:val="none"/>
        </w:rPr>
        <w:sectPr>
          <w:footerReference r:id="rId6" w:type="default"/>
          <w:pgSz w:w="11910" w:h="16840"/>
          <w:pgMar w:top="1500" w:right="1380" w:bottom="1780" w:left="1580" w:header="0" w:footer="1595" w:gutter="0"/>
          <w:pgNumType w:fmt="decimal"/>
          <w:cols w:space="720" w:num="1"/>
        </w:sectPr>
      </w:pPr>
    </w:p>
    <w:p w14:paraId="6BB50194">
      <w:pPr>
        <w:jc w:val="center"/>
        <w:rPr>
          <w:rFonts w:hint="eastAsia" w:ascii="宋体" w:hAnsi="宋体" w:eastAsia="宋体" w:cs="宋体"/>
          <w:b/>
          <w:bCs/>
          <w:sz w:val="32"/>
          <w:szCs w:val="32"/>
          <w:lang w:val="en-US" w:eastAsia="zh-CN"/>
        </w:rPr>
      </w:pPr>
      <w:bookmarkStart w:id="55" w:name="_Toc2127"/>
      <w:bookmarkStart w:id="56" w:name="_Toc13875"/>
      <w:r>
        <w:rPr>
          <w:rFonts w:hint="eastAsia" w:ascii="宋体" w:hAnsi="宋体" w:eastAsia="宋体" w:cs="宋体"/>
          <w:b/>
          <w:bCs/>
          <w:sz w:val="32"/>
          <w:szCs w:val="32"/>
          <w:lang w:val="en-US" w:eastAsia="zh-CN"/>
        </w:rPr>
        <w:t>二、评审办法正文部分</w:t>
      </w:r>
    </w:p>
    <w:p w14:paraId="412BC617">
      <w:pPr>
        <w:numPr>
          <w:ilvl w:val="0"/>
          <w:numId w:val="0"/>
        </w:numPr>
        <w:ind w:leftChars="0"/>
        <w:jc w:val="both"/>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 评审方法(综合评分法）</w:t>
      </w:r>
      <w:bookmarkEnd w:id="55"/>
      <w:bookmarkEnd w:id="56"/>
    </w:p>
    <w:p w14:paraId="654D439D">
      <w:pPr>
        <w:pStyle w:val="20"/>
        <w:rPr>
          <w:rFonts w:hint="eastAsia" w:ascii="宋体" w:hAnsi="宋体" w:eastAsia="宋体" w:cs="宋体"/>
          <w:sz w:val="24"/>
          <w:szCs w:val="24"/>
          <w:highlight w:val="none"/>
        </w:rPr>
      </w:pPr>
      <w:r>
        <w:rPr>
          <w:rFonts w:hint="eastAsia" w:ascii="宋体" w:hAnsi="宋体" w:eastAsia="宋体" w:cs="宋体"/>
          <w:b/>
          <w:bCs/>
          <w:sz w:val="24"/>
          <w:szCs w:val="24"/>
          <w:highlight w:val="none"/>
        </w:rPr>
        <w:t>本次评审采用</w:t>
      </w:r>
      <w:r>
        <w:rPr>
          <w:rFonts w:hint="eastAsia" w:ascii="宋体" w:hAnsi="宋体" w:eastAsia="宋体" w:cs="宋体"/>
          <w:b/>
          <w:bCs/>
          <w:sz w:val="24"/>
          <w:szCs w:val="24"/>
          <w:highlight w:val="none"/>
          <w:lang w:val="en-US" w:eastAsia="zh-CN"/>
        </w:rPr>
        <w:t>综合评分</w:t>
      </w:r>
      <w:r>
        <w:rPr>
          <w:rFonts w:hint="eastAsia" w:ascii="宋体" w:hAnsi="宋体" w:eastAsia="宋体" w:cs="宋体"/>
          <w:b/>
          <w:bCs/>
          <w:sz w:val="24"/>
          <w:szCs w:val="24"/>
          <w:highlight w:val="none"/>
        </w:rPr>
        <w:t>法</w:t>
      </w:r>
      <w:r>
        <w:rPr>
          <w:rFonts w:hint="eastAsia" w:ascii="宋体" w:hAnsi="宋体" w:eastAsia="宋体" w:cs="宋体"/>
          <w:sz w:val="24"/>
          <w:szCs w:val="24"/>
          <w:highlight w:val="none"/>
        </w:rPr>
        <w:t xml:space="preserve">。评审小组对满足采购文件实质性要求的响应文件， 按照本章第 </w:t>
      </w:r>
      <w:r>
        <w:rPr>
          <w:rFonts w:hint="eastAsia" w:ascii="宋体" w:hAnsi="宋体" w:eastAsia="宋体" w:cs="宋体"/>
          <w:sz w:val="24"/>
          <w:szCs w:val="24"/>
          <w:highlight w:val="none"/>
          <w:lang w:val="en-US" w:eastAsia="zh-CN"/>
        </w:rPr>
        <w:t>3.1款</w:t>
      </w:r>
      <w:r>
        <w:rPr>
          <w:rFonts w:hint="eastAsia" w:ascii="宋体" w:hAnsi="宋体" w:eastAsia="宋体" w:cs="宋体"/>
          <w:sz w:val="24"/>
          <w:szCs w:val="24"/>
          <w:highlight w:val="none"/>
        </w:rPr>
        <w:t>规定的</w:t>
      </w:r>
      <w:r>
        <w:rPr>
          <w:rFonts w:hint="eastAsia" w:ascii="宋体" w:hAnsi="宋体" w:eastAsia="宋体" w:cs="宋体"/>
          <w:sz w:val="24"/>
          <w:szCs w:val="24"/>
          <w:highlight w:val="none"/>
          <w:lang w:val="en-US" w:eastAsia="zh-CN"/>
        </w:rPr>
        <w:t>评分标准进行打分</w:t>
      </w:r>
      <w:r>
        <w:rPr>
          <w:rFonts w:hint="eastAsia" w:ascii="宋体" w:hAnsi="宋体" w:eastAsia="宋体" w:cs="宋体"/>
          <w:sz w:val="24"/>
          <w:szCs w:val="24"/>
          <w:highlight w:val="none"/>
        </w:rPr>
        <w:t>，并按照评审</w:t>
      </w:r>
      <w:r>
        <w:rPr>
          <w:rFonts w:hint="eastAsia" w:ascii="宋体" w:hAnsi="宋体" w:eastAsia="宋体" w:cs="宋体"/>
          <w:sz w:val="24"/>
          <w:szCs w:val="24"/>
          <w:highlight w:val="none"/>
          <w:lang w:val="en-US" w:eastAsia="zh-CN"/>
        </w:rPr>
        <w:t>得分</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高</w:t>
      </w:r>
      <w:r>
        <w:rPr>
          <w:rFonts w:hint="eastAsia" w:ascii="宋体" w:hAnsi="宋体" w:eastAsia="宋体" w:cs="宋体"/>
          <w:sz w:val="24"/>
          <w:szCs w:val="24"/>
          <w:highlight w:val="none"/>
        </w:rPr>
        <w:t>到</w:t>
      </w:r>
      <w:r>
        <w:rPr>
          <w:rFonts w:hint="eastAsia" w:ascii="宋体" w:hAnsi="宋体" w:eastAsia="宋体" w:cs="宋体"/>
          <w:sz w:val="24"/>
          <w:szCs w:val="24"/>
          <w:highlight w:val="none"/>
          <w:lang w:val="en-US" w:eastAsia="zh-CN"/>
        </w:rPr>
        <w:t>低</w:t>
      </w:r>
      <w:r>
        <w:rPr>
          <w:rFonts w:hint="eastAsia" w:ascii="宋体" w:hAnsi="宋体" w:eastAsia="宋体" w:cs="宋体"/>
          <w:sz w:val="24"/>
          <w:szCs w:val="24"/>
          <w:highlight w:val="none"/>
        </w:rPr>
        <w:t>的顺序推荐候选成交供应商。</w:t>
      </w:r>
    </w:p>
    <w:p w14:paraId="09E3099C">
      <w:pPr>
        <w:pStyle w:val="20"/>
        <w:ind w:left="0" w:leftChars="0" w:firstLine="0" w:firstLineChars="0"/>
        <w:rPr>
          <w:rFonts w:hint="eastAsia" w:ascii="宋体" w:hAnsi="宋体" w:eastAsia="宋体" w:cs="宋体"/>
          <w:b/>
          <w:bCs/>
          <w:color w:val="auto"/>
          <w:kern w:val="2"/>
          <w:sz w:val="24"/>
          <w:szCs w:val="24"/>
          <w:highlight w:val="none"/>
          <w:lang w:val="en-US" w:eastAsia="zh-CN" w:bidi="ar-SA"/>
        </w:rPr>
      </w:pPr>
      <w:bookmarkStart w:id="57" w:name="_Toc7839"/>
      <w:bookmarkStart w:id="58" w:name="_Toc8356"/>
      <w:r>
        <w:rPr>
          <w:rFonts w:hint="eastAsia" w:ascii="宋体" w:hAnsi="宋体" w:eastAsia="宋体" w:cs="宋体"/>
          <w:b/>
          <w:bCs/>
          <w:color w:val="auto"/>
          <w:kern w:val="2"/>
          <w:sz w:val="24"/>
          <w:szCs w:val="24"/>
          <w:highlight w:val="none"/>
          <w:lang w:val="en-US" w:eastAsia="zh-CN" w:bidi="ar-SA"/>
        </w:rPr>
        <w:t>2 初步评审标准和程序</w:t>
      </w:r>
      <w:bookmarkEnd w:id="57"/>
      <w:bookmarkEnd w:id="58"/>
    </w:p>
    <w:p w14:paraId="1DCA06AC">
      <w:pPr>
        <w:pStyle w:val="2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 初步评审标准</w:t>
      </w:r>
    </w:p>
    <w:p w14:paraId="4A544C80">
      <w:pPr>
        <w:pStyle w:val="20"/>
        <w:rPr>
          <w:rFonts w:hint="eastAsia" w:ascii="宋体" w:hAnsi="宋体" w:eastAsia="宋体" w:cs="宋体"/>
          <w:b w:val="0"/>
          <w:bCs w:val="0"/>
          <w:highlight w:val="none"/>
        </w:rPr>
      </w:pPr>
      <w:r>
        <w:rPr>
          <w:rFonts w:hint="eastAsia" w:ascii="宋体" w:hAnsi="宋体" w:eastAsia="宋体" w:cs="宋体"/>
          <w:b w:val="0"/>
          <w:bCs w:val="0"/>
          <w:highlight w:val="none"/>
        </w:rPr>
        <w:t>2.1.1 形式评审标准：见评审办法前附表。</w:t>
      </w:r>
    </w:p>
    <w:p w14:paraId="0875C004">
      <w:pPr>
        <w:pStyle w:val="20"/>
        <w:rPr>
          <w:rFonts w:hint="eastAsia" w:ascii="宋体" w:hAnsi="宋体" w:eastAsia="宋体" w:cs="宋体"/>
          <w:b w:val="0"/>
          <w:bCs w:val="0"/>
          <w:highlight w:val="none"/>
        </w:rPr>
      </w:pPr>
      <w:r>
        <w:rPr>
          <w:rFonts w:hint="eastAsia" w:ascii="宋体" w:hAnsi="宋体" w:eastAsia="宋体" w:cs="宋体"/>
          <w:b w:val="0"/>
          <w:bCs w:val="0"/>
          <w:highlight w:val="none"/>
        </w:rPr>
        <w:t>2.1.2 资格评审标准：见评审办法前附表。</w:t>
      </w:r>
    </w:p>
    <w:p w14:paraId="44DD3E09">
      <w:pPr>
        <w:pStyle w:val="20"/>
        <w:rPr>
          <w:rFonts w:hint="eastAsia" w:ascii="宋体" w:hAnsi="宋体" w:eastAsia="宋体" w:cs="宋体"/>
          <w:b w:val="0"/>
          <w:bCs w:val="0"/>
          <w:highlight w:val="none"/>
        </w:rPr>
      </w:pPr>
      <w:r>
        <w:rPr>
          <w:rFonts w:hint="eastAsia" w:ascii="宋体" w:hAnsi="宋体" w:eastAsia="宋体" w:cs="宋体"/>
          <w:b w:val="0"/>
          <w:bCs w:val="0"/>
          <w:highlight w:val="none"/>
        </w:rPr>
        <w:t>2.1.3 响应性评审标准：见评审办法前附表。</w:t>
      </w:r>
    </w:p>
    <w:p w14:paraId="06E3B593">
      <w:pPr>
        <w:pStyle w:val="20"/>
        <w:rPr>
          <w:rFonts w:hint="eastAsia" w:ascii="宋体" w:hAnsi="宋体" w:eastAsia="宋体" w:cs="宋体"/>
          <w:b w:val="0"/>
          <w:bCs w:val="0"/>
          <w:highlight w:val="none"/>
        </w:rPr>
      </w:pPr>
      <w:r>
        <w:rPr>
          <w:rFonts w:hint="eastAsia" w:ascii="宋体" w:hAnsi="宋体" w:eastAsia="宋体" w:cs="宋体"/>
          <w:b w:val="0"/>
          <w:bCs w:val="0"/>
          <w:highlight w:val="none"/>
        </w:rPr>
        <w:t>2.2 初步评审程序</w:t>
      </w:r>
    </w:p>
    <w:p w14:paraId="29D173B5">
      <w:pPr>
        <w:pStyle w:val="20"/>
        <w:rPr>
          <w:rFonts w:hint="eastAsia" w:ascii="宋体" w:hAnsi="宋体" w:eastAsia="宋体" w:cs="宋体"/>
          <w:highlight w:val="none"/>
        </w:rPr>
      </w:pPr>
      <w:r>
        <w:rPr>
          <w:rFonts w:hint="eastAsia" w:ascii="宋体" w:hAnsi="宋体" w:eastAsia="宋体" w:cs="宋体"/>
          <w:highlight w:val="none"/>
        </w:rPr>
        <w:t>2.2.1 评审小组依据本章第 2.1 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77522ACE">
      <w:pPr>
        <w:pStyle w:val="20"/>
        <w:rPr>
          <w:rFonts w:hint="eastAsia" w:ascii="宋体" w:hAnsi="宋体" w:eastAsia="宋体" w:cs="宋体"/>
          <w:highlight w:val="none"/>
        </w:rPr>
      </w:pPr>
      <w:r>
        <w:rPr>
          <w:rFonts w:hint="eastAsia" w:ascii="宋体" w:hAnsi="宋体" w:eastAsia="宋体" w:cs="宋体"/>
          <w:highlight w:val="none"/>
        </w:rPr>
        <w:t>2.2.2  除评审办法前附表另有规定外，评审价格为供应商在响应函中填报的大写含税价格。</w:t>
      </w:r>
    </w:p>
    <w:p w14:paraId="2BBE3CB7">
      <w:pPr>
        <w:pStyle w:val="20"/>
        <w:rPr>
          <w:rFonts w:hint="eastAsia" w:ascii="宋体" w:hAnsi="宋体" w:eastAsia="宋体" w:cs="宋体"/>
          <w:highlight w:val="none"/>
        </w:rPr>
      </w:pPr>
      <w:r>
        <w:rPr>
          <w:rFonts w:hint="eastAsia" w:ascii="宋体" w:hAnsi="宋体" w:eastAsia="宋体" w:cs="宋体"/>
          <w:highlight w:val="none"/>
        </w:rPr>
        <w:t>评审价格若超过最高限价(如有），其响应文件将被视为无效。</w:t>
      </w:r>
    </w:p>
    <w:p w14:paraId="0513D1D7">
      <w:pPr>
        <w:pStyle w:val="20"/>
        <w:rPr>
          <w:rFonts w:hint="eastAsia" w:ascii="宋体" w:hAnsi="宋体" w:eastAsia="宋体" w:cs="宋体"/>
          <w:highlight w:val="none"/>
        </w:rPr>
      </w:pPr>
      <w:r>
        <w:rPr>
          <w:rFonts w:hint="eastAsia" w:ascii="宋体" w:hAnsi="宋体" w:eastAsia="宋体" w:cs="宋体"/>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12EB73A0">
      <w:pPr>
        <w:pStyle w:val="20"/>
        <w:rPr>
          <w:rFonts w:hint="eastAsia" w:ascii="宋体" w:hAnsi="宋体" w:eastAsia="宋体" w:cs="宋体"/>
          <w:highlight w:val="none"/>
        </w:rPr>
      </w:pPr>
      <w:r>
        <w:rPr>
          <w:rFonts w:hint="eastAsia" w:ascii="宋体" w:hAnsi="宋体" w:eastAsia="宋体" w:cs="宋体"/>
          <w:highlight w:val="none"/>
        </w:rPr>
        <w:t>2.2.3 响应文件中有含义不明确、同类问题表述不一致或有明显文字和计算错误的内容，评审小组可要求供应商在规定时间内进行澄清、说明和补正。供应商澄清、说明和补正的内容应由法定代表人 (单位负责人）或其 授权的代理人签字或加盖单位章。澄清、说明和补正不得超出响应文件的范围且不得改变响应文件的实质性内容，并构成响应文件的组成部分。</w:t>
      </w:r>
    </w:p>
    <w:p w14:paraId="26955DFF">
      <w:pPr>
        <w:pStyle w:val="20"/>
        <w:rPr>
          <w:rFonts w:hint="eastAsia" w:ascii="宋体" w:hAnsi="宋体" w:eastAsia="宋体" w:cs="宋体"/>
          <w:highlight w:val="none"/>
        </w:rPr>
      </w:pPr>
      <w:r>
        <w:rPr>
          <w:rFonts w:hint="eastAsia" w:ascii="宋体" w:hAnsi="宋体" w:eastAsia="宋体" w:cs="宋体"/>
          <w:highlight w:val="none"/>
        </w:rPr>
        <w:t>响应报价有算术错误及其他错误的，评审小组按以下原则要求供应商对响应报价进行修正，并要求供应商书面澄清确认。供应商拒不澄清确认的，其响应文件将被视为无效：</w:t>
      </w:r>
    </w:p>
    <w:p w14:paraId="448A298D">
      <w:pPr>
        <w:rPr>
          <w:rFonts w:hint="eastAsia" w:ascii="宋体" w:hAnsi="宋体" w:eastAsia="宋体" w:cs="宋体"/>
          <w:highlight w:val="none"/>
        </w:rPr>
      </w:pPr>
    </w:p>
    <w:p w14:paraId="28DE0FCA">
      <w:pPr>
        <w:pStyle w:val="20"/>
        <w:rPr>
          <w:rFonts w:hint="eastAsia" w:ascii="宋体" w:hAnsi="宋体" w:eastAsia="宋体" w:cs="宋体"/>
          <w:highlight w:val="none"/>
        </w:rPr>
      </w:pPr>
      <w:r>
        <w:rPr>
          <w:rFonts w:hint="eastAsia" w:ascii="宋体" w:hAnsi="宋体" w:eastAsia="宋体" w:cs="宋体"/>
          <w:highlight w:val="none"/>
        </w:rPr>
        <w:t>(1) 大写金额与小写金额不一致的，以大写金额为准；</w:t>
      </w:r>
    </w:p>
    <w:p w14:paraId="54D8BB08">
      <w:pPr>
        <w:pStyle w:val="20"/>
        <w:rPr>
          <w:rFonts w:hint="eastAsia" w:ascii="宋体" w:hAnsi="宋体" w:eastAsia="宋体" w:cs="宋体"/>
          <w:highlight w:val="none"/>
        </w:rPr>
      </w:pPr>
      <w:r>
        <w:rPr>
          <w:rFonts w:hint="eastAsia" w:ascii="宋体" w:hAnsi="宋体" w:eastAsia="宋体" w:cs="宋体"/>
          <w:highlight w:val="none"/>
        </w:rPr>
        <w:t>(2) 总价金额与单价金额不一致的，以单价金额为准，但单价金额小数点有明显错误的除外；</w:t>
      </w:r>
    </w:p>
    <w:p w14:paraId="06CE05F0">
      <w:pPr>
        <w:pStyle w:val="20"/>
        <w:rPr>
          <w:rFonts w:hint="eastAsia" w:ascii="宋体" w:hAnsi="宋体" w:eastAsia="宋体" w:cs="宋体"/>
          <w:highlight w:val="none"/>
        </w:rPr>
      </w:pPr>
      <w:r>
        <w:rPr>
          <w:rFonts w:hint="eastAsia" w:ascii="宋体" w:hAnsi="宋体" w:eastAsia="宋体" w:cs="宋体"/>
          <w:highlight w:val="none"/>
        </w:rPr>
        <w:t>(3) 报价表合计报价与分项报价的合计不一致的，以各分项报价的合价累计数为准；</w:t>
      </w:r>
    </w:p>
    <w:p w14:paraId="346AB9D2">
      <w:pPr>
        <w:pStyle w:val="20"/>
        <w:rPr>
          <w:rFonts w:hint="eastAsia" w:ascii="宋体" w:hAnsi="宋体" w:eastAsia="宋体" w:cs="宋体"/>
          <w:highlight w:val="none"/>
        </w:rPr>
      </w:pPr>
      <w:r>
        <w:rPr>
          <w:rFonts w:hint="eastAsia" w:ascii="宋体" w:hAnsi="宋体" w:eastAsia="宋体" w:cs="宋体"/>
          <w:highlight w:val="none"/>
        </w:rPr>
        <w:t>(4) 如果分项报价中存在缺漏项，且缺漏项内容不属于实质性偏差的，则视为缺 漏项内容的价格已包含在其他分项报价之中。</w:t>
      </w:r>
    </w:p>
    <w:p w14:paraId="2ECFD364">
      <w:pPr>
        <w:pStyle w:val="20"/>
        <w:rPr>
          <w:rFonts w:hint="eastAsia" w:ascii="宋体" w:hAnsi="宋体" w:eastAsia="宋体" w:cs="宋体"/>
          <w:highlight w:val="none"/>
        </w:rPr>
      </w:pPr>
      <w:r>
        <w:rPr>
          <w:rFonts w:hint="eastAsia" w:ascii="宋体" w:hAnsi="宋体" w:eastAsia="宋体" w:cs="宋体"/>
          <w:highlight w:val="none"/>
        </w:rPr>
        <w:t>响应报价的算术错误修正不改变评审依据的响应总报价。当修正后的总报价高于原响应报价时，视同供应商响应报价错误产生少漏计费用，签订合同时由供应商承担， 如评审小组认为供应商无法承受少漏计费用，可以将响应报价作为异常低价处理；当修正后的总报价低于原响应报价时，签订合同时以修正后的报价为准。</w:t>
      </w:r>
    </w:p>
    <w:p w14:paraId="0541F730">
      <w:pPr>
        <w:pStyle w:val="20"/>
        <w:rPr>
          <w:rFonts w:hint="eastAsia" w:ascii="宋体" w:hAnsi="宋体" w:eastAsia="宋体" w:cs="宋体"/>
          <w:highlight w:val="none"/>
        </w:rPr>
      </w:pPr>
      <w:r>
        <w:rPr>
          <w:rFonts w:hint="eastAsia" w:ascii="宋体" w:hAnsi="宋体" w:eastAsia="宋体" w:cs="宋体"/>
          <w:highlight w:val="none"/>
        </w:rPr>
        <w:t>2.2.4  供应商有串通、弄虚作假、行贿等违法行为的，其响应文件将被视为无效。</w:t>
      </w:r>
    </w:p>
    <w:p w14:paraId="0D9709F6">
      <w:pPr>
        <w:pStyle w:val="20"/>
        <w:rPr>
          <w:rFonts w:hint="eastAsia" w:ascii="宋体" w:hAnsi="宋体" w:eastAsia="宋体" w:cs="宋体"/>
          <w:highlight w:val="none"/>
        </w:rPr>
      </w:pPr>
      <w:r>
        <w:rPr>
          <w:rFonts w:hint="eastAsia" w:ascii="宋体" w:hAnsi="宋体" w:eastAsia="宋体" w:cs="宋体"/>
          <w:highlight w:val="none"/>
        </w:rPr>
        <w:t>2.2.5 特殊情形处理</w:t>
      </w:r>
    </w:p>
    <w:p w14:paraId="21E281CB">
      <w:pPr>
        <w:pStyle w:val="20"/>
        <w:rPr>
          <w:rFonts w:hint="eastAsia" w:ascii="宋体" w:hAnsi="宋体" w:eastAsia="宋体" w:cs="宋体"/>
          <w:highlight w:val="none"/>
        </w:rPr>
      </w:pPr>
      <w:r>
        <w:rPr>
          <w:rFonts w:hint="eastAsia" w:ascii="宋体" w:hAnsi="宋体" w:eastAsia="宋体" w:cs="宋体"/>
          <w:highlight w:val="none"/>
        </w:rPr>
        <w:t>初步评审后，如评审小组认为所有响应文件均无效，或者所有响应报价竞争性不足，高于市场预期价格，评审小组应当终止评审，或经采购人同意，直接转换选择其他采购方式，与原供应商共同完成后续采购程序。</w:t>
      </w:r>
    </w:p>
    <w:p w14:paraId="23BA0B40">
      <w:pPr>
        <w:pStyle w:val="20"/>
        <w:rPr>
          <w:rFonts w:hint="eastAsia" w:ascii="宋体" w:hAnsi="宋体" w:eastAsia="宋体" w:cs="宋体"/>
          <w:highlight w:val="none"/>
        </w:rPr>
      </w:pPr>
      <w:r>
        <w:rPr>
          <w:rFonts w:hint="eastAsia" w:ascii="宋体" w:hAnsi="宋体" w:eastAsia="宋体" w:cs="宋体"/>
          <w:highlight w:val="none"/>
        </w:rPr>
        <w:t>选择直接转换采购方式采购的，评审小组按照本章第 5 条“直接转换采购方式评审程序”重新评审。除了采购人与供应商双方提出修改补充并接受新的条件和要求外，原采购文件与原响应文件对采购人和供应商仍然具有相应约束力。</w:t>
      </w:r>
    </w:p>
    <w:p w14:paraId="7229F1D4">
      <w:pPr>
        <w:pStyle w:val="20"/>
        <w:ind w:left="0" w:leftChars="0" w:firstLine="0" w:firstLineChars="0"/>
        <w:rPr>
          <w:rFonts w:hint="eastAsia" w:ascii="宋体" w:hAnsi="宋体" w:eastAsia="宋体" w:cs="宋体"/>
          <w:b/>
          <w:bCs/>
          <w:color w:val="auto"/>
          <w:kern w:val="2"/>
          <w:sz w:val="24"/>
          <w:szCs w:val="24"/>
          <w:highlight w:val="none"/>
          <w:lang w:val="en-US" w:eastAsia="zh-CN" w:bidi="ar-SA"/>
        </w:rPr>
      </w:pPr>
      <w:bookmarkStart w:id="59" w:name="_Toc29234"/>
      <w:bookmarkStart w:id="60" w:name="_Toc31700"/>
      <w:r>
        <w:rPr>
          <w:rFonts w:hint="eastAsia" w:ascii="宋体" w:hAnsi="宋体" w:eastAsia="宋体" w:cs="宋体"/>
          <w:b/>
          <w:bCs/>
          <w:color w:val="auto"/>
          <w:kern w:val="2"/>
          <w:sz w:val="24"/>
          <w:szCs w:val="24"/>
          <w:highlight w:val="none"/>
          <w:lang w:val="en-US" w:eastAsia="zh-CN" w:bidi="ar-SA"/>
        </w:rPr>
        <w:t>3 详细评审标准和程序(综合评分法）</w:t>
      </w:r>
      <w:bookmarkEnd w:id="59"/>
      <w:bookmarkEnd w:id="60"/>
    </w:p>
    <w:p w14:paraId="34E515FD">
      <w:pPr>
        <w:pStyle w:val="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只有通过上述初步评审的响应文件，才能进入详细评审。</w:t>
      </w:r>
    </w:p>
    <w:p w14:paraId="64F2C4EC">
      <w:pPr>
        <w:pStyle w:val="20"/>
        <w:rPr>
          <w:rFonts w:hint="eastAsia" w:ascii="宋体" w:hAnsi="宋体" w:eastAsia="宋体" w:cs="宋体"/>
          <w:highlight w:val="none"/>
          <w:lang w:val="en-US" w:eastAsia="zh-CN"/>
        </w:rPr>
      </w:pPr>
      <w:r>
        <w:rPr>
          <w:rFonts w:hint="eastAsia" w:ascii="宋体" w:hAnsi="宋体" w:eastAsia="宋体" w:cs="宋体"/>
          <w:highlight w:val="none"/>
          <w:lang w:val="en-US" w:eastAsia="zh-CN"/>
        </w:rPr>
        <w:t>3.1分值构成</w:t>
      </w:r>
    </w:p>
    <w:p w14:paraId="149BFD8C">
      <w:pPr>
        <w:pStyle w:val="2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（1）施工组织设计：见评审办法前附表；</w:t>
      </w:r>
    </w:p>
    <w:p w14:paraId="6FFE7ABF">
      <w:pPr>
        <w:pStyle w:val="20"/>
        <w:rPr>
          <w:rFonts w:hint="eastAsia" w:ascii="宋体" w:hAnsi="宋体" w:eastAsia="宋体" w:cs="宋体"/>
          <w:highlight w:val="none"/>
          <w:lang w:val="en-US" w:eastAsia="zh-CN"/>
        </w:rPr>
      </w:pPr>
      <w:r>
        <w:rPr>
          <w:rFonts w:hint="eastAsia" w:ascii="宋体" w:hAnsi="宋体" w:eastAsia="宋体" w:cs="宋体"/>
          <w:highlight w:val="none"/>
          <w:lang w:val="en-US" w:eastAsia="zh-CN"/>
        </w:rPr>
        <w:t>（2）投标报价得分：见评审办法前附表；</w:t>
      </w:r>
    </w:p>
    <w:p w14:paraId="0B0A19B0">
      <w:pPr>
        <w:pStyle w:val="20"/>
        <w:rPr>
          <w:rFonts w:hint="eastAsia" w:ascii="宋体" w:hAnsi="宋体" w:eastAsia="宋体" w:cs="宋体"/>
          <w:highlight w:val="none"/>
          <w:lang w:val="en-US" w:eastAsia="zh-CN"/>
        </w:rPr>
      </w:pPr>
      <w:r>
        <w:rPr>
          <w:rFonts w:hint="eastAsia" w:ascii="宋体" w:hAnsi="宋体" w:eastAsia="宋体" w:cs="宋体"/>
          <w:highlight w:val="none"/>
          <w:lang w:val="en-US" w:eastAsia="zh-CN"/>
        </w:rPr>
        <w:t>3.2评审基准价计算：见评审办法前附表；</w:t>
      </w:r>
    </w:p>
    <w:p w14:paraId="711374EA">
      <w:pPr>
        <w:pStyle w:val="20"/>
        <w:rPr>
          <w:rFonts w:hint="eastAsia" w:ascii="宋体" w:hAnsi="宋体" w:eastAsia="宋体" w:cs="宋体"/>
          <w:highlight w:val="none"/>
          <w:lang w:val="en-US" w:eastAsia="zh-CN"/>
        </w:rPr>
      </w:pPr>
      <w:r>
        <w:rPr>
          <w:rFonts w:hint="eastAsia" w:ascii="宋体" w:hAnsi="宋体" w:eastAsia="宋体" w:cs="宋体"/>
          <w:highlight w:val="none"/>
          <w:lang w:val="en-US" w:eastAsia="zh-CN"/>
        </w:rPr>
        <w:t>3.3评分标准</w:t>
      </w:r>
    </w:p>
    <w:p w14:paraId="695F8700">
      <w:pPr>
        <w:pStyle w:val="2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（1）施工组织设计评分标准：见评审办法前附表；</w:t>
      </w:r>
    </w:p>
    <w:p w14:paraId="65AF8FBA">
      <w:pPr>
        <w:pStyle w:val="20"/>
        <w:rPr>
          <w:rFonts w:hint="default" w:ascii="宋体" w:hAnsi="宋体" w:eastAsia="宋体" w:cs="宋体"/>
          <w:highlight w:val="none"/>
          <w:lang w:val="en-US" w:eastAsia="zh-CN"/>
        </w:rPr>
      </w:pPr>
      <w:r>
        <w:rPr>
          <w:rFonts w:hint="eastAsia" w:ascii="宋体" w:hAnsi="宋体" w:eastAsia="宋体" w:cs="宋体"/>
          <w:highlight w:val="none"/>
          <w:lang w:val="en-US" w:eastAsia="zh-CN"/>
        </w:rPr>
        <w:t>（2）投标报价得分：见评审办法前附表；</w:t>
      </w:r>
    </w:p>
    <w:p w14:paraId="6AFC68EE">
      <w:pPr>
        <w:pStyle w:val="20"/>
        <w:rPr>
          <w:rFonts w:hint="eastAsia" w:ascii="宋体" w:hAnsi="宋体" w:eastAsia="宋体" w:cs="宋体"/>
          <w:highlight w:val="none"/>
          <w:lang w:val="en-US" w:eastAsia="zh-CN"/>
        </w:rPr>
      </w:pPr>
      <w:r>
        <w:rPr>
          <w:rFonts w:hint="eastAsia" w:ascii="宋体" w:hAnsi="宋体" w:eastAsia="宋体" w:cs="宋体"/>
          <w:highlight w:val="none"/>
          <w:lang w:val="en-US" w:eastAsia="zh-CN"/>
        </w:rPr>
        <w:t>3.4评分</w:t>
      </w:r>
    </w:p>
    <w:p w14:paraId="2865E0A4">
      <w:pPr>
        <w:pStyle w:val="2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小组成员按照评分标准独立对供应商的商务、技术和其他因素进行评分。报价评分由评审小组统一计算。各项得分汇总后为该成员给供应商的评分总分。评分分值计算保留小数点后两位，小数点后第三位“四舍五入”。</w:t>
      </w:r>
    </w:p>
    <w:p w14:paraId="69DE6647">
      <w:pPr>
        <w:pStyle w:val="20"/>
        <w:rPr>
          <w:rFonts w:hint="eastAsia" w:ascii="宋体" w:hAnsi="宋体" w:eastAsia="宋体" w:cs="宋体"/>
          <w:highlight w:val="none"/>
          <w:lang w:val="en-US" w:eastAsia="zh-CN"/>
        </w:rPr>
      </w:pPr>
      <w:r>
        <w:rPr>
          <w:rFonts w:hint="eastAsia" w:ascii="宋体" w:hAnsi="宋体" w:eastAsia="宋体" w:cs="宋体"/>
          <w:highlight w:val="none"/>
          <w:lang w:val="en-US" w:eastAsia="zh-CN"/>
        </w:rPr>
        <w:t>3.5汇总</w:t>
      </w:r>
    </w:p>
    <w:p w14:paraId="5F55D517">
      <w:pPr>
        <w:pStyle w:val="20"/>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评审小组汇总每个成员对供应商的评分总分，每个供应商的评分总分的算术平均值为供应商最终得分。</w:t>
      </w:r>
    </w:p>
    <w:p w14:paraId="607D0070">
      <w:pPr>
        <w:pStyle w:val="20"/>
        <w:rPr>
          <w:rFonts w:hint="eastAsia" w:ascii="宋体" w:hAnsi="宋体" w:eastAsia="宋体" w:cs="宋体"/>
          <w:highlight w:val="none"/>
          <w:lang w:val="en-US" w:eastAsia="zh-CN"/>
        </w:rPr>
      </w:pPr>
      <w:r>
        <w:rPr>
          <w:rFonts w:hint="eastAsia" w:ascii="宋体" w:hAnsi="宋体" w:eastAsia="宋体" w:cs="宋体"/>
          <w:highlight w:val="none"/>
          <w:lang w:val="en-US" w:eastAsia="zh-CN"/>
        </w:rPr>
        <w:t>3.6 排序</w:t>
      </w:r>
    </w:p>
    <w:p w14:paraId="40F99178">
      <w:pPr>
        <w:pStyle w:val="20"/>
        <w:rPr>
          <w:rFonts w:hint="default" w:ascii="宋体" w:hAnsi="宋体" w:eastAsia="宋体" w:cs="宋体"/>
          <w:highlight w:val="none"/>
          <w:lang w:val="en-US" w:eastAsia="zh-CN"/>
        </w:rPr>
      </w:pPr>
      <w:r>
        <w:rPr>
          <w:rFonts w:hint="eastAsia" w:ascii="宋体" w:hAnsi="宋体" w:eastAsia="宋体" w:cs="宋体"/>
          <w:highlight w:val="none"/>
          <w:lang w:val="en-US" w:eastAsia="zh-CN"/>
        </w:rPr>
        <w:t>评审小组对供应商最终得分进行比较后，可以按照供应商最终得分由高到低的顺序对供应该商排序。最终得分相等时，以评审价格低的优先；评审价格也相等的，以技术得分高的优先；如果技术得分也相等，由采购人或授权的评审小组自行确定。</w:t>
      </w:r>
    </w:p>
    <w:p w14:paraId="278A5BD8">
      <w:pPr>
        <w:pStyle w:val="20"/>
        <w:ind w:left="0" w:leftChars="0" w:firstLine="0" w:firstLineChars="0"/>
        <w:rPr>
          <w:rFonts w:hint="eastAsia" w:ascii="宋体" w:hAnsi="宋体" w:eastAsia="宋体" w:cs="宋体"/>
          <w:b/>
          <w:bCs/>
          <w:color w:val="auto"/>
          <w:kern w:val="2"/>
          <w:sz w:val="24"/>
          <w:szCs w:val="24"/>
          <w:highlight w:val="none"/>
          <w:lang w:val="en-US" w:eastAsia="zh-CN" w:bidi="ar-SA"/>
        </w:rPr>
      </w:pPr>
      <w:bookmarkStart w:id="61" w:name="_Toc29876"/>
      <w:bookmarkStart w:id="62" w:name="_Toc4662"/>
      <w:r>
        <w:rPr>
          <w:rFonts w:hint="eastAsia" w:ascii="宋体" w:hAnsi="宋体" w:eastAsia="宋体" w:cs="宋体"/>
          <w:b/>
          <w:bCs/>
          <w:color w:val="auto"/>
          <w:kern w:val="2"/>
          <w:sz w:val="24"/>
          <w:szCs w:val="24"/>
          <w:highlight w:val="none"/>
          <w:lang w:val="en-US" w:eastAsia="zh-CN" w:bidi="ar-SA"/>
        </w:rPr>
        <w:t>4 评审结果</w:t>
      </w:r>
      <w:bookmarkEnd w:id="61"/>
      <w:bookmarkEnd w:id="62"/>
      <w:r>
        <w:rPr>
          <w:rFonts w:hint="eastAsia" w:ascii="宋体" w:hAnsi="宋体" w:eastAsia="宋体" w:cs="宋体"/>
          <w:b/>
          <w:bCs/>
          <w:color w:val="auto"/>
          <w:kern w:val="2"/>
          <w:sz w:val="24"/>
          <w:szCs w:val="24"/>
          <w:highlight w:val="none"/>
          <w:lang w:val="en-US" w:eastAsia="zh-CN" w:bidi="ar-SA"/>
        </w:rPr>
        <w:t>及确定供应商</w:t>
      </w:r>
    </w:p>
    <w:p w14:paraId="5A5919B4">
      <w:pPr>
        <w:pStyle w:val="20"/>
        <w:rPr>
          <w:rFonts w:hint="eastAsia" w:ascii="宋体" w:hAnsi="宋体" w:eastAsia="宋体" w:cs="宋体"/>
          <w:b w:val="0"/>
          <w:bCs w:val="0"/>
          <w:highlight w:val="none"/>
        </w:rPr>
      </w:pPr>
      <w:r>
        <w:rPr>
          <w:rFonts w:hint="eastAsia" w:ascii="宋体" w:hAnsi="宋体" w:eastAsia="宋体" w:cs="宋体"/>
          <w:b w:val="0"/>
          <w:bCs w:val="0"/>
          <w:highlight w:val="none"/>
        </w:rPr>
        <w:t>4.1 提交书面评审报告</w:t>
      </w:r>
    </w:p>
    <w:p w14:paraId="52813158">
      <w:pPr>
        <w:pStyle w:val="20"/>
        <w:rPr>
          <w:rFonts w:hint="eastAsia" w:ascii="宋体" w:hAnsi="宋体" w:eastAsia="宋体" w:cs="宋体"/>
          <w:b w:val="0"/>
          <w:bCs w:val="0"/>
          <w:highlight w:val="none"/>
        </w:rPr>
      </w:pPr>
      <w:r>
        <w:rPr>
          <w:rFonts w:hint="eastAsia" w:ascii="宋体" w:hAnsi="宋体" w:eastAsia="宋体" w:cs="宋体"/>
          <w:b w:val="0"/>
          <w:bCs w:val="0"/>
          <w:highlight w:val="none"/>
        </w:rPr>
        <w:t>评审小组完成评审后，应当向采购人提交书面评审报告。</w:t>
      </w:r>
    </w:p>
    <w:p w14:paraId="15281F70">
      <w:pPr>
        <w:pStyle w:val="20"/>
        <w:rPr>
          <w:rFonts w:hint="eastAsia" w:ascii="宋体" w:hAnsi="宋体" w:eastAsia="宋体" w:cs="宋体"/>
          <w:b w:val="0"/>
          <w:bCs w:val="0"/>
          <w:highlight w:val="none"/>
        </w:rPr>
      </w:pPr>
      <w:r>
        <w:rPr>
          <w:rFonts w:hint="eastAsia" w:ascii="宋体" w:hAnsi="宋体" w:eastAsia="宋体" w:cs="宋体"/>
          <w:b w:val="0"/>
          <w:bCs w:val="0"/>
          <w:highlight w:val="none"/>
        </w:rPr>
        <w:t>4.2 推荐候选成交供应商排序要求及数量</w:t>
      </w:r>
    </w:p>
    <w:p w14:paraId="52766D42">
      <w:pPr>
        <w:pStyle w:val="20"/>
        <w:rPr>
          <w:rFonts w:hint="eastAsia" w:ascii="宋体" w:hAnsi="宋体" w:eastAsia="宋体" w:cs="宋体"/>
          <w:highlight w:val="none"/>
        </w:rPr>
      </w:pPr>
      <w:r>
        <w:rPr>
          <w:rFonts w:hint="eastAsia" w:ascii="宋体" w:hAnsi="宋体" w:eastAsia="宋体" w:cs="宋体"/>
          <w:b w:val="0"/>
          <w:bCs w:val="0"/>
          <w:highlight w:val="none"/>
        </w:rPr>
        <w:t>评审小组应在书面评审报告中按照供应商排列</w:t>
      </w:r>
      <w:r>
        <w:rPr>
          <w:rFonts w:hint="eastAsia" w:ascii="宋体" w:hAnsi="宋体" w:eastAsia="宋体" w:cs="宋体"/>
          <w:highlight w:val="none"/>
        </w:rPr>
        <w:t>的优先顺序向采购人推荐候选成交供应商(排序或不排序）。候选成交供应商的排序要求及数量见第二章“供应商须知 ”。</w:t>
      </w:r>
    </w:p>
    <w:p w14:paraId="793890EC">
      <w:pP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br w:type="page"/>
      </w:r>
    </w:p>
    <w:p w14:paraId="49CAAAF9">
      <w:pPr>
        <w:pStyle w:val="3"/>
        <w:keepNext/>
        <w:keepLines/>
        <w:pageBreakBefore w:val="0"/>
        <w:widowControl/>
        <w:numPr>
          <w:ilvl w:val="0"/>
          <w:numId w:val="0"/>
        </w:numPr>
        <w:kinsoku w:val="0"/>
        <w:wordWrap/>
        <w:overflowPunct/>
        <w:topLinePunct w:val="0"/>
        <w:autoSpaceDE w:val="0"/>
        <w:autoSpaceDN w:val="0"/>
        <w:bidi w:val="0"/>
        <w:adjustRightInd w:val="0"/>
        <w:snapToGrid w:val="0"/>
        <w:spacing w:line="500" w:lineRule="exact"/>
        <w:jc w:val="center"/>
        <w:textAlignment w:val="baseline"/>
        <w:outlineLvl w:val="0"/>
        <w:rPr>
          <w:rFonts w:hint="eastAsia" w:ascii="华文中宋" w:hAnsi="华文中宋" w:eastAsia="华文中宋" w:cs="华文中宋"/>
          <w:color w:val="auto"/>
          <w:sz w:val="36"/>
          <w:szCs w:val="36"/>
          <w:highlight w:val="none"/>
          <w:lang w:val="en-US" w:eastAsia="zh-CN"/>
        </w:rPr>
      </w:pPr>
      <w:bookmarkStart w:id="63" w:name="_Toc7526"/>
      <w:r>
        <w:rPr>
          <w:rFonts w:hint="eastAsia" w:ascii="华文中宋" w:hAnsi="华文中宋" w:eastAsia="华文中宋" w:cs="华文中宋"/>
          <w:color w:val="auto"/>
          <w:sz w:val="36"/>
          <w:szCs w:val="36"/>
          <w:lang w:val="en-US" w:eastAsia="zh-CN"/>
        </w:rPr>
        <w:t>第四章  合同条款</w:t>
      </w:r>
      <w:bookmarkEnd w:id="53"/>
      <w:bookmarkEnd w:id="54"/>
      <w:bookmarkStart w:id="64" w:name="_Toc25214"/>
      <w:bookmarkStart w:id="65" w:name="_Toc2574"/>
      <w:bookmarkStart w:id="66" w:name="_Toc29695"/>
      <w:bookmarkStart w:id="67" w:name="_Toc11165"/>
      <w:bookmarkStart w:id="68" w:name="_Toc26238"/>
      <w:bookmarkStart w:id="69" w:name="_Toc29840"/>
      <w:r>
        <w:rPr>
          <w:rFonts w:hint="eastAsia" w:ascii="华文中宋" w:hAnsi="华文中宋" w:eastAsia="华文中宋" w:cs="华文中宋"/>
          <w:color w:val="auto"/>
          <w:sz w:val="36"/>
          <w:szCs w:val="36"/>
          <w:lang w:val="en-US" w:eastAsia="zh-CN"/>
        </w:rPr>
        <w:t>及格式（工程类供参</w:t>
      </w:r>
      <w:bookmarkEnd w:id="64"/>
      <w:r>
        <w:rPr>
          <w:rFonts w:hint="eastAsia" w:ascii="华文中宋" w:hAnsi="华文中宋" w:eastAsia="华文中宋" w:cs="华文中宋"/>
          <w:color w:val="auto"/>
          <w:sz w:val="36"/>
          <w:szCs w:val="36"/>
          <w:lang w:val="en-US" w:eastAsia="zh-CN"/>
        </w:rPr>
        <w:t>考）</w:t>
      </w:r>
      <w:bookmarkEnd w:id="63"/>
      <w:bookmarkEnd w:id="65"/>
      <w:bookmarkEnd w:id="66"/>
      <w:bookmarkEnd w:id="67"/>
      <w:bookmarkEnd w:id="68"/>
      <w:bookmarkEnd w:id="69"/>
    </w:p>
    <w:p w14:paraId="020D8D53">
      <w:pPr>
        <w:jc w:val="center"/>
        <w:rPr>
          <w:b/>
          <w:bCs/>
          <w:highlight w:val="none"/>
          <w:lang w:val="en-US"/>
        </w:rPr>
      </w:pPr>
      <w:r>
        <w:rPr>
          <w:rFonts w:hint="eastAsia" w:eastAsia="宋体"/>
          <w:b/>
          <w:bCs/>
          <w:sz w:val="24"/>
          <w:szCs w:val="24"/>
          <w:highlight w:val="none"/>
          <w:lang w:val="en-US" w:eastAsia="zh-CN"/>
        </w:rPr>
        <w:t xml:space="preserve">                                                                           </w:t>
      </w:r>
      <w:r>
        <w:rPr>
          <w:rFonts w:hint="eastAsia"/>
          <w:b/>
          <w:bCs/>
          <w:sz w:val="24"/>
          <w:szCs w:val="24"/>
          <w:highlight w:val="none"/>
          <w:lang w:val="en-US"/>
        </w:rPr>
        <w:t>项目编号：</w:t>
      </w:r>
      <w:r>
        <w:rPr>
          <w:rFonts w:hint="eastAsia"/>
          <w:b/>
          <w:bCs/>
          <w:highlight w:val="none"/>
          <w:lang w:val="en-US"/>
        </w:rPr>
        <w:t xml:space="preserve"> </w:t>
      </w:r>
    </w:p>
    <w:p w14:paraId="2CB53B54">
      <w:pPr>
        <w:numPr>
          <w:ilvl w:val="0"/>
          <w:numId w:val="2"/>
        </w:numPr>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合同条款前附表</w:t>
      </w:r>
    </w:p>
    <w:p w14:paraId="71D31B59">
      <w:pPr>
        <w:numPr>
          <w:ilvl w:val="0"/>
          <w:numId w:val="0"/>
        </w:numPr>
        <w:jc w:val="both"/>
        <w:outlineLvl w:val="9"/>
        <w:rPr>
          <w:rFonts w:hint="eastAsia" w:ascii="黑体"/>
          <w:b/>
          <w:bCs/>
          <w:sz w:val="28"/>
          <w:szCs w:val="28"/>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916"/>
      </w:tblGrid>
      <w:tr w14:paraId="6031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347FED22">
            <w:pPr>
              <w:autoSpaceDE/>
              <w:autoSpaceDN/>
              <w:spacing w:line="560" w:lineRule="exact"/>
              <w:ind w:left="-12"/>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7916" w:type="dxa"/>
            <w:tcBorders>
              <w:top w:val="single" w:color="auto" w:sz="4" w:space="0"/>
              <w:left w:val="nil"/>
              <w:bottom w:val="single" w:color="auto" w:sz="4" w:space="0"/>
              <w:right w:val="single" w:color="auto" w:sz="4" w:space="0"/>
            </w:tcBorders>
            <w:noWrap w:val="0"/>
            <w:vAlign w:val="center"/>
          </w:tcPr>
          <w:p w14:paraId="42626DDB">
            <w:pPr>
              <w:autoSpaceDE/>
              <w:autoSpaceDN/>
              <w:spacing w:line="560" w:lineRule="exact"/>
              <w:ind w:left="36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      容</w:t>
            </w:r>
          </w:p>
        </w:tc>
      </w:tr>
      <w:tr w14:paraId="6F67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44613394">
            <w:pPr>
              <w:autoSpaceDE/>
              <w:autoSpaceDN/>
              <w:spacing w:line="560" w:lineRule="exact"/>
              <w:ind w:left="-1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7916" w:type="dxa"/>
            <w:tcBorders>
              <w:top w:val="single" w:color="auto" w:sz="4" w:space="0"/>
              <w:left w:val="nil"/>
              <w:bottom w:val="single" w:color="auto" w:sz="4" w:space="0"/>
              <w:right w:val="single" w:color="auto" w:sz="4" w:space="0"/>
            </w:tcBorders>
            <w:noWrap w:val="0"/>
            <w:vAlign w:val="center"/>
          </w:tcPr>
          <w:p w14:paraId="4635BF2C">
            <w:pPr>
              <w:autoSpaceDE/>
              <w:autoSpaceDN/>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付款人：</w:t>
            </w:r>
            <w:r>
              <w:rPr>
                <w:rFonts w:hint="eastAsia" w:ascii="宋体" w:hAnsi="宋体" w:eastAsia="宋体" w:cs="宋体"/>
                <w:sz w:val="24"/>
                <w:szCs w:val="24"/>
                <w:highlight w:val="none"/>
                <w:lang w:val="en-US"/>
              </w:rPr>
              <w:t xml:space="preserve"> </w:t>
            </w:r>
            <w:r>
              <w:rPr>
                <w:rFonts w:hint="eastAsia" w:ascii="宋体" w:hAnsi="宋体" w:eastAsia="宋体" w:cs="Arial"/>
                <w:sz w:val="24"/>
                <w:szCs w:val="24"/>
                <w:lang w:val="en-US" w:eastAsia="zh-CN"/>
              </w:rPr>
              <w:t>皖北卫生职业学院</w:t>
            </w:r>
          </w:p>
        </w:tc>
      </w:tr>
      <w:tr w14:paraId="521D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7560FAF8">
            <w:pPr>
              <w:spacing w:line="560" w:lineRule="exact"/>
              <w:ind w:left="-12" w:leftChars="0"/>
              <w:jc w:val="center"/>
              <w:rPr>
                <w:rFonts w:hint="eastAsia" w:ascii="宋体" w:hAnsi="宋体" w:eastAsia="宋体" w:cs="宋体"/>
                <w:sz w:val="24"/>
                <w:szCs w:val="24"/>
                <w:highlight w:val="none"/>
              </w:rPr>
            </w:pPr>
            <w:r>
              <w:rPr>
                <w:rFonts w:hint="eastAsia" w:ascii="宋体" w:hAnsi="宋体" w:cs="Arial"/>
                <w:sz w:val="24"/>
                <w:szCs w:val="24"/>
                <w:lang w:val="en-US" w:eastAsia="zh-CN"/>
              </w:rPr>
              <w:t>2</w:t>
            </w:r>
          </w:p>
        </w:tc>
        <w:tc>
          <w:tcPr>
            <w:tcW w:w="7916" w:type="dxa"/>
            <w:tcBorders>
              <w:top w:val="single" w:color="auto" w:sz="4" w:space="0"/>
              <w:left w:val="nil"/>
              <w:bottom w:val="single" w:color="auto" w:sz="4" w:space="0"/>
              <w:right w:val="single" w:color="auto" w:sz="4" w:space="0"/>
            </w:tcBorders>
            <w:noWrap w:val="0"/>
            <w:vAlign w:val="center"/>
          </w:tcPr>
          <w:p w14:paraId="124A0096">
            <w:pPr>
              <w:spacing w:line="560" w:lineRule="exact"/>
              <w:rPr>
                <w:rFonts w:hint="eastAsia" w:ascii="宋体" w:hAnsi="宋体" w:eastAsia="宋体" w:cs="宋体"/>
                <w:color w:val="000000" w:themeColor="text1"/>
                <w:sz w:val="24"/>
                <w:szCs w:val="24"/>
                <w:highlight w:val="none"/>
                <w:lang w:val="en-US" w:bidi="ar"/>
                <w14:textFill>
                  <w14:solidFill>
                    <w14:schemeClr w14:val="tx1"/>
                  </w14:solidFill>
                </w14:textFill>
              </w:rPr>
            </w:pPr>
            <w:r>
              <w:rPr>
                <w:rFonts w:hint="eastAsia" w:ascii="宋体" w:hAnsi="宋体" w:eastAsia="宋体" w:cs="Arial"/>
                <w:color w:val="000000" w:themeColor="text1"/>
                <w:sz w:val="24"/>
                <w:szCs w:val="24"/>
                <w:lang w:val="en-US" w:eastAsia="zh-CN"/>
                <w14:textFill>
                  <w14:solidFill>
                    <w14:schemeClr w14:val="tx1"/>
                  </w14:solidFill>
                </w14:textFill>
              </w:rPr>
              <w:t>预付款：签订合同主材进场后7个工作日内支付合同价款的40%。</w:t>
            </w:r>
          </w:p>
        </w:tc>
      </w:tr>
      <w:tr w14:paraId="2244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3AF94FA3">
            <w:pPr>
              <w:spacing w:line="560" w:lineRule="exact"/>
              <w:ind w:left="-12" w:leftChars="0"/>
              <w:jc w:val="center"/>
              <w:rPr>
                <w:rFonts w:hint="eastAsia" w:ascii="宋体" w:hAnsi="宋体" w:eastAsia="宋体" w:cs="宋体"/>
                <w:sz w:val="24"/>
                <w:szCs w:val="24"/>
                <w:highlight w:val="none"/>
              </w:rPr>
            </w:pPr>
            <w:r>
              <w:rPr>
                <w:rFonts w:hint="eastAsia" w:ascii="宋体" w:hAnsi="宋体" w:cs="Arial"/>
                <w:sz w:val="24"/>
                <w:szCs w:val="24"/>
                <w:lang w:val="en-US" w:eastAsia="zh-CN"/>
              </w:rPr>
              <w:t>3</w:t>
            </w:r>
          </w:p>
        </w:tc>
        <w:tc>
          <w:tcPr>
            <w:tcW w:w="7916" w:type="dxa"/>
            <w:tcBorders>
              <w:top w:val="single" w:color="auto" w:sz="4" w:space="0"/>
              <w:left w:val="nil"/>
              <w:bottom w:val="single" w:color="auto" w:sz="4" w:space="0"/>
              <w:right w:val="single" w:color="auto" w:sz="4" w:space="0"/>
            </w:tcBorders>
            <w:noWrap w:val="0"/>
            <w:vAlign w:val="center"/>
          </w:tcPr>
          <w:p w14:paraId="4D1CB5F4">
            <w:pPr>
              <w:spacing w:line="560" w:lineRule="exact"/>
              <w:rPr>
                <w:rFonts w:hint="eastAsia" w:ascii="宋体" w:hAnsi="宋体" w:eastAsia="宋体" w:cs="Arial"/>
                <w:color w:val="000000" w:themeColor="text1"/>
                <w:sz w:val="24"/>
                <w:szCs w:val="24"/>
                <w:lang w:val="en-US" w:eastAsia="zh-CN"/>
                <w14:textFill>
                  <w14:solidFill>
                    <w14:schemeClr w14:val="tx1"/>
                  </w14:solidFill>
                </w14:textFill>
              </w:rPr>
            </w:pPr>
            <w:r>
              <w:rPr>
                <w:rFonts w:hint="eastAsia" w:ascii="宋体" w:hAnsi="宋体" w:eastAsia="宋体" w:cs="Arial"/>
                <w:color w:val="000000" w:themeColor="text1"/>
                <w:sz w:val="24"/>
                <w:szCs w:val="24"/>
                <w:lang w:val="en-US" w:eastAsia="zh-CN"/>
                <w14:textFill>
                  <w14:solidFill>
                    <w14:schemeClr w14:val="tx1"/>
                  </w14:solidFill>
                </w14:textFill>
              </w:rPr>
              <w:t xml:space="preserve">付款条件：签订合同主材进场后7个工作日内支付合同价款的40%，项目竣工验收合格后付至合同价款的 80%； 审计后付至审计后价格的 100%。 </w:t>
            </w:r>
          </w:p>
          <w:p w14:paraId="25BBB1EC">
            <w:pPr>
              <w:spacing w:line="560" w:lineRule="exact"/>
              <w:rPr>
                <w:rFonts w:hint="eastAsia" w:ascii="宋体" w:hAnsi="宋体" w:eastAsia="宋体" w:cs="Arial"/>
                <w:color w:val="000000" w:themeColor="text1"/>
                <w:sz w:val="24"/>
                <w:szCs w:val="24"/>
                <w:lang w:val="en-US" w:eastAsia="zh-CN"/>
                <w14:textFill>
                  <w14:solidFill>
                    <w14:schemeClr w14:val="tx1"/>
                  </w14:solidFill>
                </w14:textFill>
              </w:rPr>
            </w:pPr>
            <w:r>
              <w:rPr>
                <w:rFonts w:hint="eastAsia" w:ascii="宋体" w:hAnsi="宋体" w:eastAsia="宋体" w:cs="Arial"/>
                <w:color w:val="000000" w:themeColor="text1"/>
                <w:sz w:val="24"/>
                <w:szCs w:val="24"/>
                <w:lang w:val="en-US" w:eastAsia="zh-CN"/>
                <w14:textFill>
                  <w14:solidFill>
                    <w14:schemeClr w14:val="tx1"/>
                  </w14:solidFill>
                </w14:textFill>
              </w:rPr>
              <w:t xml:space="preserve">注：成交供应商在最终结算价款拨付前需缴纳审定价款的3%作为质保金。 </w:t>
            </w:r>
          </w:p>
          <w:p w14:paraId="3440D06B">
            <w:pPr>
              <w:spacing w:line="560" w:lineRule="exact"/>
              <w:rPr>
                <w:rFonts w:hint="eastAsia" w:ascii="宋体" w:hAnsi="宋体" w:eastAsia="宋体" w:cs="宋体"/>
                <w:color w:val="000000" w:themeColor="text1"/>
                <w:sz w:val="24"/>
                <w:szCs w:val="24"/>
                <w:highlight w:val="none"/>
                <w:lang w:val="en-US" w:bidi="ar"/>
                <w14:textFill>
                  <w14:solidFill>
                    <w14:schemeClr w14:val="tx1"/>
                  </w14:solidFill>
                </w14:textFill>
              </w:rPr>
            </w:pPr>
            <w:r>
              <w:rPr>
                <w:rFonts w:hint="eastAsia" w:ascii="宋体" w:hAnsi="宋体" w:eastAsia="宋体" w:cs="Arial"/>
                <w:color w:val="000000" w:themeColor="text1"/>
                <w:sz w:val="24"/>
                <w:szCs w:val="24"/>
                <w:lang w:val="en-US" w:eastAsia="zh-CN"/>
                <w14:textFill>
                  <w14:solidFill>
                    <w14:schemeClr w14:val="tx1"/>
                  </w14:solidFill>
                </w14:textFill>
              </w:rPr>
              <w:t>缴纳方式：保函（电子、纸质）保证保险、或现金、支票等</w:t>
            </w:r>
          </w:p>
        </w:tc>
      </w:tr>
      <w:tr w14:paraId="0C17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7674B3DD">
            <w:pPr>
              <w:spacing w:line="560" w:lineRule="exact"/>
              <w:ind w:left="-12" w:leftChars="0"/>
              <w:jc w:val="center"/>
              <w:rPr>
                <w:rFonts w:hint="eastAsia" w:ascii="宋体" w:hAnsi="宋体" w:eastAsia="宋体" w:cs="宋体"/>
                <w:sz w:val="24"/>
                <w:szCs w:val="24"/>
                <w:highlight w:val="none"/>
              </w:rPr>
            </w:pPr>
            <w:r>
              <w:rPr>
                <w:rFonts w:hint="eastAsia" w:ascii="宋体" w:hAnsi="宋体" w:cs="Arial"/>
                <w:sz w:val="24"/>
                <w:szCs w:val="24"/>
                <w:lang w:val="en-US" w:eastAsia="zh-CN"/>
              </w:rPr>
              <w:t>4</w:t>
            </w:r>
          </w:p>
        </w:tc>
        <w:tc>
          <w:tcPr>
            <w:tcW w:w="7916" w:type="dxa"/>
            <w:tcBorders>
              <w:top w:val="single" w:color="auto" w:sz="4" w:space="0"/>
              <w:left w:val="nil"/>
              <w:bottom w:val="single" w:color="auto" w:sz="4" w:space="0"/>
              <w:right w:val="single" w:color="auto" w:sz="4" w:space="0"/>
            </w:tcBorders>
            <w:noWrap w:val="0"/>
            <w:vAlign w:val="center"/>
          </w:tcPr>
          <w:p w14:paraId="2C29FEAC">
            <w:pPr>
              <w:spacing w:line="560" w:lineRule="exact"/>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履约保证金：签订合同前向采购人缴纳合同金额的</w:t>
            </w:r>
            <w:r>
              <w:rPr>
                <w:rFonts w:hint="default" w:ascii="宋体" w:hAnsi="宋体" w:eastAsia="宋体" w:cs="Arial"/>
                <w:sz w:val="24"/>
                <w:szCs w:val="24"/>
                <w:lang w:val="en-US" w:eastAsia="zh-CN"/>
              </w:rPr>
              <w:t>2%</w:t>
            </w:r>
            <w:r>
              <w:rPr>
                <w:rFonts w:hint="eastAsia" w:ascii="宋体" w:hAnsi="宋体" w:eastAsia="宋体" w:cs="Arial"/>
                <w:sz w:val="24"/>
                <w:szCs w:val="24"/>
                <w:lang w:val="en-US" w:eastAsia="zh-CN"/>
              </w:rPr>
              <w:t>的履约保证金。</w:t>
            </w:r>
          </w:p>
          <w:p w14:paraId="696897AD">
            <w:pPr>
              <w:spacing w:line="560" w:lineRule="exact"/>
              <w:rPr>
                <w:rFonts w:hint="eastAsia" w:ascii="宋体" w:hAnsi="宋体" w:eastAsia="宋体" w:cs="宋体"/>
                <w:color w:val="000000"/>
                <w:sz w:val="24"/>
                <w:szCs w:val="24"/>
                <w:highlight w:val="none"/>
                <w:lang w:val="en-US" w:bidi="ar"/>
              </w:rPr>
            </w:pPr>
            <w:r>
              <w:rPr>
                <w:rFonts w:hint="eastAsia" w:ascii="宋体" w:hAnsi="宋体" w:eastAsia="宋体" w:cs="Arial"/>
                <w:sz w:val="24"/>
                <w:szCs w:val="24"/>
                <w:lang w:val="en-US" w:eastAsia="zh-CN"/>
              </w:rPr>
              <w:t>支持转账、电汇、保函、保险等。</w:t>
            </w:r>
          </w:p>
        </w:tc>
      </w:tr>
    </w:tbl>
    <w:p w14:paraId="7D00624D">
      <w:pPr>
        <w:pStyle w:val="5"/>
        <w:ind w:left="0" w:leftChars="0" w:firstLine="0" w:firstLineChars="0"/>
        <w:rPr>
          <w:highlight w:val="none"/>
        </w:rPr>
      </w:pPr>
    </w:p>
    <w:p w14:paraId="7AF76E7F">
      <w:pPr>
        <w:pStyle w:val="5"/>
        <w:rPr>
          <w:highlight w:val="none"/>
        </w:rPr>
        <w:sectPr>
          <w:pgSz w:w="11910" w:h="16850"/>
          <w:pgMar w:top="1560" w:right="900" w:bottom="1180" w:left="1060" w:header="0" w:footer="916" w:gutter="0"/>
          <w:pgNumType w:fmt="decimal"/>
          <w:cols w:space="720" w:num="1"/>
        </w:sectPr>
      </w:pPr>
    </w:p>
    <w:p w14:paraId="728A4D4D">
      <w:pPr>
        <w:numPr>
          <w:ilvl w:val="0"/>
          <w:numId w:val="2"/>
        </w:numPr>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合同条款</w:t>
      </w:r>
    </w:p>
    <w:p w14:paraId="0B210516">
      <w:pPr>
        <w:pStyle w:val="13"/>
        <w:snapToGrid w:val="0"/>
        <w:spacing w:after="156" w:line="360" w:lineRule="auto"/>
        <w:ind w:left="0" w:firstLine="0"/>
        <w:rPr>
          <w:rFonts w:hint="eastAsia" w:ascii="宋体" w:hAnsi="宋体" w:eastAsia="宋体" w:cs="宋体"/>
          <w:b/>
          <w:bCs/>
          <w:sz w:val="24"/>
          <w:szCs w:val="24"/>
        </w:rPr>
      </w:pPr>
      <w:r>
        <w:rPr>
          <w:rFonts w:hint="eastAsia" w:ascii="宋体" w:hAnsi="宋体" w:eastAsia="宋体" w:cs="宋体"/>
          <w:b/>
          <w:bCs/>
          <w:sz w:val="24"/>
          <w:szCs w:val="24"/>
        </w:rPr>
        <w:t>1. 术语的定义</w:t>
      </w:r>
    </w:p>
    <w:p w14:paraId="7A71635A">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1.1本合同下列术语应解释为：</w:t>
      </w:r>
    </w:p>
    <w:p w14:paraId="42737504">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（1）“合同”是指委托和受托双方签署的、合同格式中载明的委托和受托双方所达成的协议，包括所有的附件、附录和构成合同的所有文件。</w:t>
      </w:r>
    </w:p>
    <w:p w14:paraId="20951662">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（2）“合同价”是指根据合同规定，中标供应商在正确地完全履行合同义务后采购人应支付给中标供应商的货币数量。</w:t>
      </w:r>
    </w:p>
    <w:p w14:paraId="2D566852">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（3）“服务”是指政府采购合同服务清单（同磋商响应文件中开标一览表及其附表，下同）中所规定的服务内容。</w:t>
      </w:r>
    </w:p>
    <w:p w14:paraId="1BABC673">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（3）“工程”是指政府采购合同工程量清单（同磋商响应文件中开标一览表及其附表，下同）和施工图纸中所规定的工程内容。</w:t>
      </w:r>
    </w:p>
    <w:p w14:paraId="66E1D717">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（4）“合同条款”是指本章所述全部内容。</w:t>
      </w:r>
    </w:p>
    <w:p w14:paraId="15581CE4">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（5）“合同特殊条款”是指采购文件正文部分第一章“合同特殊条款”。</w:t>
      </w:r>
    </w:p>
    <w:p w14:paraId="1D44AEF6">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（6）“采购人”是指采购文件正文部分第一章“磋商人须知前附表”中所述购买服务的单位。</w:t>
      </w:r>
    </w:p>
    <w:p w14:paraId="3B1614C9">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（7）“中标供应商”是指通过采购确定的提供采购文件正文部分第</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章“服务需求”/“工程量清单”中所述服务/工程的成交供应商。</w:t>
      </w:r>
    </w:p>
    <w:p w14:paraId="3540F7B8">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（8）“现场”是指合同规定的履行相关服务的地点。</w:t>
      </w:r>
    </w:p>
    <w:p w14:paraId="0792FCAA">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（9）“验收”是指委托、受托双方依据强制性的国家技术质量规范和合同规定，确认合同项下的服务符合合同规定的活动。</w:t>
      </w:r>
    </w:p>
    <w:p w14:paraId="3F8B6689">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（10）“天”指日历天数（如无特别说明）。</w:t>
      </w:r>
    </w:p>
    <w:p w14:paraId="44214F06">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（11）“检验”是指采购人按照合同约定的标准对中标供应商所提供的服务进行的检测与查验。</w:t>
      </w:r>
    </w:p>
    <w:p w14:paraId="7BF4EA6D">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（12）“检验合格证书”是指检验完成后由采购人和中标供应商共同签署的检验合格确认书。</w:t>
      </w:r>
    </w:p>
    <w:p w14:paraId="1DCBC35B">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（13）“政府采购项目验收单”是指采购人根据检验合格证书签署的报同级政府采购监管部门的最终验收确认书。</w:t>
      </w:r>
    </w:p>
    <w:p w14:paraId="34EF0AE0">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（14）“第三方”是指合同双方以外的任何中国境内、外的自然人、法人或其他经济组织。</w:t>
      </w:r>
    </w:p>
    <w:p w14:paraId="66A794B4">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（15）“法律、法规”是指由中国各级政府及有关部门制定的法律、行政法规、地方性法规、规章及其他规范性文件。</w:t>
      </w:r>
    </w:p>
    <w:p w14:paraId="4D90086C">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（16）“采购文件”是指由采购代理机构发布的采购文本。</w:t>
      </w:r>
    </w:p>
    <w:p w14:paraId="32B9BC0C">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（17）“磋商响应文件”是指中标供应商按照采购代理机构发布的采购文件的要求编制、提交并最终被磋商小组接受的磋商响应文本。</w:t>
      </w:r>
    </w:p>
    <w:p w14:paraId="765A0E95">
      <w:pPr>
        <w:pStyle w:val="13"/>
        <w:snapToGrid w:val="0"/>
        <w:spacing w:after="156" w:line="360" w:lineRule="auto"/>
        <w:ind w:left="0" w:firstLine="0"/>
        <w:rPr>
          <w:rFonts w:hint="eastAsia" w:ascii="宋体" w:hAnsi="宋体" w:eastAsia="宋体" w:cs="宋体"/>
          <w:b/>
          <w:bCs/>
          <w:kern w:val="0"/>
          <w:sz w:val="24"/>
          <w:szCs w:val="24"/>
        </w:rPr>
      </w:pPr>
      <w:r>
        <w:rPr>
          <w:rFonts w:hint="eastAsia" w:ascii="宋体" w:hAnsi="宋体" w:eastAsia="宋体" w:cs="宋体"/>
          <w:b/>
          <w:bCs/>
          <w:sz w:val="24"/>
          <w:szCs w:val="24"/>
        </w:rPr>
        <w:t>2.</w:t>
      </w:r>
      <w:r>
        <w:rPr>
          <w:rFonts w:hint="eastAsia" w:ascii="宋体" w:hAnsi="宋体" w:eastAsia="宋体" w:cs="宋体"/>
          <w:b/>
          <w:bCs/>
          <w:kern w:val="0"/>
          <w:sz w:val="24"/>
          <w:szCs w:val="24"/>
        </w:rPr>
        <w:t>技术规范与服务内容</w:t>
      </w:r>
    </w:p>
    <w:p w14:paraId="5A115220">
      <w:pPr>
        <w:pStyle w:val="13"/>
        <w:snapToGrid w:val="0"/>
        <w:spacing w:after="156"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 投标服务的技术规范应与采购文件规定的技术规范（如果有的话）相一致。若无相应说明，则以国家有关部门最新颁布的相应标准及规范为准。</w:t>
      </w:r>
    </w:p>
    <w:p w14:paraId="1FBE71CE">
      <w:pPr>
        <w:snapToGrid w:val="0"/>
        <w:spacing w:after="156"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2.2 投标服务的服务内容应与采购文件规定的服务内容及磋商响应文件中的服务指标响应表一致。</w:t>
      </w:r>
    </w:p>
    <w:p w14:paraId="52648C9B">
      <w:pPr>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3. 知识产权</w:t>
      </w:r>
    </w:p>
    <w:p w14:paraId="4A5330B1">
      <w:pPr>
        <w:snapToGrid w:val="0"/>
        <w:spacing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中标供应商</w:t>
      </w:r>
      <w:r>
        <w:rPr>
          <w:rFonts w:hint="eastAsia" w:ascii="宋体" w:hAnsi="宋体" w:eastAsia="宋体" w:cs="宋体"/>
          <w:kern w:val="0"/>
          <w:sz w:val="24"/>
          <w:szCs w:val="24"/>
        </w:rPr>
        <w:t>应保证，采购人在其接受该服务或其任何一部分时不受第三方提出的侵犯专利权、著作权、商标权和工业设计权等的起诉。如果任何第三方提出侵权指控，中标供应商须与第三方交涉并承担由此发生的一切责任、费用和经济赔偿。</w:t>
      </w:r>
    </w:p>
    <w:p w14:paraId="27FB680B">
      <w:pPr>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4. 完成方式</w:t>
      </w:r>
    </w:p>
    <w:p w14:paraId="47DE2BCC">
      <w:pPr>
        <w:snapToGrid w:val="0"/>
        <w:spacing w:after="156" w:line="360" w:lineRule="auto"/>
        <w:ind w:firstLine="470" w:firstLineChars="196"/>
        <w:rPr>
          <w:rFonts w:hint="eastAsia" w:ascii="宋体" w:hAnsi="宋体" w:eastAsia="宋体" w:cs="宋体"/>
          <w:kern w:val="0"/>
          <w:sz w:val="24"/>
          <w:szCs w:val="24"/>
        </w:rPr>
      </w:pPr>
      <w:r>
        <w:rPr>
          <w:rFonts w:hint="eastAsia" w:ascii="宋体" w:hAnsi="宋体" w:eastAsia="宋体" w:cs="宋体"/>
          <w:sz w:val="24"/>
          <w:szCs w:val="24"/>
        </w:rPr>
        <w:t>中标供应商应按照采购文件正文部分第</w:t>
      </w:r>
      <w:r>
        <w:rPr>
          <w:rFonts w:hint="eastAsia" w:ascii="宋体" w:hAnsi="宋体" w:eastAsia="宋体" w:cs="宋体"/>
          <w:sz w:val="24"/>
          <w:szCs w:val="24"/>
          <w:lang w:val="en-US" w:eastAsia="zh-CN"/>
        </w:rPr>
        <w:t>五</w:t>
      </w:r>
      <w:r>
        <w:rPr>
          <w:rFonts w:hint="eastAsia" w:ascii="宋体" w:hAnsi="宋体" w:eastAsia="宋体" w:cs="宋体"/>
          <w:sz w:val="24"/>
          <w:szCs w:val="24"/>
        </w:rPr>
        <w:t>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w:t>
      </w:r>
      <w:r>
        <w:rPr>
          <w:rFonts w:hint="eastAsia" w:ascii="宋体" w:hAnsi="宋体" w:eastAsia="宋体" w:cs="宋体"/>
          <w:sz w:val="24"/>
          <w:szCs w:val="24"/>
        </w:rPr>
        <w:t>需求”及“商务和技术要求”规定的时间和地点完成服务</w:t>
      </w:r>
      <w:r>
        <w:rPr>
          <w:rFonts w:hint="eastAsia" w:ascii="宋体" w:hAnsi="宋体" w:eastAsia="宋体" w:cs="宋体"/>
          <w:kern w:val="0"/>
          <w:sz w:val="24"/>
          <w:szCs w:val="24"/>
        </w:rPr>
        <w:t>。</w:t>
      </w:r>
    </w:p>
    <w:p w14:paraId="5B7A221C">
      <w:pPr>
        <w:adjustRightInd w:val="0"/>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5. 付款</w:t>
      </w:r>
    </w:p>
    <w:p w14:paraId="655977F3">
      <w:pPr>
        <w:snapToGrid w:val="0"/>
        <w:spacing w:after="156" w:line="360" w:lineRule="auto"/>
        <w:ind w:firstLine="480"/>
        <w:rPr>
          <w:rFonts w:hint="eastAsia" w:ascii="宋体" w:hAnsi="宋体" w:eastAsia="宋体" w:cs="宋体"/>
          <w:sz w:val="24"/>
          <w:szCs w:val="24"/>
        </w:rPr>
      </w:pPr>
      <w:r>
        <w:rPr>
          <w:rFonts w:hint="eastAsia" w:ascii="宋体" w:hAnsi="宋体" w:eastAsia="宋体" w:cs="宋体"/>
          <w:sz w:val="24"/>
          <w:szCs w:val="24"/>
        </w:rPr>
        <w:t>5.1合同以人民币付款。</w:t>
      </w:r>
    </w:p>
    <w:p w14:paraId="0B0D6ECA">
      <w:pPr>
        <w:snapToGrid w:val="0"/>
        <w:spacing w:after="156" w:line="360" w:lineRule="auto"/>
        <w:ind w:firstLine="480"/>
        <w:rPr>
          <w:rFonts w:hint="eastAsia" w:ascii="宋体" w:hAnsi="宋体" w:eastAsia="宋体" w:cs="宋体"/>
          <w:sz w:val="24"/>
          <w:szCs w:val="24"/>
        </w:rPr>
      </w:pPr>
      <w:r>
        <w:rPr>
          <w:rFonts w:hint="eastAsia" w:ascii="宋体" w:hAnsi="宋体" w:eastAsia="宋体" w:cs="宋体"/>
          <w:sz w:val="24"/>
          <w:szCs w:val="24"/>
        </w:rPr>
        <w:t>5.2 在中标供应商按照合同的规定履行服务后，将按照采购文件正文部分</w:t>
      </w:r>
      <w:r>
        <w:rPr>
          <w:rFonts w:hint="eastAsia" w:ascii="宋体" w:hAnsi="宋体" w:eastAsia="宋体" w:cs="宋体"/>
          <w:kern w:val="0"/>
          <w:sz w:val="24"/>
          <w:szCs w:val="24"/>
        </w:rPr>
        <w:t>“合同条款前附表”规定</w:t>
      </w:r>
      <w:r>
        <w:rPr>
          <w:rFonts w:hint="eastAsia" w:ascii="宋体" w:hAnsi="宋体" w:eastAsia="宋体" w:cs="宋体"/>
          <w:sz w:val="24"/>
          <w:szCs w:val="24"/>
        </w:rPr>
        <w:t>的付款方式付款。</w:t>
      </w:r>
    </w:p>
    <w:p w14:paraId="2277C735">
      <w:pPr>
        <w:pStyle w:val="21"/>
        <w:ind w:left="0" w:leftChars="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5.3政府采购货物和服务项目不得收取质量保证金以及其他没有法律依据的保证金。（《安徽省财政厅关于进一步优化营商环境的通知》皖财购[2022]556号）</w:t>
      </w:r>
    </w:p>
    <w:p w14:paraId="0BD49213">
      <w:pPr>
        <w:adjustRightInd w:val="0"/>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6. 履约保证金</w:t>
      </w:r>
    </w:p>
    <w:p w14:paraId="22C1B299">
      <w:pPr>
        <w:snapToGrid w:val="0"/>
        <w:spacing w:after="156" w:line="360" w:lineRule="auto"/>
        <w:ind w:firstLine="480"/>
        <w:rPr>
          <w:rFonts w:hint="eastAsia" w:ascii="宋体" w:hAnsi="宋体" w:eastAsia="宋体" w:cs="宋体"/>
          <w:sz w:val="24"/>
          <w:szCs w:val="24"/>
        </w:rPr>
      </w:pPr>
      <w:r>
        <w:rPr>
          <w:rFonts w:hint="eastAsia" w:ascii="宋体" w:hAnsi="宋体" w:eastAsia="宋体" w:cs="宋体"/>
          <w:sz w:val="24"/>
          <w:szCs w:val="24"/>
        </w:rPr>
        <w:t>6.1中标供应商应在签订合同的同时，提供相当于合同总价</w:t>
      </w:r>
      <w:r>
        <w:rPr>
          <w:rFonts w:hint="eastAsia" w:ascii="宋体" w:hAnsi="宋体" w:eastAsia="宋体" w:cs="宋体"/>
          <w:sz w:val="24"/>
          <w:szCs w:val="24"/>
          <w:u w:val="single"/>
          <w:lang w:val="en-US" w:eastAsia="zh-CN"/>
        </w:rPr>
        <w:t>2</w:t>
      </w:r>
      <w:r>
        <w:rPr>
          <w:rFonts w:hint="eastAsia" w:ascii="宋体" w:hAnsi="宋体" w:eastAsia="宋体" w:cs="宋体"/>
          <w:sz w:val="24"/>
          <w:szCs w:val="24"/>
        </w:rPr>
        <w:t>%的履约保证金或等额金融机构、担保机构出具的保函）。</w:t>
      </w:r>
    </w:p>
    <w:p w14:paraId="23E20B7C">
      <w:pPr>
        <w:snapToGrid w:val="0"/>
        <w:spacing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6.2如中标供应商未能履行其合同规定的义务，采购人有权从履约保证金中取得补偿。</w:t>
      </w:r>
    </w:p>
    <w:p w14:paraId="533B9055">
      <w:pPr>
        <w:adjustRightInd w:val="0"/>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7. 检验和验收</w:t>
      </w:r>
    </w:p>
    <w:p w14:paraId="48B17C31">
      <w:pPr>
        <w:snapToGrid w:val="0"/>
        <w:spacing w:after="156"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14:paraId="4A22128D">
      <w:pPr>
        <w:snapToGrid w:val="0"/>
        <w:spacing w:after="156" w:line="360" w:lineRule="auto"/>
        <w:ind w:firstLine="480"/>
        <w:rPr>
          <w:rFonts w:hint="eastAsia" w:ascii="宋体" w:hAnsi="宋体" w:eastAsia="宋体" w:cs="宋体"/>
          <w:sz w:val="24"/>
          <w:szCs w:val="24"/>
        </w:rPr>
      </w:pPr>
      <w:r>
        <w:rPr>
          <w:rFonts w:hint="eastAsia" w:ascii="宋体" w:hAnsi="宋体" w:eastAsia="宋体" w:cs="宋体"/>
          <w:sz w:val="24"/>
          <w:szCs w:val="24"/>
        </w:rPr>
        <w:t>7.2采购人或其委托的采购代理机构应当根据项目特点制定验收方案，明确履约验收的时间、方式、程序等内容。</w:t>
      </w:r>
    </w:p>
    <w:p w14:paraId="7F233D64">
      <w:pPr>
        <w:snapToGrid w:val="0"/>
        <w:spacing w:after="156"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2944E4C0">
      <w:pPr>
        <w:snapToGrid w:val="0"/>
        <w:spacing w:after="156"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5F27B215">
      <w:pPr>
        <w:snapToGrid w:val="0"/>
        <w:spacing w:after="156"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7.5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701F11D8">
      <w:pPr>
        <w:adjustRightInd w:val="0"/>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8. 索赔</w:t>
      </w:r>
    </w:p>
    <w:p w14:paraId="3CBC15B9">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8.1 如果服务的质量、数量等与合同不符，或在规定的质量保证期内证实服务存在缺陷（包括潜在的缺陷等），采购人有权根据有资质的质检机构的检验结果向中标供应商提出索赔。</w:t>
      </w:r>
    </w:p>
    <w:p w14:paraId="143AFB20">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8.2 在合同规定的验收期和质量保证期内，如果中标供应商对采购人提出的索赔负有责任，中标供应商应按照采购人同意的方式解决索赔事宜。</w:t>
      </w:r>
    </w:p>
    <w:p w14:paraId="76ECF6A2">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8.3 如果中标供应商在合同规定的索赔通知期限内，未对采购人的索赔通知做出答复，则上述索赔应视为已被中标供应商接受。如中标供应商未能在采购人提出的在合同规定的期限内或采购人同意的更长时间内，按照本合同第8.2条确定的方式解决索赔事宜，采购人将从中标供应商的履约保证金或者应支付给中标供应商的合同款项中扣回索赔金额。如果这些金额不足以补偿索赔金额，采购人有权向中标供应商提出不足部分的补偿。</w:t>
      </w:r>
    </w:p>
    <w:p w14:paraId="67F7FFF4">
      <w:pPr>
        <w:adjustRightInd w:val="0"/>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9.履约延误和误期赔偿</w:t>
      </w:r>
    </w:p>
    <w:p w14:paraId="68972528">
      <w:pPr>
        <w:snapToGrid w:val="0"/>
        <w:spacing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如中标供应商无正当理由而拖延提供服务，采购人有权提出误期赔偿或解除合同。</w:t>
      </w:r>
    </w:p>
    <w:p w14:paraId="5A5E479A">
      <w:pPr>
        <w:snapToGrid w:val="0"/>
        <w:spacing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在履行合同过程中，如果中标供应商遇到妨碍按时提供服务的情况时，应及时以书面形式将拖延的事实，可能拖延的期限和理由通知采购人。采购人在收到中标供应商通知后，应尽快对情况进行评价，并确定是否通过修改合同，酌情延长提供服务时间。</w:t>
      </w:r>
    </w:p>
    <w:p w14:paraId="57C59504">
      <w:pPr>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9.3 </w:t>
      </w:r>
      <w:r>
        <w:rPr>
          <w:rFonts w:hint="eastAsia" w:ascii="宋体" w:hAnsi="宋体" w:eastAsia="宋体" w:cs="宋体"/>
          <w:kern w:val="0"/>
          <w:sz w:val="24"/>
          <w:szCs w:val="24"/>
        </w:rPr>
        <w:t>除本合同条款第10条规定外，如果中标供应商没有按照合同规定的时间提供服务，采购人可要求中标供应商支付违约金。违约金按每周未提供服务费用的0.5%计收，但违约金的最高限额为未提供服务的合同价格的5%。一周按7天计算，不足7天按一周计算。如果达到最高限额，采购人有权解除政府采购合同。</w:t>
      </w:r>
    </w:p>
    <w:p w14:paraId="33BD292B">
      <w:pPr>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9.4除合同第10条规定外，因采购人原因导致延期返还履约保证金、延期支付合同款项，变更、中止或终止政府采购合同的，因政策变化等原因不能签订合同，造成企业合法利益受损的情形，采购人应与供应商充分协商，按照货物或提供服务合同价</w:t>
      </w:r>
      <w:r>
        <w:rPr>
          <w:rFonts w:hint="eastAsia" w:ascii="宋体" w:hAnsi="宋体" w:eastAsia="宋体" w:cs="宋体"/>
          <w:kern w:val="0"/>
          <w:sz w:val="24"/>
          <w:szCs w:val="24"/>
          <w:u w:val="single"/>
          <w:lang w:val="en-US" w:eastAsia="zh-CN"/>
        </w:rPr>
        <w:t>1</w:t>
      </w:r>
      <w:r>
        <w:rPr>
          <w:rFonts w:hint="eastAsia" w:ascii="宋体" w:hAnsi="宋体" w:eastAsia="宋体" w:cs="宋体"/>
          <w:kern w:val="0"/>
          <w:sz w:val="24"/>
          <w:szCs w:val="24"/>
        </w:rPr>
        <w:t>%给予合理赔偿或者补偿。</w:t>
      </w:r>
    </w:p>
    <w:p w14:paraId="6BA38497">
      <w:pPr>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10. 不可抗力</w:t>
      </w:r>
    </w:p>
    <w:p w14:paraId="3479170E">
      <w:pPr>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10.1 尽管有本合同条款第8条和第9条的规定，如果中标供应商因不可抗力而导致合同实施延误或不能履行合同义务的话，在不可抗力影响的范围内中标供应商的履约保证金或者应支付给中标供应商的合同款项不能被没收，也不应该承担违约赔偿或终止合同的责任。</w:t>
      </w:r>
    </w:p>
    <w:p w14:paraId="15D4AF0B">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10.2 本条所述的“不可抗力”是指那些中标供应商无法控制、不可预见的事件，但不包括中标供应商的违约或疏忽。不可抗力事件包括，但不限于：战争、严重火灾、洪水、台风、地震、防疫限制和禁运及其他双方</w:t>
      </w:r>
      <w:r>
        <w:rPr>
          <w:rFonts w:hint="eastAsia" w:ascii="宋体" w:hAnsi="宋体" w:eastAsia="宋体" w:cs="宋体"/>
          <w:sz w:val="24"/>
          <w:szCs w:val="24"/>
        </w:rPr>
        <w:t>商定的事件。</w:t>
      </w:r>
    </w:p>
    <w:p w14:paraId="30302658">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10.3 在不可抗力事件发生后，中标供应商应尽快以书面形式将不可抗力的情况和原因通知采购人。除采购人书面另行要求外，中标供应商应尽可能继续履行合同义务，以及寻求采取合理的方案履行不受不可抗力影响的其他事项。如果不可抗力事件影响延续超过120天，双方应通过友好协商在合理的时间内就进一步实施合同达成协议。</w:t>
      </w:r>
    </w:p>
    <w:p w14:paraId="192834FE">
      <w:pPr>
        <w:adjustRightInd w:val="0"/>
        <w:snapToGrid w:val="0"/>
        <w:spacing w:after="156" w:line="360" w:lineRule="auto"/>
        <w:ind w:firstLine="480" w:firstLineChars="200"/>
        <w:rPr>
          <w:rFonts w:hint="eastAsia" w:ascii="宋体" w:hAnsi="宋体" w:eastAsia="宋体" w:cs="宋体"/>
          <w:b/>
          <w:bCs/>
          <w:kern w:val="0"/>
          <w:sz w:val="24"/>
          <w:szCs w:val="24"/>
        </w:rPr>
      </w:pPr>
      <w:r>
        <w:rPr>
          <w:rFonts w:hint="eastAsia" w:ascii="宋体" w:hAnsi="宋体" w:eastAsia="宋体" w:cs="宋体"/>
          <w:kern w:val="0"/>
          <w:sz w:val="24"/>
          <w:szCs w:val="24"/>
        </w:rPr>
        <w:t>10.4 不可抗力致使合同的某些内容有变更必要的，双方应通过协商达成进一步履行合同的协议，因不可抗力致使合同不能履行的，合同终止。</w:t>
      </w:r>
    </w:p>
    <w:p w14:paraId="6F629FCA">
      <w:pPr>
        <w:snapToGrid w:val="0"/>
        <w:spacing w:after="50" w:line="360" w:lineRule="auto"/>
        <w:rPr>
          <w:rFonts w:hint="eastAsia" w:ascii="宋体" w:hAnsi="宋体" w:eastAsia="宋体" w:cs="宋体"/>
          <w:b/>
          <w:bCs/>
          <w:sz w:val="24"/>
          <w:szCs w:val="24"/>
        </w:rPr>
      </w:pPr>
      <w:r>
        <w:rPr>
          <w:rFonts w:hint="eastAsia" w:ascii="宋体" w:hAnsi="宋体" w:eastAsia="宋体" w:cs="宋体"/>
          <w:b/>
          <w:bCs/>
          <w:sz w:val="24"/>
          <w:szCs w:val="24"/>
        </w:rPr>
        <w:t>11. 税费</w:t>
      </w:r>
    </w:p>
    <w:p w14:paraId="4AB9155F">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11.1中国政府根据现行税法对采购人征收的、与本合同有关的一切税费，均由采购人负担。</w:t>
      </w:r>
    </w:p>
    <w:p w14:paraId="127B4FEA">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11.2中国政府根据现行税法对中标供应商征收的、与本合同有关的一切税费，均由中标供应商负担。</w:t>
      </w:r>
    </w:p>
    <w:p w14:paraId="6B23E8B4">
      <w:pPr>
        <w:snapToGrid w:val="0"/>
        <w:spacing w:after="50" w:line="360" w:lineRule="auto"/>
        <w:rPr>
          <w:rFonts w:hint="eastAsia" w:ascii="宋体" w:hAnsi="宋体" w:eastAsia="宋体" w:cs="宋体"/>
          <w:b/>
          <w:bCs/>
          <w:sz w:val="24"/>
          <w:szCs w:val="24"/>
        </w:rPr>
      </w:pPr>
      <w:r>
        <w:rPr>
          <w:rFonts w:hint="eastAsia" w:ascii="宋体" w:hAnsi="宋体" w:eastAsia="宋体" w:cs="宋体"/>
          <w:b/>
          <w:bCs/>
          <w:sz w:val="24"/>
          <w:szCs w:val="24"/>
        </w:rPr>
        <w:t>12. 仲裁</w:t>
      </w:r>
    </w:p>
    <w:p w14:paraId="6A459C93">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eastAsia="宋体" w:cs="宋体"/>
          <w:sz w:val="24"/>
          <w:szCs w:val="24"/>
        </w:rPr>
        <w:t>则应向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宿州</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仲裁委员会申请仲裁。</w:t>
      </w:r>
    </w:p>
    <w:p w14:paraId="39017C7F">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12.2在仲裁期间，合同应继续履行。</w:t>
      </w:r>
    </w:p>
    <w:p w14:paraId="44733AC8">
      <w:pPr>
        <w:adjustRightInd w:val="0"/>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13. 违约终止合同</w:t>
      </w:r>
    </w:p>
    <w:p w14:paraId="42A2CF93">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13.1在采购人对中标供应商违约而采取的任何补救措施不受影响的情况下，采购人可向中标供应商发出终止部分或全部合同的书面通知书。</w:t>
      </w:r>
    </w:p>
    <w:p w14:paraId="06680143">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（1）如果中标供应商未能按合同规定的期限或采购人同意延长的限期内提供部分或全部服务；</w:t>
      </w:r>
    </w:p>
    <w:p w14:paraId="255E92DF">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（2）中标供应商在收到采购人发出的违约通知后20天内，或经采购人书面认可延长的时间内未能纠正其过失；</w:t>
      </w:r>
    </w:p>
    <w:p w14:paraId="71911455">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（3）如果中标供应商未能履行合同规定的其他义务。</w:t>
      </w:r>
    </w:p>
    <w:p w14:paraId="503F1DBA">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13.2在采购人根据上述第13.1条规定，终止了全部或部分合同后，采购人可以依其认为适当的条件和方法购买类似未交的服务，中标供应商应对采购人购买类似服务所超出的费用部分负责，并继续执行合同中未终止部分。</w:t>
      </w:r>
    </w:p>
    <w:p w14:paraId="79B10905">
      <w:pPr>
        <w:adjustRightInd w:val="0"/>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14. 破产终止合同</w:t>
      </w:r>
    </w:p>
    <w:p w14:paraId="40B71B4E">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如果中标供应商破产或无清偿能力时，采购人经报同级政府采购监督管理部门审批后，可在任何时候以书面形式通知中标供应商，提出终止合同而不给中标供应商补偿。该合同的终止将不损害或影响采购人已经采取或将要采取的任何行动或补救措施的权利。</w:t>
      </w:r>
    </w:p>
    <w:p w14:paraId="47709B54">
      <w:pPr>
        <w:adjustRightInd w:val="0"/>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15. 转让和分包</w:t>
      </w:r>
    </w:p>
    <w:p w14:paraId="59D1EFF9">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15.1合同不能擅自转让或分包。</w:t>
      </w:r>
    </w:p>
    <w:p w14:paraId="14D741D2">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15.2 经采购人和同级政府采购监督管理部门事先书面同意，中标供应商可以将合同项下非主体、非关键性工作分包给他人完成。接受分包的人应当具备相应的资格条件，并不得再次分包。分包后不能终止中标供应商履行合同的责任和义务，接受分包的人与中标供应商共同对采购人连带承担合同的责任和义务。</w:t>
      </w:r>
    </w:p>
    <w:p w14:paraId="579D363B">
      <w:pPr>
        <w:adjustRightInd w:val="0"/>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16. 合同修改</w:t>
      </w:r>
    </w:p>
    <w:p w14:paraId="49516FAA">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购人和中标供应商都不得擅自变更合同，但继续履行将损害国家和社会公共利益的除外。如必须对合同条款进行修改时，当事人双方须共同签署书面文件，作为合同的补充，并报同级政府采购监督管理部门备案。</w:t>
      </w:r>
    </w:p>
    <w:p w14:paraId="02A731C1">
      <w:pPr>
        <w:adjustRightInd w:val="0"/>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17. 通知</w:t>
      </w:r>
    </w:p>
    <w:p w14:paraId="4BEA0287">
      <w:pPr>
        <w:adjustRightInd w:val="0"/>
        <w:snapToGrid w:val="0"/>
        <w:spacing w:after="156"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采购合同一方给另一方的通知都应以书面形式发送至规定的对方地址。通知以送达日期或通知书规定的生效日期为生效日期，两者中以晚的一个日期为准。</w:t>
      </w:r>
    </w:p>
    <w:p w14:paraId="550A6F5A">
      <w:pPr>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18.合同生效</w:t>
      </w:r>
    </w:p>
    <w:p w14:paraId="0CDFF8CF">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18.1合同内容的确定应以采购文件和</w:t>
      </w:r>
      <w:r>
        <w:rPr>
          <w:rFonts w:hint="eastAsia" w:ascii="宋体" w:hAnsi="宋体" w:eastAsia="宋体" w:cs="宋体"/>
          <w:kern w:val="0"/>
          <w:sz w:val="24"/>
          <w:szCs w:val="24"/>
          <w:lang w:val="en-US" w:eastAsia="zh-CN"/>
        </w:rPr>
        <w:t>询比</w:t>
      </w:r>
      <w:r>
        <w:rPr>
          <w:rFonts w:hint="eastAsia" w:ascii="宋体" w:hAnsi="宋体" w:eastAsia="宋体" w:cs="宋体"/>
          <w:kern w:val="0"/>
          <w:sz w:val="24"/>
          <w:szCs w:val="24"/>
        </w:rPr>
        <w:t>响应文件为基础，不得违背其实质性内容。合同应在买卖双方签字、盖章，并在中标供应商交纳履约保证金后即开始生效。</w:t>
      </w:r>
    </w:p>
    <w:p w14:paraId="6E9D24C1">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18.2本合同一式四份，以中文书就，采购人、中标供应商各执</w:t>
      </w:r>
      <w:r>
        <w:rPr>
          <w:rFonts w:hint="eastAsia" w:ascii="宋体" w:hAnsi="宋体" w:eastAsia="宋体" w:cs="宋体"/>
          <w:kern w:val="0"/>
          <w:sz w:val="24"/>
          <w:szCs w:val="24"/>
          <w:lang w:val="en-US" w:eastAsia="zh-CN"/>
        </w:rPr>
        <w:t>二</w:t>
      </w:r>
      <w:r>
        <w:rPr>
          <w:rFonts w:hint="eastAsia" w:ascii="宋体" w:hAnsi="宋体" w:eastAsia="宋体" w:cs="宋体"/>
          <w:kern w:val="0"/>
          <w:sz w:val="24"/>
          <w:szCs w:val="24"/>
        </w:rPr>
        <w:t>份。</w:t>
      </w:r>
    </w:p>
    <w:p w14:paraId="1DD822DD">
      <w:pPr>
        <w:adjustRightInd w:val="0"/>
        <w:snapToGrid w:val="0"/>
        <w:spacing w:after="156" w:line="360" w:lineRule="auto"/>
        <w:rPr>
          <w:rFonts w:hint="eastAsia" w:ascii="宋体" w:hAnsi="宋体" w:eastAsia="宋体" w:cs="宋体"/>
          <w:b/>
          <w:bCs/>
          <w:sz w:val="24"/>
          <w:szCs w:val="24"/>
        </w:rPr>
      </w:pPr>
      <w:r>
        <w:rPr>
          <w:rFonts w:hint="eastAsia" w:ascii="宋体" w:hAnsi="宋体" w:eastAsia="宋体" w:cs="宋体"/>
          <w:b/>
          <w:bCs/>
          <w:sz w:val="24"/>
          <w:szCs w:val="24"/>
        </w:rPr>
        <w:t>19. 补充条款</w:t>
      </w:r>
    </w:p>
    <w:p w14:paraId="1F1D1850">
      <w:pPr>
        <w:snapToGrid w:val="0"/>
        <w:spacing w:after="50" w:line="360" w:lineRule="auto"/>
        <w:ind w:firstLine="470" w:firstLineChars="196"/>
        <w:rPr>
          <w:rFonts w:hint="eastAsia" w:ascii="宋体" w:hAnsi="宋体" w:eastAsia="宋体" w:cs="宋体"/>
          <w:kern w:val="0"/>
          <w:sz w:val="24"/>
          <w:szCs w:val="24"/>
        </w:rPr>
      </w:pPr>
      <w:r>
        <w:rPr>
          <w:rFonts w:hint="eastAsia" w:ascii="宋体" w:hAnsi="宋体" w:eastAsia="宋体" w:cs="宋体"/>
          <w:kern w:val="0"/>
          <w:sz w:val="24"/>
          <w:szCs w:val="24"/>
        </w:rPr>
        <w:t>如需修改或补充合同内容，经协商，双方可签署书面修改或补充协议，该协议将作为合同的一个组成部分。</w:t>
      </w:r>
    </w:p>
    <w:p w14:paraId="4B992EC1">
      <w:pPr>
        <w:pStyle w:val="5"/>
        <w:rPr>
          <w:rFonts w:hint="eastAsia" w:ascii="宋体" w:hAnsi="宋体" w:eastAsia="宋体" w:cs="宋体"/>
          <w:sz w:val="24"/>
          <w:szCs w:val="24"/>
        </w:rPr>
        <w:sectPr>
          <w:pgSz w:w="11910" w:h="16840"/>
          <w:pgMar w:top="1500" w:right="1380" w:bottom="1780" w:left="1580" w:header="0" w:footer="1595" w:gutter="0"/>
          <w:pgNumType w:fmt="decimal"/>
          <w:cols w:space="720" w:num="1"/>
        </w:sectPr>
      </w:pPr>
    </w:p>
    <w:p w14:paraId="3AD313BB">
      <w:pPr>
        <w:numPr>
          <w:ilvl w:val="0"/>
          <w:numId w:val="2"/>
        </w:numPr>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合同格式</w:t>
      </w:r>
    </w:p>
    <w:p w14:paraId="607979F9">
      <w:pPr>
        <w:spacing w:line="360" w:lineRule="auto"/>
        <w:rPr>
          <w:rFonts w:hint="eastAsia" w:ascii="宋体" w:hAnsi="宋体"/>
          <w:sz w:val="24"/>
          <w:szCs w:val="24"/>
        </w:rPr>
      </w:pPr>
      <w:r>
        <w:rPr>
          <w:rFonts w:hint="eastAsia" w:ascii="宋体" w:hAnsi="宋体"/>
          <w:sz w:val="24"/>
          <w:szCs w:val="24"/>
        </w:rPr>
        <w:t xml:space="preserve">采  购  人（甲方）： </w:t>
      </w:r>
      <w:r>
        <w:rPr>
          <w:rFonts w:hint="eastAsia" w:ascii="宋体" w:hAnsi="宋体"/>
          <w:sz w:val="24"/>
          <w:szCs w:val="24"/>
          <w:u w:val="single"/>
        </w:rPr>
        <w:t xml:space="preserve">                                        </w:t>
      </w:r>
      <w:r>
        <w:rPr>
          <w:rFonts w:hint="eastAsia" w:ascii="宋体" w:hAnsi="宋体"/>
          <w:sz w:val="24"/>
          <w:szCs w:val="24"/>
        </w:rPr>
        <w:t xml:space="preserve"> </w:t>
      </w:r>
    </w:p>
    <w:p w14:paraId="4E7704C1">
      <w:pPr>
        <w:spacing w:line="360" w:lineRule="auto"/>
        <w:ind w:left="840" w:hanging="960" w:hangingChars="400"/>
        <w:rPr>
          <w:rFonts w:hint="eastAsia" w:ascii="宋体" w:hAnsi="宋体"/>
          <w:sz w:val="24"/>
          <w:szCs w:val="24"/>
        </w:rPr>
      </w:pPr>
      <w:r>
        <w:rPr>
          <w:rFonts w:hint="eastAsia" w:ascii="宋体" w:hAnsi="宋体"/>
          <w:sz w:val="24"/>
          <w:szCs w:val="24"/>
        </w:rPr>
        <w:t xml:space="preserve">中标供应商（乙方）： </w:t>
      </w:r>
      <w:r>
        <w:rPr>
          <w:rFonts w:hint="eastAsia" w:ascii="宋体" w:hAnsi="宋体"/>
          <w:sz w:val="24"/>
          <w:szCs w:val="24"/>
          <w:u w:val="single"/>
        </w:rPr>
        <w:t xml:space="preserve">                                        </w:t>
      </w:r>
      <w:r>
        <w:rPr>
          <w:rFonts w:hint="eastAsia" w:ascii="宋体" w:hAnsi="宋体"/>
          <w:sz w:val="24"/>
          <w:szCs w:val="24"/>
        </w:rPr>
        <w:t xml:space="preserve"> </w:t>
      </w:r>
    </w:p>
    <w:p w14:paraId="5A567BDC">
      <w:pPr>
        <w:spacing w:line="360" w:lineRule="auto"/>
        <w:ind w:left="840" w:hanging="960" w:hangingChars="400"/>
        <w:rPr>
          <w:rFonts w:hint="eastAsia" w:ascii="宋体" w:hAnsi="宋体"/>
          <w:sz w:val="24"/>
          <w:szCs w:val="24"/>
          <w:u w:val="single"/>
        </w:rPr>
      </w:pPr>
      <w:r>
        <w:rPr>
          <w:rFonts w:hint="eastAsia" w:ascii="宋体" w:hAnsi="宋体"/>
          <w:sz w:val="24"/>
          <w:szCs w:val="24"/>
        </w:rPr>
        <w:t>采购代理机构：</w:t>
      </w:r>
      <w:r>
        <w:rPr>
          <w:rFonts w:hint="eastAsia" w:ascii="宋体" w:hAnsi="宋体"/>
          <w:sz w:val="24"/>
          <w:szCs w:val="24"/>
          <w:u w:val="single"/>
        </w:rPr>
        <w:t xml:space="preserve">                                               </w:t>
      </w:r>
    </w:p>
    <w:p w14:paraId="70CC2E23">
      <w:pPr>
        <w:spacing w:line="360" w:lineRule="auto"/>
        <w:ind w:firstLine="480" w:firstLineChars="200"/>
        <w:rPr>
          <w:rFonts w:hint="eastAsia" w:ascii="宋体" w:hAnsi="宋体"/>
          <w:sz w:val="24"/>
          <w:szCs w:val="24"/>
        </w:rPr>
      </w:pPr>
      <w:r>
        <w:rPr>
          <w:rFonts w:hint="eastAsia" w:ascii="宋体" w:hAnsi="宋体"/>
          <w:sz w:val="24"/>
          <w:szCs w:val="24"/>
        </w:rPr>
        <w:t>甲方通过</w:t>
      </w:r>
      <w:r>
        <w:rPr>
          <w:rFonts w:hint="eastAsia" w:ascii="宋体" w:hAnsi="宋体"/>
          <w:sz w:val="24"/>
          <w:szCs w:val="24"/>
          <w:u w:val="single"/>
        </w:rPr>
        <w:t xml:space="preserve">         </w:t>
      </w:r>
      <w:r>
        <w:rPr>
          <w:rFonts w:hint="eastAsia" w:ascii="宋体" w:hAnsi="宋体"/>
          <w:sz w:val="24"/>
          <w:szCs w:val="24"/>
        </w:rPr>
        <w:t>组织的采购活动，决定将本项目采购合同授予乙方。为进一步明确双方的责任，确保合同的顺利履行，甲乙双方商定同意按如下条款和条件签订本合同：</w:t>
      </w:r>
    </w:p>
    <w:p w14:paraId="420D73CD">
      <w:pPr>
        <w:spacing w:line="360" w:lineRule="auto"/>
        <w:rPr>
          <w:rFonts w:hint="eastAsia" w:ascii="宋体" w:hAnsi="宋体"/>
          <w:b/>
          <w:bCs/>
          <w:sz w:val="24"/>
          <w:szCs w:val="24"/>
        </w:rPr>
      </w:pPr>
      <w:r>
        <w:rPr>
          <w:rFonts w:hint="eastAsia" w:ascii="宋体" w:hAnsi="宋体"/>
          <w:b/>
          <w:bCs/>
          <w:sz w:val="24"/>
          <w:szCs w:val="24"/>
        </w:rPr>
        <w:t>1.合同文件</w:t>
      </w:r>
    </w:p>
    <w:p w14:paraId="07A9E7E8">
      <w:pPr>
        <w:spacing w:line="360" w:lineRule="auto"/>
        <w:ind w:left="643"/>
        <w:rPr>
          <w:rFonts w:hint="eastAsia" w:ascii="宋体" w:hAnsi="宋体"/>
          <w:sz w:val="24"/>
          <w:szCs w:val="24"/>
        </w:rPr>
      </w:pPr>
      <w:r>
        <w:rPr>
          <w:rFonts w:hint="eastAsia" w:ascii="宋体" w:hAnsi="宋体"/>
          <w:sz w:val="24"/>
          <w:szCs w:val="24"/>
        </w:rPr>
        <w:t>下列文件是构成本合同不可分割的部分：</w:t>
      </w:r>
    </w:p>
    <w:p w14:paraId="7F2F98D3">
      <w:pPr>
        <w:spacing w:line="360" w:lineRule="auto"/>
        <w:ind w:firstLine="480" w:firstLineChars="200"/>
        <w:rPr>
          <w:rFonts w:hint="eastAsia" w:ascii="宋体" w:hAnsi="宋体"/>
          <w:sz w:val="24"/>
          <w:szCs w:val="24"/>
        </w:rPr>
      </w:pPr>
      <w:r>
        <w:rPr>
          <w:rFonts w:hint="eastAsia" w:ascii="宋体" w:hAnsi="宋体"/>
          <w:sz w:val="24"/>
          <w:szCs w:val="24"/>
        </w:rPr>
        <w:t>（1）合同条款及前附表；</w:t>
      </w:r>
    </w:p>
    <w:p w14:paraId="3C3A503F">
      <w:pPr>
        <w:spacing w:line="360" w:lineRule="auto"/>
        <w:ind w:firstLine="480" w:firstLineChars="200"/>
        <w:rPr>
          <w:rFonts w:hint="eastAsia" w:ascii="宋体" w:hAnsi="宋体"/>
          <w:sz w:val="24"/>
          <w:szCs w:val="24"/>
        </w:rPr>
      </w:pPr>
      <w:r>
        <w:rPr>
          <w:rFonts w:hint="eastAsia" w:ascii="宋体" w:hAnsi="宋体"/>
          <w:sz w:val="24"/>
          <w:szCs w:val="24"/>
        </w:rPr>
        <w:t>（2）中标供应商提交的磋商响应文件和投标报价表；</w:t>
      </w:r>
    </w:p>
    <w:p w14:paraId="2F593004">
      <w:pPr>
        <w:spacing w:line="360" w:lineRule="auto"/>
        <w:ind w:firstLine="480" w:firstLineChars="200"/>
        <w:rPr>
          <w:rFonts w:hint="eastAsia" w:ascii="宋体" w:hAnsi="宋体"/>
          <w:sz w:val="24"/>
          <w:szCs w:val="24"/>
        </w:rPr>
      </w:pPr>
      <w:r>
        <w:rPr>
          <w:rFonts w:hint="eastAsia" w:ascii="宋体" w:hAnsi="宋体"/>
          <w:sz w:val="24"/>
          <w:szCs w:val="24"/>
        </w:rPr>
        <w:t>（3）中标通知书。</w:t>
      </w:r>
    </w:p>
    <w:p w14:paraId="7BD5507B">
      <w:pPr>
        <w:spacing w:line="360" w:lineRule="auto"/>
        <w:rPr>
          <w:rFonts w:hint="eastAsia" w:ascii="宋体" w:hAnsi="宋体"/>
          <w:b/>
          <w:bCs/>
          <w:sz w:val="24"/>
          <w:szCs w:val="24"/>
        </w:rPr>
      </w:pPr>
      <w:r>
        <w:rPr>
          <w:rFonts w:hint="eastAsia" w:ascii="宋体" w:hAnsi="宋体"/>
          <w:b/>
          <w:bCs/>
          <w:sz w:val="24"/>
          <w:szCs w:val="24"/>
        </w:rPr>
        <w:t>2.合同范围和条件</w:t>
      </w:r>
    </w:p>
    <w:p w14:paraId="32F6544E">
      <w:pPr>
        <w:spacing w:line="360" w:lineRule="auto"/>
        <w:ind w:firstLine="480" w:firstLineChars="200"/>
        <w:rPr>
          <w:rFonts w:hint="eastAsia" w:ascii="宋体" w:hAnsi="宋体"/>
          <w:sz w:val="24"/>
          <w:szCs w:val="24"/>
        </w:rPr>
      </w:pPr>
      <w:r>
        <w:rPr>
          <w:rFonts w:hint="eastAsia" w:ascii="宋体" w:hAnsi="宋体"/>
          <w:sz w:val="24"/>
          <w:szCs w:val="24"/>
        </w:rPr>
        <w:t>本合同的范围和条件应与上述合同文件的规定相一致。</w:t>
      </w:r>
    </w:p>
    <w:p w14:paraId="21710B30">
      <w:pPr>
        <w:spacing w:line="360" w:lineRule="auto"/>
        <w:rPr>
          <w:rFonts w:hint="eastAsia" w:ascii="宋体" w:hAnsi="宋体"/>
          <w:b/>
          <w:bCs/>
          <w:sz w:val="24"/>
          <w:szCs w:val="24"/>
        </w:rPr>
      </w:pPr>
      <w:r>
        <w:rPr>
          <w:rFonts w:hint="eastAsia" w:ascii="宋体" w:hAnsi="宋体"/>
          <w:b/>
          <w:bCs/>
          <w:sz w:val="24"/>
          <w:szCs w:val="24"/>
        </w:rPr>
        <w:t>3.合同金额</w:t>
      </w:r>
    </w:p>
    <w:p w14:paraId="0A6D7476">
      <w:pPr>
        <w:spacing w:line="360" w:lineRule="auto"/>
        <w:ind w:firstLine="480" w:firstLineChars="200"/>
        <w:rPr>
          <w:rFonts w:hint="eastAsia" w:ascii="宋体" w:hAnsi="宋体"/>
          <w:sz w:val="24"/>
          <w:szCs w:val="24"/>
        </w:rPr>
      </w:pPr>
      <w:r>
        <w:rPr>
          <w:rFonts w:hint="eastAsia" w:ascii="宋体" w:hAnsi="宋体"/>
          <w:sz w:val="24"/>
          <w:szCs w:val="24"/>
        </w:rPr>
        <w:t>合同总金额为（人民币）</w:t>
      </w:r>
      <w:r>
        <w:rPr>
          <w:rFonts w:hint="eastAsia" w:ascii="宋体" w:hAnsi="宋体"/>
          <w:sz w:val="24"/>
          <w:szCs w:val="24"/>
          <w:u w:val="single"/>
        </w:rPr>
        <w:t xml:space="preserve">                  万</w:t>
      </w:r>
      <w:r>
        <w:rPr>
          <w:rFonts w:hint="eastAsia" w:ascii="宋体" w:hAnsi="宋体"/>
          <w:sz w:val="24"/>
          <w:szCs w:val="24"/>
        </w:rPr>
        <w:t>元</w:t>
      </w:r>
    </w:p>
    <w:p w14:paraId="2E02D786">
      <w:pPr>
        <w:spacing w:line="360" w:lineRule="auto"/>
        <w:ind w:firstLine="480" w:firstLineChars="200"/>
        <w:rPr>
          <w:rFonts w:hint="eastAsia" w:ascii="宋体" w:hAnsi="宋体"/>
          <w:sz w:val="24"/>
          <w:szCs w:val="24"/>
        </w:rPr>
      </w:pP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rPr>
        <w:t>。</w:t>
      </w:r>
    </w:p>
    <w:p w14:paraId="327855FE">
      <w:pPr>
        <w:spacing w:line="360" w:lineRule="auto"/>
        <w:rPr>
          <w:rFonts w:hint="eastAsia" w:ascii="宋体" w:hAnsi="宋体"/>
          <w:b/>
          <w:bCs/>
          <w:sz w:val="24"/>
          <w:szCs w:val="24"/>
        </w:rPr>
      </w:pPr>
      <w:r>
        <w:rPr>
          <w:rFonts w:hint="eastAsia" w:ascii="宋体" w:hAnsi="宋体"/>
          <w:b/>
          <w:bCs/>
          <w:sz w:val="24"/>
          <w:szCs w:val="24"/>
        </w:rPr>
        <w:t>4.付款条件</w:t>
      </w:r>
    </w:p>
    <w:p w14:paraId="1E73D754">
      <w:pPr>
        <w:spacing w:line="360" w:lineRule="auto"/>
        <w:ind w:firstLine="480" w:firstLineChars="200"/>
        <w:rPr>
          <w:rFonts w:hint="eastAsia" w:ascii="宋体" w:hAnsi="宋体"/>
          <w:sz w:val="24"/>
          <w:szCs w:val="24"/>
        </w:rPr>
      </w:pPr>
      <w:r>
        <w:rPr>
          <w:rFonts w:hint="eastAsia" w:ascii="宋体" w:hAnsi="宋体"/>
          <w:sz w:val="24"/>
          <w:szCs w:val="24"/>
        </w:rPr>
        <w:t>付款条件在合同条款前附表中有明确规定。</w:t>
      </w:r>
    </w:p>
    <w:p w14:paraId="4390D507">
      <w:pPr>
        <w:spacing w:line="360" w:lineRule="auto"/>
        <w:rPr>
          <w:rFonts w:hint="eastAsia" w:ascii="宋体" w:hAnsi="宋体"/>
          <w:b/>
          <w:bCs/>
          <w:sz w:val="24"/>
          <w:szCs w:val="24"/>
        </w:rPr>
      </w:pPr>
      <w:r>
        <w:rPr>
          <w:rFonts w:hint="eastAsia" w:ascii="宋体" w:hAnsi="宋体"/>
          <w:b/>
          <w:bCs/>
          <w:sz w:val="24"/>
          <w:szCs w:val="24"/>
        </w:rPr>
        <w:t>5.交货时间</w:t>
      </w:r>
    </w:p>
    <w:p w14:paraId="5AEBD909">
      <w:pPr>
        <w:spacing w:line="360" w:lineRule="auto"/>
        <w:ind w:firstLine="480" w:firstLineChars="200"/>
        <w:rPr>
          <w:rFonts w:hint="eastAsia" w:ascii="宋体" w:hAnsi="宋体"/>
          <w:sz w:val="24"/>
          <w:szCs w:val="24"/>
        </w:rPr>
      </w:pPr>
      <w:r>
        <w:rPr>
          <w:rFonts w:hint="eastAsia" w:ascii="宋体" w:hAnsi="宋体"/>
          <w:sz w:val="24"/>
          <w:szCs w:val="24"/>
        </w:rPr>
        <w:t>本合同服务时间在“服务报价表”中有明确规定。</w:t>
      </w:r>
    </w:p>
    <w:p w14:paraId="55A6E785">
      <w:pPr>
        <w:spacing w:line="360" w:lineRule="auto"/>
        <w:rPr>
          <w:rFonts w:hint="eastAsia" w:ascii="宋体" w:hAnsi="宋体"/>
          <w:b/>
          <w:bCs/>
          <w:sz w:val="24"/>
          <w:szCs w:val="24"/>
        </w:rPr>
      </w:pPr>
      <w:r>
        <w:rPr>
          <w:rFonts w:hint="eastAsia" w:ascii="宋体" w:hAnsi="宋体"/>
          <w:b/>
          <w:bCs/>
          <w:sz w:val="24"/>
          <w:szCs w:val="24"/>
        </w:rPr>
        <w:t xml:space="preserve"> 6.合同生效</w:t>
      </w:r>
    </w:p>
    <w:p w14:paraId="6C711C74">
      <w:pPr>
        <w:spacing w:line="360" w:lineRule="auto"/>
        <w:ind w:firstLine="480" w:firstLineChars="200"/>
        <w:rPr>
          <w:rFonts w:hint="eastAsia" w:ascii="宋体" w:hAnsi="宋体"/>
          <w:sz w:val="24"/>
          <w:szCs w:val="24"/>
        </w:rPr>
      </w:pPr>
      <w:r>
        <w:rPr>
          <w:rFonts w:hint="eastAsia" w:ascii="宋体" w:hAnsi="宋体"/>
          <w:sz w:val="24"/>
          <w:szCs w:val="24"/>
        </w:rPr>
        <w:t>本合同经</w:t>
      </w:r>
      <w:r>
        <w:rPr>
          <w:rFonts w:hint="eastAsia" w:ascii="宋体" w:hAnsi="宋体"/>
          <w:sz w:val="24"/>
          <w:szCs w:val="24"/>
          <w:lang w:val="en-US" w:eastAsia="zh-CN"/>
        </w:rPr>
        <w:t>双</w:t>
      </w:r>
      <w:r>
        <w:rPr>
          <w:rFonts w:hint="eastAsia" w:ascii="宋体" w:hAnsi="宋体"/>
          <w:sz w:val="24"/>
          <w:szCs w:val="24"/>
        </w:rPr>
        <w:t>方合法代表签字、单位盖章后生效。</w:t>
      </w:r>
    </w:p>
    <w:p w14:paraId="6B02463A">
      <w:pPr>
        <w:spacing w:line="360" w:lineRule="auto"/>
        <w:rPr>
          <w:rFonts w:hint="eastAsia" w:ascii="宋体" w:hAnsi="宋体"/>
          <w:sz w:val="24"/>
          <w:szCs w:val="24"/>
        </w:rPr>
      </w:pPr>
      <w:r>
        <w:rPr>
          <w:rFonts w:hint="eastAsia" w:ascii="宋体" w:hAnsi="宋体"/>
          <w:sz w:val="24"/>
          <w:szCs w:val="24"/>
        </w:rPr>
        <w:t xml:space="preserve">采购人（甲方）：                               中标供应商（乙方）：             </w:t>
      </w:r>
    </w:p>
    <w:p w14:paraId="01FDA876">
      <w:pPr>
        <w:spacing w:line="360" w:lineRule="auto"/>
        <w:rPr>
          <w:rFonts w:hint="eastAsia" w:ascii="宋体" w:hAnsi="宋体"/>
          <w:sz w:val="24"/>
          <w:szCs w:val="24"/>
        </w:rPr>
      </w:pPr>
      <w:r>
        <w:rPr>
          <w:rFonts w:hint="eastAsia" w:ascii="宋体" w:hAnsi="宋体"/>
          <w:sz w:val="24"/>
          <w:szCs w:val="24"/>
        </w:rPr>
        <w:t xml:space="preserve">单位盖章：                                     单位盖章：         </w:t>
      </w:r>
    </w:p>
    <w:p w14:paraId="1E9FC52E">
      <w:pPr>
        <w:spacing w:line="360" w:lineRule="auto"/>
        <w:rPr>
          <w:rFonts w:hint="eastAsia" w:ascii="宋体" w:hAnsi="宋体"/>
          <w:sz w:val="24"/>
          <w:szCs w:val="24"/>
        </w:rPr>
      </w:pPr>
      <w:r>
        <w:rPr>
          <w:rFonts w:hint="eastAsia" w:ascii="宋体" w:hAnsi="宋体"/>
          <w:sz w:val="24"/>
          <w:szCs w:val="24"/>
        </w:rPr>
        <w:t>法定代表人或授权人（签字）：                   法定代表人或授权人（签字）：</w:t>
      </w:r>
    </w:p>
    <w:p w14:paraId="3537BD2F">
      <w:pPr>
        <w:spacing w:line="360" w:lineRule="auto"/>
        <w:rPr>
          <w:rFonts w:hint="eastAsia" w:ascii="宋体" w:hAnsi="宋体"/>
          <w:sz w:val="24"/>
          <w:szCs w:val="24"/>
        </w:rPr>
      </w:pPr>
      <w:r>
        <w:rPr>
          <w:rFonts w:hint="eastAsia" w:ascii="宋体" w:hAnsi="宋体"/>
          <w:sz w:val="24"/>
          <w:szCs w:val="24"/>
        </w:rPr>
        <w:t xml:space="preserve">联系电话：                                     联系电话：                  </w:t>
      </w:r>
    </w:p>
    <w:p w14:paraId="6066D551">
      <w:pPr>
        <w:spacing w:line="360" w:lineRule="auto"/>
        <w:rPr>
          <w:rFonts w:hint="eastAsia" w:ascii="宋体" w:hAnsi="宋体"/>
          <w:sz w:val="24"/>
          <w:szCs w:val="24"/>
        </w:rPr>
      </w:pPr>
      <w:r>
        <w:rPr>
          <w:rFonts w:hint="eastAsia" w:ascii="宋体" w:hAnsi="宋体"/>
          <w:sz w:val="24"/>
          <w:szCs w:val="24"/>
        </w:rPr>
        <w:t xml:space="preserve">开户银行：                                      开户银行：                        </w:t>
      </w:r>
    </w:p>
    <w:p w14:paraId="3C7DAD01">
      <w:pPr>
        <w:spacing w:line="360" w:lineRule="auto"/>
        <w:rPr>
          <w:rFonts w:hint="eastAsia" w:ascii="宋体" w:hAnsi="宋体"/>
          <w:sz w:val="24"/>
          <w:szCs w:val="24"/>
        </w:rPr>
      </w:pPr>
      <w:r>
        <w:rPr>
          <w:rFonts w:hint="eastAsia" w:ascii="宋体" w:hAnsi="宋体"/>
          <w:sz w:val="24"/>
          <w:szCs w:val="24"/>
        </w:rPr>
        <w:t xml:space="preserve">帐号：                                          帐号：                             </w:t>
      </w:r>
    </w:p>
    <w:p w14:paraId="6D754FBB">
      <w:pPr>
        <w:spacing w:line="360" w:lineRule="auto"/>
        <w:rPr>
          <w:rFonts w:hint="eastAsia" w:ascii="宋体" w:hAnsi="宋体"/>
          <w:sz w:val="24"/>
          <w:szCs w:val="24"/>
        </w:rPr>
      </w:pPr>
      <w:r>
        <w:rPr>
          <w:rFonts w:hint="eastAsia" w:ascii="宋体" w:hAnsi="宋体"/>
          <w:sz w:val="24"/>
          <w:szCs w:val="24"/>
        </w:rPr>
        <w:t xml:space="preserve">日期：    年   月   日                         日期：   年    月   日            </w:t>
      </w:r>
    </w:p>
    <w:p w14:paraId="51630749">
      <w:pPr>
        <w:spacing w:line="360" w:lineRule="auto"/>
        <w:rPr>
          <w:rFonts w:hint="eastAsia" w:ascii="宋体" w:hAnsi="宋体"/>
          <w:sz w:val="24"/>
          <w:szCs w:val="24"/>
        </w:rPr>
      </w:pPr>
      <w:r>
        <w:rPr>
          <w:rFonts w:hint="eastAsia" w:ascii="宋体" w:hAnsi="宋体"/>
          <w:sz w:val="24"/>
          <w:szCs w:val="24"/>
        </w:rPr>
        <w:t xml:space="preserve"> </w:t>
      </w:r>
    </w:p>
    <w:p w14:paraId="23F0E888">
      <w:pPr>
        <w:rPr>
          <w:rFonts w:hint="eastAsia" w:ascii="宋体" w:hAnsi="宋体"/>
          <w:sz w:val="24"/>
          <w:szCs w:val="24"/>
        </w:rPr>
      </w:pPr>
      <w:r>
        <w:rPr>
          <w:rFonts w:hint="eastAsia" w:ascii="宋体" w:hAnsi="宋体"/>
          <w:sz w:val="24"/>
          <w:szCs w:val="24"/>
        </w:rPr>
        <w:t xml:space="preserve">  </w:t>
      </w:r>
    </w:p>
    <w:p w14:paraId="357FE2EB">
      <w:pPr>
        <w:rPr>
          <w:rFonts w:hint="eastAsia" w:ascii="宋体" w:hAnsi="宋体"/>
          <w:sz w:val="24"/>
          <w:szCs w:val="24"/>
        </w:rPr>
      </w:pPr>
      <w:r>
        <w:rPr>
          <w:rFonts w:hint="eastAsia" w:ascii="宋体" w:hAnsi="宋体" w:eastAsia="宋体" w:cs="宋体"/>
          <w:b/>
          <w:bCs/>
          <w:sz w:val="32"/>
          <w:szCs w:val="32"/>
          <w:highlight w:val="none"/>
        </w:rPr>
        <w:t xml:space="preserve">  </w:t>
      </w:r>
    </w:p>
    <w:p w14:paraId="597B85F9">
      <w:pPr>
        <w:numPr>
          <w:ilvl w:val="0"/>
          <w:numId w:val="2"/>
        </w:numPr>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合同特殊条款</w:t>
      </w:r>
    </w:p>
    <w:p w14:paraId="20C87C22">
      <w:pPr>
        <w:jc w:val="center"/>
        <w:rPr>
          <w:rFonts w:hint="eastAsia" w:ascii="宋体" w:hAnsi="宋体" w:cs="Arial"/>
          <w:b/>
          <w:bCs/>
          <w:sz w:val="24"/>
          <w:szCs w:val="24"/>
        </w:rPr>
      </w:pPr>
      <w:r>
        <w:rPr>
          <w:rFonts w:hint="eastAsia" w:ascii="宋体" w:hAnsi="宋体" w:cs="Arial"/>
          <w:b/>
          <w:bCs/>
          <w:sz w:val="24"/>
          <w:szCs w:val="24"/>
        </w:rPr>
        <w:t xml:space="preserve"> （如有）</w:t>
      </w:r>
    </w:p>
    <w:p w14:paraId="342F5EFE">
      <w:pPr>
        <w:rPr>
          <w:rFonts w:hint="eastAsia"/>
        </w:rPr>
      </w:pPr>
    </w:p>
    <w:p w14:paraId="6B694A97">
      <w:pPr>
        <w:spacing w:before="176" w:line="208" w:lineRule="auto"/>
        <w:jc w:val="center"/>
        <w:outlineLvl w:val="9"/>
        <w:rPr>
          <w:rFonts w:hint="eastAsia" w:ascii="黑体" w:hAnsi="黑体" w:eastAsia="黑体" w:cs="黑体"/>
          <w:spacing w:val="-2"/>
          <w:sz w:val="54"/>
          <w:szCs w:val="54"/>
        </w:rPr>
      </w:pPr>
    </w:p>
    <w:p w14:paraId="041512B3">
      <w:pPr>
        <w:pStyle w:val="8"/>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0"/>
        <w:rPr>
          <w:rFonts w:hint="eastAsia" w:ascii="宋体" w:hAnsi="宋体" w:eastAsia="宋体" w:cs="宋体"/>
          <w:b w:val="0"/>
          <w:bCs/>
          <w:i w:val="0"/>
          <w:iCs w:val="0"/>
          <w:snapToGrid w:val="0"/>
          <w:color w:val="auto"/>
          <w:kern w:val="0"/>
          <w:sz w:val="22"/>
          <w:szCs w:val="22"/>
          <w:highlight w:val="none"/>
          <w:lang w:val="en-US" w:eastAsia="zh-CN" w:bidi="ar-SA"/>
        </w:rPr>
      </w:pPr>
    </w:p>
    <w:p w14:paraId="55C22930">
      <w:pPr>
        <w:rPr>
          <w:rFonts w:hint="eastAsia" w:ascii="宋体" w:hAnsi="宋体" w:eastAsia="宋体" w:cs="宋体"/>
          <w:b/>
          <w:bCs/>
          <w:color w:val="auto"/>
          <w:spacing w:val="-7"/>
          <w:sz w:val="32"/>
          <w:szCs w:val="32"/>
          <w:lang w:val="en-US" w:eastAsia="zh-CN"/>
        </w:rPr>
      </w:pPr>
      <w:bookmarkStart w:id="70" w:name="_Toc4561"/>
      <w:bookmarkStart w:id="71" w:name="_Toc26779"/>
      <w:r>
        <w:rPr>
          <w:rFonts w:hint="eastAsia" w:ascii="宋体" w:hAnsi="宋体" w:eastAsia="宋体" w:cs="宋体"/>
          <w:b/>
          <w:bCs/>
          <w:color w:val="auto"/>
          <w:spacing w:val="-7"/>
          <w:sz w:val="32"/>
          <w:szCs w:val="32"/>
          <w:lang w:val="en-US" w:eastAsia="zh-CN"/>
        </w:rPr>
        <w:br w:type="page"/>
      </w:r>
    </w:p>
    <w:p w14:paraId="7C343B74">
      <w:pPr>
        <w:numPr>
          <w:ilvl w:val="0"/>
          <w:numId w:val="0"/>
        </w:numPr>
        <w:spacing w:before="117" w:line="360" w:lineRule="auto"/>
        <w:ind w:right="20" w:rightChars="0"/>
        <w:jc w:val="center"/>
        <w:outlineLvl w:val="0"/>
        <w:rPr>
          <w:rFonts w:hint="eastAsia" w:ascii="华文中宋" w:hAnsi="华文中宋" w:eastAsia="华文中宋" w:cs="华文中宋"/>
          <w:b/>
          <w:bCs/>
          <w:color w:val="auto"/>
          <w:spacing w:val="-7"/>
          <w:sz w:val="36"/>
          <w:szCs w:val="36"/>
          <w:lang w:val="en-US" w:eastAsia="zh-CN"/>
        </w:rPr>
      </w:pPr>
      <w:bookmarkStart w:id="72" w:name="_Toc95"/>
      <w:r>
        <w:rPr>
          <w:rFonts w:hint="eastAsia" w:ascii="华文中宋" w:hAnsi="华文中宋" w:eastAsia="华文中宋" w:cs="华文中宋"/>
          <w:b/>
          <w:bCs/>
          <w:color w:val="auto"/>
          <w:spacing w:val="-7"/>
          <w:sz w:val="36"/>
          <w:szCs w:val="36"/>
          <w:lang w:val="en-US" w:eastAsia="zh-CN"/>
        </w:rPr>
        <w:t>第五章  采购需求</w:t>
      </w:r>
      <w:bookmarkEnd w:id="72"/>
    </w:p>
    <w:p w14:paraId="1FFF660C">
      <w:pPr>
        <w:numPr>
          <w:ilvl w:val="0"/>
          <w:numId w:val="3"/>
        </w:numPr>
        <w:outlineLvl w:val="9"/>
        <w:rPr>
          <w:rFonts w:hint="eastAsia" w:ascii="宋体" w:hAnsi="宋体" w:eastAsia="宋体" w:cs="宋体"/>
          <w:b/>
          <w:bCs/>
          <w:sz w:val="32"/>
          <w:szCs w:val="32"/>
        </w:rPr>
      </w:pPr>
      <w:bookmarkStart w:id="73" w:name="_Toc24936"/>
      <w:r>
        <w:rPr>
          <w:rFonts w:hint="eastAsia" w:ascii="宋体" w:hAnsi="宋体" w:eastAsia="宋体" w:cs="宋体"/>
          <w:b/>
          <w:bCs/>
          <w:sz w:val="32"/>
          <w:szCs w:val="32"/>
        </w:rPr>
        <w:t>货物服务清单及技术要求/服务需求：</w:t>
      </w:r>
      <w:bookmarkEnd w:id="73"/>
    </w:p>
    <w:p w14:paraId="45E09553">
      <w:pPr>
        <w:numPr>
          <w:ilvl w:val="0"/>
          <w:numId w:val="0"/>
        </w:numPr>
        <w:ind w:left="105" w:leftChars="0"/>
        <w:outlineLvl w:val="9"/>
        <w:rPr>
          <w:rFonts w:hint="eastAsia" w:ascii="宋体" w:hAnsi="宋体" w:eastAsia="宋体" w:cs="宋体"/>
          <w:b/>
          <w:bCs/>
          <w:sz w:val="32"/>
          <w:szCs w:val="32"/>
        </w:rPr>
      </w:pPr>
    </w:p>
    <w:p w14:paraId="35FF9A84">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1、本次招标范围：</w:t>
      </w:r>
      <w:r>
        <w:rPr>
          <w:rFonts w:hint="eastAsia" w:ascii="宋体" w:hAnsi="宋体" w:eastAsia="宋体" w:cs="宋体"/>
          <w:sz w:val="24"/>
          <w:szCs w:val="24"/>
          <w:lang w:val="en-US" w:eastAsia="zh-CN"/>
        </w:rPr>
        <w:t>具体内容详见工程量清单及施工图纸全部内容。</w:t>
      </w:r>
    </w:p>
    <w:p w14:paraId="0788708D">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2、工期：60日历天。</w:t>
      </w:r>
    </w:p>
    <w:p w14:paraId="5C679F16">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3、质量标准：达到国家工程施工质量验收合格标准。</w:t>
      </w:r>
    </w:p>
    <w:p w14:paraId="7597B02C">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4、项目分包：本项目不允许分包</w:t>
      </w:r>
    </w:p>
    <w:p w14:paraId="6E6AA9E7">
      <w:pPr>
        <w:pStyle w:val="38"/>
        <w:rPr>
          <w:rFonts w:hint="eastAsia"/>
          <w:color w:val="auto"/>
        </w:rPr>
      </w:pPr>
      <w:r>
        <w:rPr>
          <w:rFonts w:hint="eastAsia"/>
          <w:color w:val="auto"/>
        </w:rPr>
        <w:br w:type="page"/>
      </w:r>
      <w:bookmarkStart w:id="74" w:name="_Toc511899299"/>
      <w:bookmarkEnd w:id="74"/>
      <w:bookmarkStart w:id="75" w:name="_Toc4562"/>
      <w:r>
        <w:rPr>
          <w:rFonts w:hint="eastAsia" w:ascii="宋体" w:hAnsi="宋体" w:eastAsia="宋体" w:cs="宋体"/>
          <w:b/>
          <w:bCs/>
          <w:snapToGrid w:val="0"/>
          <w:color w:val="000000"/>
          <w:kern w:val="0"/>
          <w:sz w:val="32"/>
          <w:szCs w:val="32"/>
          <w:lang w:val="en-US" w:eastAsia="en-US" w:bidi="ar-SA"/>
        </w:rPr>
        <w:t>二、商务要求</w:t>
      </w:r>
      <w:bookmarkEnd w:id="75"/>
    </w:p>
    <w:p w14:paraId="125C1751">
      <w:pPr>
        <w:rPr>
          <w:rFonts w:hint="eastAsia"/>
        </w:rPr>
      </w:pPr>
      <w:r>
        <w:rPr>
          <w:rFonts w:hint="eastAsia" w:ascii="宋体" w:hAnsi="宋体"/>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789"/>
        <w:gridCol w:w="6522"/>
      </w:tblGrid>
      <w:tr w14:paraId="0073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14:paraId="2DBC1AC7">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89" w:type="dxa"/>
            <w:tcBorders>
              <w:top w:val="single" w:color="auto" w:sz="4" w:space="0"/>
              <w:left w:val="nil"/>
              <w:bottom w:val="single" w:color="auto" w:sz="4" w:space="0"/>
              <w:right w:val="single" w:color="auto" w:sz="4" w:space="0"/>
            </w:tcBorders>
            <w:noWrap w:val="0"/>
            <w:vAlign w:val="center"/>
          </w:tcPr>
          <w:p w14:paraId="054DEA8D">
            <w:pPr>
              <w:jc w:val="center"/>
              <w:rPr>
                <w:rFonts w:hint="eastAsia" w:ascii="宋体" w:hAnsi="宋体" w:eastAsia="宋体" w:cs="宋体"/>
                <w:b/>
                <w:bCs/>
                <w:sz w:val="24"/>
                <w:szCs w:val="24"/>
              </w:rPr>
            </w:pPr>
            <w:r>
              <w:rPr>
                <w:rFonts w:hint="eastAsia" w:ascii="宋体" w:hAnsi="宋体" w:eastAsia="宋体" w:cs="宋体"/>
                <w:b/>
                <w:bCs/>
                <w:sz w:val="24"/>
                <w:szCs w:val="24"/>
              </w:rPr>
              <w:t>内容</w:t>
            </w:r>
          </w:p>
        </w:tc>
        <w:tc>
          <w:tcPr>
            <w:tcW w:w="6522" w:type="dxa"/>
            <w:tcBorders>
              <w:top w:val="single" w:color="auto" w:sz="4" w:space="0"/>
              <w:left w:val="nil"/>
              <w:bottom w:val="single" w:color="auto" w:sz="4" w:space="0"/>
              <w:right w:val="single" w:color="auto" w:sz="4" w:space="0"/>
            </w:tcBorders>
            <w:noWrap w:val="0"/>
            <w:vAlign w:val="center"/>
          </w:tcPr>
          <w:p w14:paraId="3D97F37B">
            <w:pPr>
              <w:ind w:firstLine="3055" w:firstLineChars="1268"/>
              <w:jc w:val="both"/>
              <w:rPr>
                <w:rFonts w:hint="eastAsia" w:ascii="宋体" w:hAnsi="宋体" w:eastAsia="宋体" w:cs="宋体"/>
                <w:b/>
                <w:bCs/>
                <w:sz w:val="24"/>
                <w:szCs w:val="24"/>
              </w:rPr>
            </w:pPr>
            <w:r>
              <w:rPr>
                <w:rFonts w:hint="eastAsia" w:ascii="宋体" w:hAnsi="宋体" w:eastAsia="宋体" w:cs="宋体"/>
                <w:b/>
                <w:bCs/>
                <w:sz w:val="24"/>
                <w:szCs w:val="24"/>
              </w:rPr>
              <w:t>要   求</w:t>
            </w:r>
          </w:p>
        </w:tc>
      </w:tr>
      <w:tr w14:paraId="4471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14:paraId="31D7BB01">
            <w:pPr>
              <w:jc w:val="center"/>
              <w:rPr>
                <w:rFonts w:hint="eastAsia" w:ascii="宋体" w:hAnsi="宋体" w:eastAsia="宋体" w:cs="宋体"/>
                <w:sz w:val="24"/>
                <w:szCs w:val="24"/>
              </w:rPr>
            </w:pPr>
            <w:r>
              <w:rPr>
                <w:rFonts w:hint="eastAsia" w:ascii="宋体" w:hAnsi="宋体" w:eastAsia="宋体" w:cs="宋体"/>
                <w:sz w:val="24"/>
                <w:szCs w:val="24"/>
              </w:rPr>
              <w:t>1</w:t>
            </w:r>
          </w:p>
        </w:tc>
        <w:tc>
          <w:tcPr>
            <w:tcW w:w="1789" w:type="dxa"/>
            <w:tcBorders>
              <w:top w:val="single" w:color="auto" w:sz="4" w:space="0"/>
              <w:left w:val="nil"/>
              <w:bottom w:val="single" w:color="auto" w:sz="4" w:space="0"/>
              <w:right w:val="single" w:color="auto" w:sz="4" w:space="0"/>
            </w:tcBorders>
            <w:noWrap w:val="0"/>
            <w:vAlign w:val="center"/>
          </w:tcPr>
          <w:p w14:paraId="594219EA">
            <w:pPr>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6522" w:type="dxa"/>
            <w:tcBorders>
              <w:top w:val="single" w:color="auto" w:sz="4" w:space="0"/>
              <w:left w:val="nil"/>
              <w:bottom w:val="single" w:color="auto" w:sz="4" w:space="0"/>
              <w:right w:val="single" w:color="auto" w:sz="4" w:space="0"/>
            </w:tcBorders>
            <w:noWrap w:val="0"/>
            <w:vAlign w:val="center"/>
          </w:tcPr>
          <w:p w14:paraId="2BA419CF">
            <w:pPr>
              <w:jc w:val="both"/>
              <w:rPr>
                <w:rFonts w:hint="eastAsia" w:ascii="宋体" w:hAnsi="宋体" w:eastAsia="宋体" w:cs="宋体"/>
                <w:sz w:val="24"/>
                <w:szCs w:val="24"/>
              </w:rPr>
            </w:pPr>
            <w:r>
              <w:rPr>
                <w:rFonts w:hint="eastAsia" w:ascii="宋体" w:hAnsi="宋体" w:eastAsia="宋体" w:cs="宋体"/>
                <w:sz w:val="24"/>
                <w:szCs w:val="24"/>
                <w:lang w:val="en-US" w:eastAsia="zh-CN"/>
              </w:rPr>
              <w:t>自工程竣工验收合格之日起 1 年</w:t>
            </w:r>
          </w:p>
        </w:tc>
      </w:tr>
      <w:tr w14:paraId="3B90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12" w:type="dxa"/>
            <w:tcBorders>
              <w:top w:val="single" w:color="auto" w:sz="4" w:space="0"/>
              <w:left w:val="single" w:color="auto" w:sz="4" w:space="0"/>
              <w:right w:val="single" w:color="auto" w:sz="4" w:space="0"/>
            </w:tcBorders>
            <w:noWrap w:val="0"/>
            <w:vAlign w:val="center"/>
          </w:tcPr>
          <w:p w14:paraId="7CAE66EF">
            <w:pPr>
              <w:jc w:val="center"/>
              <w:rPr>
                <w:rFonts w:hint="eastAsia" w:ascii="宋体" w:hAnsi="宋体" w:eastAsia="宋体" w:cs="宋体"/>
                <w:sz w:val="24"/>
                <w:szCs w:val="24"/>
              </w:rPr>
            </w:pPr>
            <w:r>
              <w:rPr>
                <w:rFonts w:hint="eastAsia" w:ascii="宋体" w:hAnsi="宋体" w:eastAsia="宋体" w:cs="宋体"/>
                <w:sz w:val="24"/>
                <w:szCs w:val="24"/>
              </w:rPr>
              <w:t>2</w:t>
            </w:r>
          </w:p>
        </w:tc>
        <w:tc>
          <w:tcPr>
            <w:tcW w:w="1789" w:type="dxa"/>
            <w:tcBorders>
              <w:top w:val="single" w:color="auto" w:sz="4" w:space="0"/>
              <w:left w:val="nil"/>
              <w:right w:val="single" w:color="auto" w:sz="4" w:space="0"/>
            </w:tcBorders>
            <w:noWrap w:val="0"/>
            <w:vAlign w:val="center"/>
          </w:tcPr>
          <w:p w14:paraId="6A3B308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工期</w:t>
            </w:r>
          </w:p>
        </w:tc>
        <w:tc>
          <w:tcPr>
            <w:tcW w:w="6522" w:type="dxa"/>
            <w:tcBorders>
              <w:top w:val="single" w:color="auto" w:sz="4" w:space="0"/>
              <w:left w:val="nil"/>
              <w:bottom w:val="single" w:color="auto" w:sz="4" w:space="0"/>
              <w:right w:val="single" w:color="auto" w:sz="4" w:space="0"/>
            </w:tcBorders>
            <w:noWrap w:val="0"/>
            <w:vAlign w:val="center"/>
          </w:tcPr>
          <w:p w14:paraId="51BA696C">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60日历天</w:t>
            </w:r>
          </w:p>
        </w:tc>
      </w:tr>
      <w:tr w14:paraId="1C2D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14:paraId="02D7A904">
            <w:pPr>
              <w:jc w:val="center"/>
              <w:rPr>
                <w:rFonts w:hint="eastAsia" w:ascii="宋体" w:hAnsi="宋体" w:eastAsia="宋体" w:cs="宋体"/>
                <w:sz w:val="24"/>
                <w:szCs w:val="24"/>
              </w:rPr>
            </w:pPr>
            <w:r>
              <w:rPr>
                <w:rFonts w:hint="eastAsia" w:ascii="宋体" w:hAnsi="宋体" w:eastAsia="宋体" w:cs="宋体"/>
                <w:sz w:val="24"/>
                <w:szCs w:val="24"/>
              </w:rPr>
              <w:t>3</w:t>
            </w:r>
          </w:p>
        </w:tc>
        <w:tc>
          <w:tcPr>
            <w:tcW w:w="1789" w:type="dxa"/>
            <w:tcBorders>
              <w:top w:val="single" w:color="auto" w:sz="4" w:space="0"/>
              <w:left w:val="nil"/>
              <w:bottom w:val="single" w:color="auto" w:sz="4" w:space="0"/>
              <w:right w:val="single" w:color="auto" w:sz="4" w:space="0"/>
            </w:tcBorders>
            <w:noWrap w:val="0"/>
            <w:vAlign w:val="center"/>
          </w:tcPr>
          <w:p w14:paraId="3C305B98">
            <w:pPr>
              <w:jc w:val="center"/>
              <w:rPr>
                <w:rFonts w:hint="eastAsia" w:ascii="宋体" w:hAnsi="宋体" w:eastAsia="宋体" w:cs="宋体"/>
                <w:sz w:val="24"/>
                <w:szCs w:val="24"/>
              </w:rPr>
            </w:pPr>
            <w:r>
              <w:rPr>
                <w:rFonts w:hint="eastAsia" w:ascii="宋体" w:hAnsi="宋体" w:eastAsia="宋体" w:cs="宋体"/>
                <w:sz w:val="24"/>
                <w:szCs w:val="24"/>
              </w:rPr>
              <w:t>售后服务</w:t>
            </w:r>
          </w:p>
        </w:tc>
        <w:tc>
          <w:tcPr>
            <w:tcW w:w="6522" w:type="dxa"/>
            <w:tcBorders>
              <w:top w:val="single" w:color="auto" w:sz="4" w:space="0"/>
              <w:left w:val="nil"/>
              <w:bottom w:val="single" w:color="auto" w:sz="4" w:space="0"/>
              <w:right w:val="single" w:color="auto" w:sz="4" w:space="0"/>
            </w:tcBorders>
            <w:noWrap w:val="0"/>
            <w:vAlign w:val="center"/>
          </w:tcPr>
          <w:p w14:paraId="11C90F57">
            <w:pPr>
              <w:jc w:val="both"/>
              <w:rPr>
                <w:rFonts w:hint="eastAsia" w:ascii="宋体" w:hAnsi="宋体" w:eastAsia="宋体" w:cs="宋体"/>
                <w:sz w:val="24"/>
                <w:szCs w:val="24"/>
              </w:rPr>
            </w:pPr>
            <w:r>
              <w:rPr>
                <w:rFonts w:hint="eastAsia" w:ascii="宋体" w:hAnsi="宋体" w:eastAsia="宋体" w:cs="宋体"/>
                <w:color w:val="auto"/>
                <w:sz w:val="24"/>
                <w:szCs w:val="24"/>
              </w:rPr>
              <w:t xml:space="preserve">满足招标人要求  </w:t>
            </w:r>
          </w:p>
        </w:tc>
      </w:tr>
      <w:tr w14:paraId="43CF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14:paraId="20DDAC59">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789" w:type="dxa"/>
            <w:tcBorders>
              <w:top w:val="single" w:color="auto" w:sz="4" w:space="0"/>
              <w:left w:val="nil"/>
              <w:bottom w:val="single" w:color="auto" w:sz="4" w:space="0"/>
              <w:right w:val="single" w:color="auto" w:sz="4" w:space="0"/>
            </w:tcBorders>
            <w:noWrap w:val="0"/>
            <w:vAlign w:val="center"/>
          </w:tcPr>
          <w:p w14:paraId="6FE0E4E5">
            <w:pPr>
              <w:jc w:val="center"/>
              <w:rPr>
                <w:rFonts w:hint="eastAsia" w:ascii="宋体" w:hAnsi="宋体" w:eastAsia="宋体" w:cs="宋体"/>
                <w:sz w:val="24"/>
                <w:szCs w:val="24"/>
              </w:rPr>
            </w:pPr>
            <w:r>
              <w:rPr>
                <w:rFonts w:hint="eastAsia" w:ascii="宋体" w:hAnsi="宋体" w:eastAsia="宋体" w:cs="宋体"/>
                <w:sz w:val="24"/>
                <w:szCs w:val="24"/>
              </w:rPr>
              <w:t>验收</w:t>
            </w:r>
          </w:p>
        </w:tc>
        <w:tc>
          <w:tcPr>
            <w:tcW w:w="6522" w:type="dxa"/>
            <w:tcBorders>
              <w:top w:val="single" w:color="auto" w:sz="4" w:space="0"/>
              <w:left w:val="nil"/>
              <w:bottom w:val="single" w:color="auto" w:sz="4" w:space="0"/>
              <w:right w:val="single" w:color="auto" w:sz="4" w:space="0"/>
            </w:tcBorders>
            <w:noWrap w:val="0"/>
            <w:vAlign w:val="center"/>
          </w:tcPr>
          <w:p w14:paraId="0370CF86">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由采购人组织验收</w:t>
            </w:r>
          </w:p>
        </w:tc>
      </w:tr>
      <w:tr w14:paraId="4E7F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14:paraId="58B6632E">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789" w:type="dxa"/>
            <w:tcBorders>
              <w:top w:val="single" w:color="auto" w:sz="4" w:space="0"/>
              <w:left w:val="nil"/>
              <w:bottom w:val="single" w:color="auto" w:sz="4" w:space="0"/>
              <w:right w:val="single" w:color="auto" w:sz="4" w:space="0"/>
            </w:tcBorders>
            <w:noWrap w:val="0"/>
            <w:vAlign w:val="center"/>
          </w:tcPr>
          <w:p w14:paraId="7E38A91F">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付款</w:t>
            </w:r>
          </w:p>
        </w:tc>
        <w:tc>
          <w:tcPr>
            <w:tcW w:w="6522" w:type="dxa"/>
            <w:tcBorders>
              <w:top w:val="single" w:color="auto" w:sz="4" w:space="0"/>
              <w:left w:val="nil"/>
              <w:bottom w:val="single" w:color="auto" w:sz="4" w:space="0"/>
              <w:right w:val="single" w:color="auto" w:sz="4" w:space="0"/>
            </w:tcBorders>
            <w:noWrap w:val="0"/>
            <w:vAlign w:val="top"/>
          </w:tcPr>
          <w:p w14:paraId="1D32995C">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付款人：皖北卫生职业学院</w:t>
            </w:r>
          </w:p>
          <w:p w14:paraId="0C983741">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付款方式：</w:t>
            </w:r>
            <w:r>
              <w:rPr>
                <w:rFonts w:hint="eastAsia" w:ascii="宋体" w:hAnsi="宋体" w:eastAsia="宋体" w:cs="宋体"/>
                <w:color w:val="000000" w:themeColor="text1"/>
                <w:sz w:val="24"/>
                <w:szCs w:val="24"/>
                <w:lang w:val="en-US" w:eastAsia="zh-CN"/>
                <w14:textFill>
                  <w14:solidFill>
                    <w14:schemeClr w14:val="tx1"/>
                  </w14:solidFill>
                </w14:textFill>
              </w:rPr>
              <w:t>签订合同</w:t>
            </w:r>
            <w:r>
              <w:rPr>
                <w:rFonts w:hint="eastAsia" w:ascii="宋体" w:hAnsi="宋体" w:eastAsia="宋体" w:cs="宋体"/>
                <w:color w:val="000000" w:themeColor="text1"/>
                <w:sz w:val="24"/>
                <w:szCs w:val="24"/>
                <w14:textFill>
                  <w14:solidFill>
                    <w14:schemeClr w14:val="tx1"/>
                  </w14:solidFill>
                </w14:textFill>
              </w:rPr>
              <w:t>主材进场后7个工作日内支付</w:t>
            </w:r>
            <w:r>
              <w:rPr>
                <w:rFonts w:hint="eastAsia" w:ascii="宋体" w:hAnsi="宋体" w:eastAsia="宋体" w:cs="宋体"/>
                <w:color w:val="000000" w:themeColor="text1"/>
                <w:sz w:val="24"/>
                <w:szCs w:val="24"/>
                <w:lang w:val="en-US" w:eastAsia="zh-CN"/>
                <w14:textFill>
                  <w14:solidFill>
                    <w14:schemeClr w14:val="tx1"/>
                  </w14:solidFill>
                </w14:textFill>
              </w:rPr>
              <w:t>合同价款的</w:t>
            </w:r>
            <w:r>
              <w:rPr>
                <w:rFonts w:hint="eastAsia" w:ascii="宋体" w:hAnsi="宋体" w:eastAsia="宋体" w:cs="宋体"/>
                <w:color w:val="000000" w:themeColor="text1"/>
                <w:sz w:val="24"/>
                <w:szCs w:val="24"/>
                <w14:textFill>
                  <w14:solidFill>
                    <w14:schemeClr w14:val="tx1"/>
                  </w14:solidFill>
                </w14:textFill>
              </w:rPr>
              <w:t>40%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项目竣工验收合格后付至合同价款的80%； 审计后付至审计后价格的 100%。 </w:t>
            </w:r>
          </w:p>
          <w:p w14:paraId="1D351A3B">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注：成交供应商在最终结算价款拨付前需缴纳审定价款的 3%作为质保金。缴纳方式：保函（电子、纸质）保证保险、或现金、支票等</w:t>
            </w:r>
            <w:r>
              <w:rPr>
                <w:rFonts w:hint="eastAsia" w:ascii="宋体" w:hAnsi="宋体" w:eastAsia="宋体" w:cs="宋体"/>
                <w:color w:val="000000" w:themeColor="text1"/>
                <w:sz w:val="24"/>
                <w:szCs w:val="24"/>
                <w14:textFill>
                  <w14:solidFill>
                    <w14:schemeClr w14:val="tx1"/>
                  </w14:solidFill>
                </w14:textFill>
              </w:rPr>
              <w:t xml:space="preserve">          </w:t>
            </w:r>
          </w:p>
        </w:tc>
      </w:tr>
      <w:tr w14:paraId="1A11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14:paraId="754125C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789" w:type="dxa"/>
            <w:tcBorders>
              <w:top w:val="single" w:color="auto" w:sz="4" w:space="0"/>
              <w:left w:val="nil"/>
              <w:bottom w:val="single" w:color="auto" w:sz="4" w:space="0"/>
              <w:right w:val="single" w:color="auto" w:sz="4" w:space="0"/>
            </w:tcBorders>
            <w:noWrap w:val="0"/>
            <w:vAlign w:val="center"/>
          </w:tcPr>
          <w:p w14:paraId="35FC3B27">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履约保证金</w:t>
            </w:r>
          </w:p>
        </w:tc>
        <w:tc>
          <w:tcPr>
            <w:tcW w:w="6522" w:type="dxa"/>
            <w:tcBorders>
              <w:top w:val="single" w:color="auto" w:sz="4" w:space="0"/>
              <w:left w:val="nil"/>
              <w:bottom w:val="single" w:color="auto" w:sz="4" w:space="0"/>
              <w:right w:val="single" w:color="auto" w:sz="4" w:space="0"/>
            </w:tcBorders>
            <w:noWrap w:val="0"/>
            <w:vAlign w:val="center"/>
          </w:tcPr>
          <w:p w14:paraId="06E5D6D0">
            <w:pPr>
              <w:jc w:val="both"/>
              <w:rPr>
                <w:rFonts w:hint="eastAsia" w:ascii="宋体" w:hAnsi="宋体" w:eastAsia="宋体" w:cs="宋体"/>
                <w:color w:val="000000" w:themeColor="text1"/>
                <w:sz w:val="24"/>
                <w:szCs w:val="24"/>
                <w14:textFill>
                  <w14:solidFill>
                    <w14:schemeClr w14:val="tx1"/>
                  </w14:solidFill>
                </w14:textFill>
              </w:rPr>
            </w:pPr>
          </w:p>
          <w:p w14:paraId="35166379">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履约保证金：签订合同前向采购人缴纳合同金额的</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%的履约保证金。</w:t>
            </w:r>
          </w:p>
          <w:p w14:paraId="41DD3313">
            <w:pPr>
              <w:pStyle w:val="21"/>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履约保证金形式：转账、电汇、保函、保险等。</w:t>
            </w:r>
          </w:p>
        </w:tc>
      </w:tr>
    </w:tbl>
    <w:p w14:paraId="27CE254F">
      <w:r>
        <w:rPr>
          <w:rFonts w:hint="eastAsia" w:ascii="宋体" w:hAnsi="宋体"/>
        </w:rPr>
        <w:t xml:space="preserve">  </w:t>
      </w:r>
    </w:p>
    <w:p w14:paraId="732C2196">
      <w:pPr>
        <w:numPr>
          <w:ilvl w:val="0"/>
          <w:numId w:val="0"/>
        </w:numPr>
        <w:spacing w:before="117" w:line="360" w:lineRule="auto"/>
        <w:ind w:right="20" w:rightChars="0"/>
        <w:jc w:val="both"/>
        <w:rPr>
          <w:rFonts w:hint="eastAsia" w:ascii="宋体" w:hAnsi="宋体" w:eastAsia="宋体" w:cs="宋体"/>
          <w:b/>
          <w:bCs/>
          <w:color w:val="auto"/>
          <w:spacing w:val="-7"/>
          <w:sz w:val="32"/>
          <w:szCs w:val="32"/>
          <w:lang w:val="en-US" w:eastAsia="zh-CN"/>
        </w:rPr>
      </w:pPr>
      <w:r>
        <w:rPr>
          <w:rFonts w:hint="eastAsia"/>
          <w:color w:val="auto"/>
        </w:rPr>
        <w:br w:type="page"/>
      </w:r>
    </w:p>
    <w:p w14:paraId="6137EC83">
      <w:pPr>
        <w:numPr>
          <w:ilvl w:val="0"/>
          <w:numId w:val="0"/>
        </w:numPr>
        <w:spacing w:before="117" w:line="360" w:lineRule="auto"/>
        <w:ind w:right="20" w:rightChars="0"/>
        <w:jc w:val="center"/>
        <w:outlineLvl w:val="0"/>
        <w:rPr>
          <w:rFonts w:hint="eastAsia" w:ascii="华文中宋" w:hAnsi="华文中宋" w:eastAsia="华文中宋" w:cs="华文中宋"/>
          <w:b/>
          <w:bCs/>
          <w:color w:val="auto"/>
          <w:sz w:val="36"/>
          <w:szCs w:val="36"/>
        </w:rPr>
      </w:pPr>
      <w:bookmarkStart w:id="76" w:name="_Toc21465"/>
      <w:r>
        <w:rPr>
          <w:rFonts w:hint="eastAsia" w:ascii="华文中宋" w:hAnsi="华文中宋" w:eastAsia="华文中宋" w:cs="华文中宋"/>
          <w:b/>
          <w:bCs/>
          <w:color w:val="auto"/>
          <w:spacing w:val="-7"/>
          <w:sz w:val="36"/>
          <w:szCs w:val="36"/>
        </w:rPr>
        <w:t>第</w:t>
      </w:r>
      <w:r>
        <w:rPr>
          <w:rFonts w:hint="eastAsia" w:ascii="华文中宋" w:hAnsi="华文中宋" w:eastAsia="华文中宋" w:cs="华文中宋"/>
          <w:b/>
          <w:bCs/>
          <w:color w:val="auto"/>
          <w:spacing w:val="-7"/>
          <w:sz w:val="36"/>
          <w:szCs w:val="36"/>
          <w:lang w:val="en-US" w:eastAsia="zh-CN"/>
        </w:rPr>
        <w:t>六</w:t>
      </w:r>
      <w:r>
        <w:rPr>
          <w:rFonts w:hint="eastAsia" w:ascii="华文中宋" w:hAnsi="华文中宋" w:eastAsia="华文中宋" w:cs="华文中宋"/>
          <w:b/>
          <w:bCs/>
          <w:color w:val="auto"/>
          <w:spacing w:val="-7"/>
          <w:sz w:val="36"/>
          <w:szCs w:val="36"/>
        </w:rPr>
        <w:t>章</w:t>
      </w:r>
      <w:r>
        <w:rPr>
          <w:rFonts w:hint="eastAsia" w:ascii="华文中宋" w:hAnsi="华文中宋" w:eastAsia="华文中宋" w:cs="华文中宋"/>
          <w:b/>
          <w:bCs/>
          <w:color w:val="auto"/>
          <w:spacing w:val="-7"/>
          <w:sz w:val="36"/>
          <w:szCs w:val="36"/>
          <w:lang w:val="en-US" w:eastAsia="zh-CN"/>
        </w:rPr>
        <w:t xml:space="preserve">   </w:t>
      </w:r>
      <w:r>
        <w:rPr>
          <w:rFonts w:hint="eastAsia" w:ascii="华文中宋" w:hAnsi="华文中宋" w:eastAsia="华文中宋" w:cs="华文中宋"/>
          <w:b/>
          <w:bCs/>
          <w:color w:val="auto"/>
          <w:spacing w:val="-7"/>
          <w:sz w:val="36"/>
          <w:szCs w:val="36"/>
        </w:rPr>
        <w:t>响应文件格式</w:t>
      </w:r>
      <w:bookmarkEnd w:id="70"/>
      <w:bookmarkEnd w:id="71"/>
      <w:bookmarkEnd w:id="76"/>
    </w:p>
    <w:p w14:paraId="1935024F">
      <w:pPr>
        <w:pStyle w:val="8"/>
        <w:spacing w:line="247" w:lineRule="auto"/>
        <w:rPr>
          <w:rFonts w:hint="eastAsia" w:ascii="宋体" w:hAnsi="宋体" w:eastAsia="宋体" w:cs="宋体"/>
          <w:color w:val="auto"/>
          <w:sz w:val="22"/>
          <w:szCs w:val="22"/>
        </w:rPr>
      </w:pPr>
    </w:p>
    <w:p w14:paraId="5A927F61">
      <w:pPr>
        <w:spacing w:before="136" w:line="199" w:lineRule="auto"/>
        <w:jc w:val="center"/>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u w:val="single"/>
          <w:lang w:val="en-US" w:eastAsia="zh-CN"/>
        </w:rPr>
        <w:t xml:space="preserve">        </w:t>
      </w:r>
      <w:r>
        <w:rPr>
          <w:rFonts w:hint="eastAsia" w:ascii="宋体" w:hAnsi="宋体" w:eastAsia="宋体" w:cs="宋体"/>
          <w:color w:val="auto"/>
          <w:spacing w:val="-7"/>
          <w:sz w:val="24"/>
          <w:szCs w:val="24"/>
        </w:rPr>
        <w:t>（项目名称）</w:t>
      </w:r>
    </w:p>
    <w:p w14:paraId="14C8F881">
      <w:pPr>
        <w:spacing w:before="136" w:line="199" w:lineRule="auto"/>
        <w:jc w:val="center"/>
        <w:rPr>
          <w:rFonts w:hint="default"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项目编号：</w:t>
      </w:r>
    </w:p>
    <w:p w14:paraId="00427146">
      <w:pPr>
        <w:spacing w:line="60" w:lineRule="exact"/>
        <w:ind w:left="921"/>
        <w:rPr>
          <w:rFonts w:hint="eastAsia" w:ascii="宋体" w:hAnsi="宋体" w:eastAsia="宋体" w:cs="宋体"/>
          <w:color w:val="auto"/>
          <w:sz w:val="22"/>
          <w:szCs w:val="22"/>
          <w:lang w:val="en-US" w:eastAsia="zh-CN"/>
        </w:rPr>
      </w:pPr>
    </w:p>
    <w:p w14:paraId="1AF1DD0F">
      <w:pPr>
        <w:pStyle w:val="8"/>
        <w:spacing w:line="304" w:lineRule="auto"/>
        <w:rPr>
          <w:rFonts w:hint="eastAsia" w:ascii="宋体" w:hAnsi="宋体" w:eastAsia="宋体" w:cs="宋体"/>
          <w:color w:val="auto"/>
          <w:sz w:val="22"/>
          <w:szCs w:val="22"/>
        </w:rPr>
      </w:pPr>
    </w:p>
    <w:p w14:paraId="3D717DB6">
      <w:pPr>
        <w:pStyle w:val="8"/>
        <w:spacing w:line="304" w:lineRule="auto"/>
        <w:rPr>
          <w:rFonts w:hint="eastAsia" w:ascii="宋体" w:hAnsi="宋体" w:eastAsia="宋体" w:cs="宋体"/>
          <w:color w:val="auto"/>
          <w:sz w:val="22"/>
          <w:szCs w:val="22"/>
        </w:rPr>
      </w:pPr>
    </w:p>
    <w:p w14:paraId="4C9EDB99">
      <w:pPr>
        <w:pStyle w:val="3"/>
        <w:rPr>
          <w:rFonts w:hint="eastAsia" w:ascii="宋体" w:hAnsi="宋体" w:eastAsia="宋体" w:cs="宋体"/>
          <w:color w:val="auto"/>
        </w:rPr>
      </w:pPr>
      <w:bookmarkStart w:id="77" w:name="bookmark162"/>
      <w:bookmarkEnd w:id="77"/>
    </w:p>
    <w:p w14:paraId="0501695F">
      <w:pPr>
        <w:rPr>
          <w:rFonts w:hint="eastAsia" w:ascii="宋体" w:hAnsi="宋体" w:eastAsia="宋体" w:cs="宋体"/>
          <w:color w:val="auto"/>
        </w:rPr>
      </w:pPr>
    </w:p>
    <w:p w14:paraId="63C4D3E8">
      <w:pPr>
        <w:spacing w:before="212" w:line="210" w:lineRule="auto"/>
        <w:jc w:val="center"/>
        <w:rPr>
          <w:rFonts w:hint="eastAsia" w:ascii="宋体" w:hAnsi="宋体" w:eastAsia="宋体" w:cs="宋体"/>
          <w:b/>
          <w:bCs/>
          <w:color w:val="auto"/>
          <w:spacing w:val="-30"/>
          <w:sz w:val="22"/>
          <w:szCs w:val="22"/>
        </w:rPr>
      </w:pPr>
    </w:p>
    <w:p w14:paraId="2B0C34FE">
      <w:pPr>
        <w:spacing w:before="212" w:line="210" w:lineRule="auto"/>
        <w:jc w:val="center"/>
        <w:rPr>
          <w:rFonts w:hint="eastAsia" w:ascii="宋体" w:hAnsi="宋体" w:eastAsia="宋体" w:cs="宋体"/>
          <w:color w:val="auto"/>
          <w:sz w:val="48"/>
          <w:szCs w:val="48"/>
        </w:rPr>
      </w:pPr>
      <w:r>
        <w:rPr>
          <w:rFonts w:hint="eastAsia" w:ascii="宋体" w:hAnsi="宋体" w:eastAsia="宋体" w:cs="宋体"/>
          <w:b/>
          <w:bCs/>
          <w:color w:val="auto"/>
          <w:spacing w:val="-30"/>
          <w:sz w:val="48"/>
          <w:szCs w:val="48"/>
        </w:rPr>
        <w:t>响应文件</w:t>
      </w:r>
    </w:p>
    <w:p w14:paraId="043AE4AD">
      <w:pPr>
        <w:pStyle w:val="8"/>
        <w:spacing w:line="242" w:lineRule="auto"/>
        <w:rPr>
          <w:rFonts w:hint="eastAsia" w:ascii="宋体" w:hAnsi="宋体" w:eastAsia="宋体" w:cs="宋体"/>
          <w:color w:val="auto"/>
          <w:sz w:val="22"/>
          <w:szCs w:val="22"/>
        </w:rPr>
      </w:pPr>
    </w:p>
    <w:p w14:paraId="0E75BFF3">
      <w:pPr>
        <w:pStyle w:val="8"/>
        <w:spacing w:line="242" w:lineRule="auto"/>
        <w:rPr>
          <w:rFonts w:hint="eastAsia" w:ascii="宋体" w:hAnsi="宋体" w:eastAsia="宋体" w:cs="宋体"/>
          <w:color w:val="auto"/>
          <w:sz w:val="22"/>
          <w:szCs w:val="22"/>
        </w:rPr>
      </w:pPr>
    </w:p>
    <w:p w14:paraId="527F2240">
      <w:pPr>
        <w:pStyle w:val="8"/>
        <w:spacing w:line="242" w:lineRule="auto"/>
        <w:rPr>
          <w:rFonts w:hint="eastAsia" w:ascii="宋体" w:hAnsi="宋体" w:eastAsia="宋体" w:cs="宋体"/>
          <w:color w:val="auto"/>
          <w:sz w:val="22"/>
          <w:szCs w:val="22"/>
        </w:rPr>
      </w:pPr>
    </w:p>
    <w:p w14:paraId="7B9BECCC">
      <w:pPr>
        <w:pStyle w:val="8"/>
        <w:spacing w:line="242" w:lineRule="auto"/>
        <w:rPr>
          <w:rFonts w:hint="eastAsia" w:ascii="宋体" w:hAnsi="宋体" w:eastAsia="宋体" w:cs="宋体"/>
          <w:color w:val="auto"/>
          <w:sz w:val="22"/>
          <w:szCs w:val="22"/>
        </w:rPr>
      </w:pPr>
    </w:p>
    <w:p w14:paraId="7B5E7A7D">
      <w:pPr>
        <w:pStyle w:val="8"/>
        <w:spacing w:line="243" w:lineRule="auto"/>
        <w:rPr>
          <w:rFonts w:hint="eastAsia" w:ascii="宋体" w:hAnsi="宋体" w:eastAsia="宋体" w:cs="宋体"/>
          <w:color w:val="auto"/>
          <w:sz w:val="22"/>
          <w:szCs w:val="22"/>
        </w:rPr>
      </w:pPr>
    </w:p>
    <w:p w14:paraId="141C42C6">
      <w:pPr>
        <w:pStyle w:val="8"/>
        <w:spacing w:line="243" w:lineRule="auto"/>
        <w:rPr>
          <w:rFonts w:hint="eastAsia" w:ascii="宋体" w:hAnsi="宋体" w:eastAsia="宋体" w:cs="宋体"/>
          <w:color w:val="auto"/>
          <w:sz w:val="22"/>
          <w:szCs w:val="22"/>
        </w:rPr>
      </w:pPr>
    </w:p>
    <w:p w14:paraId="3E8EE583">
      <w:pPr>
        <w:pStyle w:val="8"/>
        <w:spacing w:line="243" w:lineRule="auto"/>
        <w:rPr>
          <w:rFonts w:hint="eastAsia" w:ascii="宋体" w:hAnsi="宋体" w:eastAsia="宋体" w:cs="宋体"/>
          <w:color w:val="auto"/>
          <w:sz w:val="22"/>
          <w:szCs w:val="22"/>
        </w:rPr>
      </w:pPr>
    </w:p>
    <w:p w14:paraId="66EEF99D">
      <w:pPr>
        <w:pStyle w:val="8"/>
        <w:spacing w:line="243" w:lineRule="auto"/>
        <w:rPr>
          <w:rFonts w:hint="eastAsia" w:ascii="宋体" w:hAnsi="宋体" w:eastAsia="宋体" w:cs="宋体"/>
          <w:color w:val="auto"/>
          <w:sz w:val="22"/>
          <w:szCs w:val="22"/>
        </w:rPr>
      </w:pPr>
    </w:p>
    <w:p w14:paraId="2FF895EB">
      <w:pPr>
        <w:pStyle w:val="8"/>
        <w:spacing w:line="243" w:lineRule="auto"/>
        <w:rPr>
          <w:rFonts w:hint="eastAsia" w:ascii="宋体" w:hAnsi="宋体" w:eastAsia="宋体" w:cs="宋体"/>
          <w:color w:val="auto"/>
          <w:sz w:val="22"/>
          <w:szCs w:val="22"/>
        </w:rPr>
      </w:pPr>
    </w:p>
    <w:p w14:paraId="2FD5BF77">
      <w:pPr>
        <w:pStyle w:val="8"/>
        <w:spacing w:line="243" w:lineRule="auto"/>
        <w:rPr>
          <w:rFonts w:hint="eastAsia" w:ascii="宋体" w:hAnsi="宋体" w:eastAsia="宋体" w:cs="宋体"/>
          <w:color w:val="auto"/>
          <w:sz w:val="22"/>
          <w:szCs w:val="22"/>
        </w:rPr>
      </w:pPr>
    </w:p>
    <w:p w14:paraId="0E6B4270">
      <w:pPr>
        <w:pStyle w:val="8"/>
        <w:spacing w:line="243" w:lineRule="auto"/>
        <w:rPr>
          <w:rFonts w:hint="eastAsia" w:ascii="宋体" w:hAnsi="宋体" w:eastAsia="宋体" w:cs="宋体"/>
          <w:color w:val="auto"/>
          <w:sz w:val="22"/>
          <w:szCs w:val="22"/>
        </w:rPr>
      </w:pPr>
    </w:p>
    <w:p w14:paraId="1671F7CB">
      <w:pPr>
        <w:pStyle w:val="8"/>
        <w:spacing w:line="243" w:lineRule="auto"/>
        <w:rPr>
          <w:rFonts w:hint="eastAsia" w:ascii="宋体" w:hAnsi="宋体" w:eastAsia="宋体" w:cs="宋体"/>
          <w:color w:val="auto"/>
          <w:sz w:val="22"/>
          <w:szCs w:val="22"/>
        </w:rPr>
      </w:pPr>
    </w:p>
    <w:p w14:paraId="6AAC1E29">
      <w:pPr>
        <w:pStyle w:val="8"/>
        <w:spacing w:line="243" w:lineRule="auto"/>
        <w:rPr>
          <w:rFonts w:hint="eastAsia" w:ascii="宋体" w:hAnsi="宋体" w:eastAsia="宋体" w:cs="宋体"/>
          <w:color w:val="auto"/>
          <w:sz w:val="22"/>
          <w:szCs w:val="22"/>
        </w:rPr>
      </w:pPr>
    </w:p>
    <w:p w14:paraId="69B1D03A">
      <w:pPr>
        <w:spacing w:before="137" w:line="360" w:lineRule="auto"/>
        <w:ind w:firstLine="2970" w:firstLineChars="1500"/>
        <w:rPr>
          <w:rFonts w:hint="eastAsia" w:ascii="宋体" w:hAnsi="宋体" w:eastAsia="宋体" w:cs="宋体"/>
          <w:color w:val="auto"/>
          <w:sz w:val="24"/>
          <w:szCs w:val="24"/>
          <w:u w:val="single"/>
          <w:lang w:val="en-US" w:eastAsia="zh-CN"/>
        </w:rPr>
      </w:pPr>
      <w:r>
        <w:rPr>
          <w:rFonts w:hint="eastAsia" w:ascii="宋体" w:hAnsi="宋体" w:eastAsia="宋体" w:cs="宋体"/>
          <w:color w:val="auto"/>
          <w:spacing w:val="-21"/>
          <w:sz w:val="24"/>
          <w:szCs w:val="24"/>
        </w:rPr>
        <w:t>供应商：</w:t>
      </w:r>
      <w:r>
        <w:rPr>
          <w:rFonts w:hint="eastAsia" w:ascii="宋体" w:hAnsi="宋体" w:eastAsia="宋体" w:cs="宋体"/>
          <w:color w:val="auto"/>
          <w:spacing w:val="-21"/>
          <w:sz w:val="24"/>
          <w:szCs w:val="24"/>
          <w:u w:val="single"/>
          <w:lang w:val="en-US" w:eastAsia="zh-CN"/>
        </w:rPr>
        <w:t xml:space="preserve">                            （盖章）   </w:t>
      </w:r>
    </w:p>
    <w:p w14:paraId="2B68BADF">
      <w:pPr>
        <w:spacing w:line="360" w:lineRule="auto"/>
        <w:ind w:left="3381"/>
        <w:rPr>
          <w:rFonts w:hint="eastAsia" w:ascii="宋体" w:hAnsi="宋体" w:eastAsia="宋体" w:cs="宋体"/>
          <w:color w:val="auto"/>
          <w:sz w:val="24"/>
          <w:szCs w:val="24"/>
        </w:rPr>
      </w:pPr>
    </w:p>
    <w:p w14:paraId="25D80A23">
      <w:pPr>
        <w:spacing w:before="136" w:line="360" w:lineRule="auto"/>
        <w:jc w:val="center"/>
        <w:rPr>
          <w:rFonts w:hint="eastAsia" w:ascii="宋体" w:hAnsi="宋体" w:eastAsia="宋体" w:cs="宋体"/>
          <w:color w:val="auto"/>
          <w:sz w:val="24"/>
          <w:szCs w:val="24"/>
        </w:rPr>
      </w:pPr>
      <w:r>
        <w:rPr>
          <w:rFonts w:hint="eastAsia" w:ascii="宋体" w:hAnsi="宋体" w:eastAsia="宋体" w:cs="宋体"/>
          <w:color w:val="auto"/>
          <w:spacing w:val="-15"/>
          <w:sz w:val="24"/>
          <w:szCs w:val="24"/>
        </w:rPr>
        <w:t>年</w:t>
      </w:r>
      <w:r>
        <w:rPr>
          <w:rFonts w:hint="eastAsia" w:ascii="宋体" w:hAnsi="宋体" w:eastAsia="宋体" w:cs="宋体"/>
          <w:color w:val="auto"/>
          <w:spacing w:val="-15"/>
          <w:sz w:val="24"/>
          <w:szCs w:val="24"/>
          <w:lang w:val="en-US" w:eastAsia="zh-CN"/>
        </w:rPr>
        <w:t xml:space="preserve">    </w:t>
      </w:r>
      <w:r>
        <w:rPr>
          <w:rFonts w:hint="eastAsia" w:ascii="宋体" w:hAnsi="宋体" w:eastAsia="宋体" w:cs="宋体"/>
          <w:color w:val="auto"/>
          <w:spacing w:val="-15"/>
          <w:sz w:val="24"/>
          <w:szCs w:val="24"/>
        </w:rPr>
        <w:t>月</w:t>
      </w:r>
      <w:r>
        <w:rPr>
          <w:rFonts w:hint="eastAsia" w:ascii="宋体" w:hAnsi="宋体" w:eastAsia="宋体" w:cs="宋体"/>
          <w:color w:val="auto"/>
          <w:spacing w:val="-15"/>
          <w:sz w:val="24"/>
          <w:szCs w:val="24"/>
          <w:lang w:val="en-US" w:eastAsia="zh-CN"/>
        </w:rPr>
        <w:t xml:space="preserve">    </w:t>
      </w:r>
      <w:r>
        <w:rPr>
          <w:rFonts w:hint="eastAsia" w:ascii="宋体" w:hAnsi="宋体" w:eastAsia="宋体" w:cs="宋体"/>
          <w:color w:val="auto"/>
          <w:spacing w:val="-15"/>
          <w:sz w:val="24"/>
          <w:szCs w:val="24"/>
        </w:rPr>
        <w:t>日</w:t>
      </w:r>
    </w:p>
    <w:p w14:paraId="219F41F3">
      <w:pPr>
        <w:spacing w:line="60" w:lineRule="exact"/>
        <w:ind w:left="4641"/>
        <w:rPr>
          <w:rFonts w:hint="eastAsia" w:ascii="宋体" w:hAnsi="宋体" w:eastAsia="宋体" w:cs="宋体"/>
          <w:color w:val="auto"/>
          <w:sz w:val="22"/>
          <w:szCs w:val="22"/>
        </w:rPr>
      </w:pPr>
    </w:p>
    <w:p w14:paraId="63AA5394">
      <w:pPr>
        <w:spacing w:line="60" w:lineRule="exact"/>
        <w:rPr>
          <w:rFonts w:hint="eastAsia" w:ascii="宋体" w:hAnsi="宋体" w:eastAsia="宋体" w:cs="宋体"/>
          <w:color w:val="auto"/>
          <w:sz w:val="22"/>
          <w:szCs w:val="22"/>
        </w:rPr>
        <w:sectPr>
          <w:footerReference r:id="rId7" w:type="default"/>
          <w:pgSz w:w="11906" w:h="16838"/>
          <w:pgMar w:top="1440" w:right="1236" w:bottom="1440" w:left="1236" w:header="0" w:footer="1701" w:gutter="0"/>
          <w:pgNumType w:fmt="decimal"/>
          <w:cols w:space="0" w:num="1"/>
          <w:rtlGutter w:val="0"/>
          <w:docGrid w:linePitch="0" w:charSpace="0"/>
        </w:sectPr>
      </w:pPr>
    </w:p>
    <w:p w14:paraId="29C543CA">
      <w:pPr>
        <w:rPr>
          <w:rFonts w:hint="eastAsia" w:ascii="宋体" w:hAnsi="宋体" w:eastAsia="宋体" w:cs="宋体"/>
          <w:b/>
          <w:bCs/>
          <w:snapToGrid w:val="0"/>
          <w:color w:val="000000"/>
          <w:kern w:val="0"/>
          <w:sz w:val="32"/>
          <w:szCs w:val="32"/>
          <w:lang w:val="en-US" w:eastAsia="en-US" w:bidi="ar-SA"/>
        </w:rPr>
      </w:pPr>
      <w:bookmarkStart w:id="78" w:name="bookmark163"/>
      <w:bookmarkEnd w:id="78"/>
      <w:bookmarkStart w:id="79" w:name="bookmark164"/>
      <w:bookmarkEnd w:id="79"/>
      <w:r>
        <w:rPr>
          <w:rFonts w:hint="eastAsia" w:ascii="宋体" w:hAnsi="宋体" w:eastAsia="宋体" w:cs="宋体"/>
          <w:b/>
          <w:bCs/>
          <w:snapToGrid w:val="0"/>
          <w:color w:val="000000"/>
          <w:kern w:val="0"/>
          <w:sz w:val="32"/>
          <w:szCs w:val="32"/>
          <w:lang w:val="en-US" w:eastAsia="en-US" w:bidi="ar-SA"/>
        </w:rPr>
        <w:br w:type="page"/>
      </w:r>
    </w:p>
    <w:p w14:paraId="478DF71F">
      <w:pPr>
        <w:numPr>
          <w:ilvl w:val="0"/>
          <w:numId w:val="4"/>
        </w:numPr>
        <w:snapToGrid w:val="0"/>
        <w:spacing w:line="480" w:lineRule="auto"/>
        <w:ind w:firstLine="643" w:firstLineChars="200"/>
        <w:jc w:val="center"/>
        <w:outlineLvl w:val="1"/>
        <w:rPr>
          <w:rFonts w:hint="eastAsia" w:ascii="宋体" w:hAnsi="宋体" w:eastAsia="宋体" w:cs="宋体"/>
          <w:b/>
          <w:bCs/>
          <w:snapToGrid w:val="0"/>
          <w:color w:val="000000"/>
          <w:kern w:val="0"/>
          <w:sz w:val="32"/>
          <w:szCs w:val="32"/>
          <w:lang w:val="en-US" w:eastAsia="en-US" w:bidi="ar-SA"/>
        </w:rPr>
      </w:pPr>
      <w:bookmarkStart w:id="80" w:name="_Toc20454"/>
      <w:r>
        <w:rPr>
          <w:rFonts w:hint="eastAsia" w:ascii="宋体" w:hAnsi="宋体" w:eastAsia="宋体" w:cs="宋体"/>
          <w:b/>
          <w:bCs/>
          <w:snapToGrid w:val="0"/>
          <w:color w:val="000000"/>
          <w:kern w:val="0"/>
          <w:sz w:val="32"/>
          <w:szCs w:val="32"/>
          <w:lang w:val="en-US" w:eastAsia="en-US" w:bidi="ar-SA"/>
        </w:rPr>
        <w:t>响应函</w:t>
      </w:r>
      <w:bookmarkEnd w:id="80"/>
    </w:p>
    <w:p w14:paraId="50935BC5">
      <w:pPr>
        <w:numPr>
          <w:ilvl w:val="0"/>
          <w:numId w:val="0"/>
        </w:numPr>
        <w:snapToGrid w:val="0"/>
        <w:spacing w:line="480" w:lineRule="auto"/>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(采购人名称）：</w:t>
      </w:r>
    </w:p>
    <w:p w14:paraId="5B5F8B90">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1.</w:t>
      </w:r>
      <w:r>
        <w:rPr>
          <w:rFonts w:hint="eastAsia" w:ascii="宋体" w:hAnsi="宋体" w:eastAsia="宋体" w:cs="宋体"/>
          <w:i w:val="0"/>
          <w:iCs w:val="0"/>
          <w:color w:val="auto"/>
          <w:sz w:val="24"/>
          <w:szCs w:val="24"/>
        </w:rPr>
        <w:t>我方已仔细研究了</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(项目名称)采购文件的全部内容，愿意以含税价人民币(大写）</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w:t>
      </w:r>
      <w:r>
        <w:rPr>
          <w:rFonts w:hint="eastAsia" w:ascii="宋体" w:hAnsi="宋体" w:eastAsia="宋体" w:cs="宋体"/>
          <w:i w:val="0"/>
          <w:iCs w:val="0"/>
          <w:color w:val="auto"/>
          <w:sz w:val="24"/>
          <w:szCs w:val="24"/>
        </w:rPr>
        <w:t>的报价</w:t>
      </w:r>
      <w:r>
        <w:rPr>
          <w:rFonts w:hint="eastAsia" w:ascii="宋体" w:hAnsi="宋体" w:eastAsia="宋体" w:cs="宋体"/>
          <w:i w:val="0"/>
          <w:iCs w:val="0"/>
          <w:color w:val="auto"/>
          <w:sz w:val="24"/>
          <w:szCs w:val="24"/>
          <w:lang w:val="en-US" w:eastAsia="zh-CN"/>
        </w:rPr>
        <w:t>完成、提供本项目工程</w:t>
      </w:r>
      <w:r>
        <w:rPr>
          <w:rFonts w:hint="eastAsia" w:ascii="宋体" w:hAnsi="宋体" w:eastAsia="宋体" w:cs="宋体"/>
          <w:i w:val="0"/>
          <w:iCs w:val="0"/>
          <w:color w:val="auto"/>
          <w:sz w:val="24"/>
          <w:szCs w:val="24"/>
        </w:rPr>
        <w:t>，并按合同约定履行义务。</w:t>
      </w:r>
    </w:p>
    <w:p w14:paraId="4163B8BE">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2.我方的响应文件包括下列内容：</w:t>
      </w:r>
    </w:p>
    <w:p w14:paraId="012AB042">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(1)响应函；</w:t>
      </w:r>
    </w:p>
    <w:p w14:paraId="00E742A0">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(2)授权委托书(如有）；</w:t>
      </w:r>
    </w:p>
    <w:p w14:paraId="3B4B807F">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(5)商务和技术</w:t>
      </w:r>
      <w:r>
        <w:rPr>
          <w:rFonts w:hint="eastAsia" w:ascii="宋体" w:hAnsi="宋体" w:eastAsia="宋体" w:cs="宋体"/>
          <w:i w:val="0"/>
          <w:iCs w:val="0"/>
          <w:color w:val="auto"/>
          <w:sz w:val="24"/>
          <w:szCs w:val="24"/>
          <w:lang w:val="en-US" w:eastAsia="zh-CN"/>
        </w:rPr>
        <w:t>响应表</w:t>
      </w:r>
      <w:r>
        <w:rPr>
          <w:rFonts w:hint="eastAsia" w:ascii="宋体" w:hAnsi="宋体" w:eastAsia="宋体" w:cs="宋体"/>
          <w:i w:val="0"/>
          <w:iCs w:val="0"/>
          <w:color w:val="auto"/>
          <w:sz w:val="24"/>
          <w:szCs w:val="24"/>
        </w:rPr>
        <w:t>；</w:t>
      </w:r>
    </w:p>
    <w:p w14:paraId="0562F4AB">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(6)报价表；</w:t>
      </w:r>
    </w:p>
    <w:p w14:paraId="70E91093">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(7)资格审查资料；</w:t>
      </w:r>
    </w:p>
    <w:p w14:paraId="206C5DE0">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(8)响应方案；</w:t>
      </w:r>
    </w:p>
    <w:p w14:paraId="39B7C305">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响应文件的上述组成部分如存在内容不一致的，以响应函为准。</w:t>
      </w:r>
    </w:p>
    <w:p w14:paraId="6F64B953">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3.我方承诺除商务和技术偏差表列出的偏差外我方响应采购文件的全部要求。</w:t>
      </w:r>
    </w:p>
    <w:p w14:paraId="7ECB007E">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4.我方承诺在采购文件规定的响应文件有效期内不撤销响应文件。</w:t>
      </w:r>
    </w:p>
    <w:p w14:paraId="4195ACFE">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5.如我方成交，我方承诺：</w:t>
      </w:r>
    </w:p>
    <w:p w14:paraId="758E3380">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(1)在收到成交通知书后，在成交通知书规定的期限内与你方签订合同；</w:t>
      </w:r>
    </w:p>
    <w:p w14:paraId="3EE44FD9">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(2)在签订合同时不向你方提出附加条件；</w:t>
      </w:r>
    </w:p>
    <w:p w14:paraId="6384820B">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3</w:t>
      </w:r>
      <w:r>
        <w:rPr>
          <w:rFonts w:hint="eastAsia" w:ascii="宋体" w:hAnsi="宋体" w:eastAsia="宋体" w:cs="宋体"/>
          <w:i w:val="0"/>
          <w:iCs w:val="0"/>
          <w:color w:val="auto"/>
          <w:sz w:val="24"/>
          <w:szCs w:val="24"/>
        </w:rPr>
        <w:t>)在合同约定的期限内完成合同规定的全部义务。</w:t>
      </w:r>
    </w:p>
    <w:p w14:paraId="510B4085">
      <w:pPr>
        <w:snapToGrid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6.我方在此声明，所递交的响应文件及有关资料内容完整、真实和准确，且不存在第一章“询比采购公告”中规定的供应商不得存在的情形。</w:t>
      </w:r>
    </w:p>
    <w:p w14:paraId="0CB7E835">
      <w:pPr>
        <w:spacing w:before="118" w:line="240" w:lineRule="auto"/>
        <w:jc w:val="right"/>
        <w:rPr>
          <w:rFonts w:hint="eastAsia" w:ascii="宋体" w:hAnsi="宋体" w:eastAsia="宋体" w:cs="宋体"/>
          <w:color w:val="auto"/>
          <w:sz w:val="24"/>
          <w:szCs w:val="24"/>
        </w:rPr>
      </w:pPr>
      <w:r>
        <w:rPr>
          <w:rFonts w:hint="eastAsia" w:ascii="宋体" w:hAnsi="宋体" w:eastAsia="宋体" w:cs="宋体"/>
          <w:color w:val="auto"/>
          <w:spacing w:val="-6"/>
          <w:sz w:val="24"/>
          <w:szCs w:val="24"/>
        </w:rPr>
        <w:t>供应商：</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lang w:val="en-US" w:eastAsia="zh-CN"/>
        </w:rPr>
        <w:t xml:space="preserve"> </w:t>
      </w:r>
      <w:r>
        <w:rPr>
          <w:rFonts w:hint="eastAsia" w:ascii="宋体" w:hAnsi="宋体" w:eastAsia="宋体" w:cs="宋体"/>
          <w:color w:val="auto"/>
          <w:spacing w:val="-6"/>
          <w:sz w:val="24"/>
          <w:szCs w:val="24"/>
          <w:u w:val="none" w:color="auto"/>
        </w:rPr>
        <w:t>(盖单位章）</w:t>
      </w:r>
    </w:p>
    <w:p w14:paraId="2C098FD9">
      <w:pPr>
        <w:spacing w:before="297" w:line="240" w:lineRule="auto"/>
        <w:ind w:right="14"/>
        <w:jc w:val="right"/>
        <w:rPr>
          <w:rFonts w:hint="eastAsia" w:ascii="宋体" w:hAnsi="宋体" w:eastAsia="宋体" w:cs="宋体"/>
          <w:color w:val="auto"/>
          <w:spacing w:val="7"/>
          <w:sz w:val="24"/>
          <w:szCs w:val="24"/>
          <w:u w:val="none" w:color="auto"/>
          <w:lang w:eastAsia="zh-CN"/>
        </w:rPr>
      </w:pPr>
      <w:r>
        <w:rPr>
          <w:rFonts w:hint="eastAsia" w:ascii="宋体" w:hAnsi="宋体" w:eastAsia="宋体" w:cs="宋体"/>
          <w:color w:val="auto"/>
          <w:spacing w:val="-15"/>
          <w:sz w:val="24"/>
          <w:szCs w:val="24"/>
        </w:rPr>
        <w:t>法定代表人(单位负责人</w:t>
      </w: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u w:val="single"/>
          <w:lang w:val="en-US" w:eastAsia="zh-CN"/>
        </w:rPr>
        <w:t xml:space="preserve">               </w:t>
      </w:r>
      <w:r>
        <w:rPr>
          <w:rFonts w:hint="eastAsia" w:ascii="宋体" w:hAnsi="宋体" w:eastAsia="宋体" w:cs="宋体"/>
          <w:color w:val="auto"/>
          <w:spacing w:val="-13"/>
          <w:sz w:val="24"/>
          <w:szCs w:val="24"/>
          <w:lang w:val="en-US" w:eastAsia="zh-CN"/>
        </w:rPr>
        <w:t xml:space="preserve"> </w:t>
      </w:r>
      <w:r>
        <w:rPr>
          <w:rFonts w:hint="eastAsia" w:ascii="宋体" w:hAnsi="宋体" w:eastAsia="宋体" w:cs="宋体"/>
          <w:color w:val="auto"/>
          <w:spacing w:val="-15"/>
          <w:sz w:val="24"/>
          <w:szCs w:val="24"/>
          <w:u w:val="none" w:color="auto"/>
        </w:rPr>
        <w:t>(签字）</w:t>
      </w:r>
    </w:p>
    <w:p w14:paraId="004ABE65">
      <w:pPr>
        <w:spacing w:before="292" w:line="240" w:lineRule="auto"/>
        <w:ind w:right="120"/>
        <w:jc w:val="right"/>
        <w:rPr>
          <w:rFonts w:hint="eastAsia" w:ascii="宋体" w:hAnsi="宋体" w:eastAsia="宋体" w:cs="宋体"/>
          <w:color w:val="auto"/>
          <w:sz w:val="24"/>
          <w:szCs w:val="24"/>
          <w:u w:val="none" w:color="auto"/>
          <w:lang w:eastAsia="zh-CN"/>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1"/>
          <w:sz w:val="24"/>
          <w:szCs w:val="24"/>
          <w:u w:val="none" w:color="auto"/>
        </w:rPr>
        <w:t>(签字）</w:t>
      </w:r>
    </w:p>
    <w:p w14:paraId="5F7F3F45">
      <w:pPr>
        <w:spacing w:before="313" w:line="240" w:lineRule="auto"/>
        <w:ind w:right="54"/>
        <w:jc w:val="right"/>
        <w:rPr>
          <w:rFonts w:hint="eastAsia" w:ascii="宋体" w:hAnsi="宋体" w:eastAsia="宋体" w:cs="宋体"/>
          <w:color w:val="auto"/>
          <w:sz w:val="24"/>
          <w:szCs w:val="24"/>
        </w:rPr>
      </w:pPr>
      <w:r>
        <w:rPr>
          <w:rFonts w:hint="eastAsia" w:ascii="宋体" w:hAnsi="宋体" w:eastAsia="宋体" w:cs="宋体"/>
          <w:color w:val="auto"/>
          <w:spacing w:val="-15"/>
          <w:sz w:val="24"/>
          <w:szCs w:val="24"/>
        </w:rPr>
        <w:t>年</w:t>
      </w:r>
      <w:r>
        <w:rPr>
          <w:rFonts w:hint="eastAsia" w:ascii="宋体" w:hAnsi="宋体" w:eastAsia="宋体" w:cs="宋体"/>
          <w:color w:val="auto"/>
          <w:spacing w:val="-15"/>
          <w:sz w:val="24"/>
          <w:szCs w:val="24"/>
          <w:lang w:val="en-US" w:eastAsia="zh-CN"/>
        </w:rPr>
        <w:t xml:space="preserve">   </w:t>
      </w:r>
      <w:r>
        <w:rPr>
          <w:rFonts w:hint="eastAsia" w:ascii="宋体" w:hAnsi="宋体" w:eastAsia="宋体" w:cs="宋体"/>
          <w:color w:val="auto"/>
          <w:spacing w:val="-15"/>
          <w:sz w:val="24"/>
          <w:szCs w:val="24"/>
        </w:rPr>
        <w:t>月</w:t>
      </w:r>
      <w:r>
        <w:rPr>
          <w:rFonts w:hint="eastAsia" w:ascii="宋体" w:hAnsi="宋体" w:eastAsia="宋体" w:cs="宋体"/>
          <w:color w:val="auto"/>
          <w:spacing w:val="-15"/>
          <w:sz w:val="24"/>
          <w:szCs w:val="24"/>
          <w:lang w:val="en-US" w:eastAsia="zh-CN"/>
        </w:rPr>
        <w:t xml:space="preserve">    </w:t>
      </w:r>
      <w:r>
        <w:rPr>
          <w:rFonts w:hint="eastAsia" w:ascii="宋体" w:hAnsi="宋体" w:eastAsia="宋体" w:cs="宋体"/>
          <w:color w:val="auto"/>
          <w:spacing w:val="-15"/>
          <w:sz w:val="24"/>
          <w:szCs w:val="24"/>
        </w:rPr>
        <w:t>日</w:t>
      </w:r>
    </w:p>
    <w:p w14:paraId="17321819">
      <w:pPr>
        <w:spacing w:line="60" w:lineRule="exact"/>
        <w:rPr>
          <w:rFonts w:hint="eastAsia" w:ascii="宋体" w:hAnsi="宋体" w:eastAsia="宋体" w:cs="宋体"/>
          <w:color w:val="auto"/>
          <w:sz w:val="24"/>
          <w:szCs w:val="24"/>
          <w:lang w:eastAsia="zh-CN"/>
        </w:rPr>
        <w:sectPr>
          <w:footerReference r:id="rId8" w:type="default"/>
          <w:type w:val="continuous"/>
          <w:pgSz w:w="11906" w:h="16838"/>
          <w:pgMar w:top="1440" w:right="1800" w:bottom="1440" w:left="1800" w:header="0" w:footer="1703" w:gutter="0"/>
          <w:pgNumType w:fmt="decimal"/>
          <w:cols w:equalWidth="0" w:num="1">
            <w:col w:w="12502"/>
          </w:cols>
        </w:sectPr>
      </w:pPr>
    </w:p>
    <w:p w14:paraId="608BD91D">
      <w:pPr>
        <w:numPr>
          <w:ilvl w:val="0"/>
          <w:numId w:val="0"/>
        </w:numPr>
        <w:snapToGrid w:val="0"/>
        <w:spacing w:line="480" w:lineRule="auto"/>
        <w:jc w:val="center"/>
        <w:outlineLvl w:val="1"/>
        <w:rPr>
          <w:rFonts w:hint="eastAsia" w:ascii="宋体" w:hAnsi="宋体" w:eastAsia="宋体" w:cs="宋体"/>
          <w:b/>
          <w:bCs/>
          <w:snapToGrid w:val="0"/>
          <w:color w:val="000000"/>
          <w:kern w:val="0"/>
          <w:sz w:val="32"/>
          <w:szCs w:val="32"/>
          <w:lang w:val="en-US" w:eastAsia="en-US" w:bidi="ar-SA"/>
        </w:rPr>
      </w:pPr>
      <w:bookmarkStart w:id="81" w:name="bookmark166"/>
      <w:bookmarkEnd w:id="81"/>
      <w:bookmarkStart w:id="82" w:name="_Toc30017"/>
      <w:r>
        <w:rPr>
          <w:rFonts w:hint="eastAsia" w:ascii="宋体" w:hAnsi="宋体" w:eastAsia="宋体" w:cs="宋体"/>
          <w:b/>
          <w:bCs/>
          <w:snapToGrid w:val="0"/>
          <w:color w:val="000000"/>
          <w:kern w:val="0"/>
          <w:sz w:val="32"/>
          <w:szCs w:val="32"/>
          <w:lang w:val="en-US" w:eastAsia="zh-CN" w:bidi="ar-SA"/>
        </w:rPr>
        <w:t>二、</w:t>
      </w:r>
      <w:bookmarkStart w:id="83" w:name="_Toc17071"/>
      <w:bookmarkStart w:id="84" w:name="_Toc2351"/>
      <w:bookmarkStart w:id="85" w:name="_Toc20538"/>
      <w:bookmarkStart w:id="86" w:name="_Toc582"/>
      <w:bookmarkStart w:id="87" w:name="_Toc14551"/>
      <w:r>
        <w:rPr>
          <w:rFonts w:hint="eastAsia" w:ascii="宋体" w:hAnsi="宋体" w:eastAsia="宋体" w:cs="宋体"/>
          <w:b/>
          <w:bCs/>
          <w:snapToGrid w:val="0"/>
          <w:color w:val="000000"/>
          <w:kern w:val="0"/>
          <w:sz w:val="32"/>
          <w:szCs w:val="32"/>
          <w:lang w:val="en-US" w:eastAsia="en-US" w:bidi="ar-SA"/>
        </w:rPr>
        <w:t>报价一览表</w:t>
      </w:r>
      <w:bookmarkEnd w:id="82"/>
      <w:bookmarkEnd w:id="83"/>
      <w:bookmarkEnd w:id="84"/>
      <w:bookmarkEnd w:id="85"/>
      <w:bookmarkEnd w:id="86"/>
      <w:bookmarkEnd w:id="87"/>
    </w:p>
    <w:tbl>
      <w:tblPr>
        <w:tblStyle w:val="22"/>
        <w:tblW w:w="8738"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gridCol w:w="4879"/>
      </w:tblGrid>
      <w:tr w14:paraId="5FC0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859" w:type="dxa"/>
            <w:noWrap w:val="0"/>
            <w:vAlign w:val="center"/>
          </w:tcPr>
          <w:p w14:paraId="012D2216">
            <w:pPr>
              <w:spacing w:line="360" w:lineRule="auto"/>
              <w:jc w:val="center"/>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标题</w:t>
            </w:r>
          </w:p>
        </w:tc>
        <w:tc>
          <w:tcPr>
            <w:tcW w:w="4879" w:type="dxa"/>
            <w:noWrap w:val="0"/>
            <w:vAlign w:val="center"/>
          </w:tcPr>
          <w:p w14:paraId="2A12EA5B">
            <w:pPr>
              <w:spacing w:line="360" w:lineRule="auto"/>
              <w:jc w:val="center"/>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内容</w:t>
            </w:r>
          </w:p>
        </w:tc>
      </w:tr>
      <w:tr w14:paraId="124B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859" w:type="dxa"/>
            <w:noWrap w:val="0"/>
            <w:vAlign w:val="center"/>
          </w:tcPr>
          <w:p w14:paraId="44778342">
            <w:pPr>
              <w:spacing w:line="360" w:lineRule="auto"/>
              <w:jc w:val="center"/>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项目名称</w:t>
            </w:r>
          </w:p>
        </w:tc>
        <w:tc>
          <w:tcPr>
            <w:tcW w:w="4879" w:type="dxa"/>
            <w:noWrap w:val="0"/>
            <w:vAlign w:val="center"/>
          </w:tcPr>
          <w:p w14:paraId="3BE4A335">
            <w:pPr>
              <w:spacing w:line="360" w:lineRule="auto"/>
              <w:jc w:val="center"/>
              <w:outlineLvl w:val="9"/>
              <w:rPr>
                <w:rFonts w:hint="eastAsia" w:ascii="宋体" w:hAnsi="宋体" w:eastAsia="宋体" w:cs="宋体"/>
                <w:color w:val="auto"/>
                <w:sz w:val="24"/>
                <w:szCs w:val="24"/>
              </w:rPr>
            </w:pPr>
          </w:p>
        </w:tc>
      </w:tr>
      <w:tr w14:paraId="6682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859" w:type="dxa"/>
            <w:noWrap w:val="0"/>
            <w:vAlign w:val="center"/>
          </w:tcPr>
          <w:p w14:paraId="6F2D40CC">
            <w:pPr>
              <w:spacing w:line="360" w:lineRule="auto"/>
              <w:jc w:val="center"/>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项目编号</w:t>
            </w:r>
          </w:p>
        </w:tc>
        <w:tc>
          <w:tcPr>
            <w:tcW w:w="4879" w:type="dxa"/>
            <w:noWrap w:val="0"/>
            <w:vAlign w:val="center"/>
          </w:tcPr>
          <w:p w14:paraId="72909654">
            <w:pPr>
              <w:spacing w:line="360" w:lineRule="auto"/>
              <w:jc w:val="center"/>
              <w:outlineLvl w:val="9"/>
              <w:rPr>
                <w:rFonts w:hint="eastAsia" w:ascii="宋体" w:hAnsi="宋体" w:eastAsia="宋体" w:cs="宋体"/>
                <w:color w:val="auto"/>
                <w:sz w:val="24"/>
                <w:szCs w:val="24"/>
                <w:lang w:eastAsia="zh-CN"/>
              </w:rPr>
            </w:pPr>
          </w:p>
        </w:tc>
      </w:tr>
      <w:tr w14:paraId="3211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859" w:type="dxa"/>
            <w:noWrap w:val="0"/>
            <w:vAlign w:val="center"/>
          </w:tcPr>
          <w:p w14:paraId="7F0A6A20">
            <w:pPr>
              <w:spacing w:line="360" w:lineRule="auto"/>
              <w:jc w:val="center"/>
              <w:outlineLvl w:val="9"/>
              <w:rPr>
                <w:rFonts w:hint="eastAsia" w:ascii="宋体" w:hAnsi="宋体" w:eastAsia="宋体" w:cs="宋体"/>
                <w:b/>
                <w:color w:val="auto"/>
                <w:sz w:val="24"/>
                <w:szCs w:val="24"/>
              </w:rPr>
            </w:pP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申请人（单位盖章）</w:t>
            </w:r>
          </w:p>
        </w:tc>
        <w:tc>
          <w:tcPr>
            <w:tcW w:w="4879" w:type="dxa"/>
            <w:noWrap w:val="0"/>
            <w:vAlign w:val="center"/>
          </w:tcPr>
          <w:p w14:paraId="552D9083">
            <w:pPr>
              <w:spacing w:line="360" w:lineRule="auto"/>
              <w:jc w:val="center"/>
              <w:outlineLvl w:val="9"/>
              <w:rPr>
                <w:rFonts w:hint="eastAsia" w:ascii="宋体" w:hAnsi="宋体" w:eastAsia="宋体" w:cs="宋体"/>
                <w:color w:val="auto"/>
                <w:sz w:val="24"/>
                <w:szCs w:val="24"/>
              </w:rPr>
            </w:pPr>
          </w:p>
        </w:tc>
      </w:tr>
      <w:tr w14:paraId="55A9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859" w:type="dxa"/>
            <w:noWrap w:val="0"/>
            <w:vAlign w:val="center"/>
          </w:tcPr>
          <w:p w14:paraId="797F2C53">
            <w:pPr>
              <w:spacing w:line="360" w:lineRule="auto"/>
              <w:jc w:val="center"/>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法定代表人（签字或盖章）或被授权人（签字）</w:t>
            </w:r>
          </w:p>
        </w:tc>
        <w:tc>
          <w:tcPr>
            <w:tcW w:w="4879" w:type="dxa"/>
            <w:noWrap w:val="0"/>
            <w:vAlign w:val="center"/>
          </w:tcPr>
          <w:p w14:paraId="16A9AB21">
            <w:pPr>
              <w:spacing w:line="360" w:lineRule="auto"/>
              <w:jc w:val="center"/>
              <w:outlineLvl w:val="9"/>
              <w:rPr>
                <w:rFonts w:hint="eastAsia" w:ascii="宋体" w:hAnsi="宋体" w:eastAsia="宋体" w:cs="宋体"/>
                <w:b/>
                <w:color w:val="auto"/>
                <w:sz w:val="24"/>
                <w:szCs w:val="24"/>
              </w:rPr>
            </w:pPr>
          </w:p>
        </w:tc>
      </w:tr>
      <w:tr w14:paraId="3FA3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859" w:type="dxa"/>
            <w:noWrap w:val="0"/>
            <w:vAlign w:val="center"/>
          </w:tcPr>
          <w:p w14:paraId="635DB661">
            <w:pPr>
              <w:spacing w:line="360" w:lineRule="auto"/>
              <w:jc w:val="center"/>
              <w:outlineLvl w:val="9"/>
              <w:rPr>
                <w:rFonts w:hint="eastAsia" w:ascii="宋体" w:hAnsi="宋体" w:eastAsia="宋体" w:cs="宋体"/>
                <w:b/>
                <w:color w:val="auto"/>
                <w:sz w:val="24"/>
                <w:szCs w:val="24"/>
              </w:rPr>
            </w:pP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总报价（人民币大写）</w:t>
            </w:r>
          </w:p>
        </w:tc>
        <w:tc>
          <w:tcPr>
            <w:tcW w:w="4879" w:type="dxa"/>
            <w:noWrap w:val="0"/>
            <w:vAlign w:val="center"/>
          </w:tcPr>
          <w:p w14:paraId="2F09A01A">
            <w:pPr>
              <w:spacing w:line="360" w:lineRule="auto"/>
              <w:jc w:val="center"/>
              <w:outlineLvl w:val="9"/>
              <w:rPr>
                <w:rFonts w:hint="eastAsia" w:ascii="宋体" w:hAnsi="宋体" w:eastAsia="宋体" w:cs="宋体"/>
                <w:b/>
                <w:color w:val="auto"/>
                <w:sz w:val="24"/>
                <w:szCs w:val="24"/>
              </w:rPr>
            </w:pPr>
          </w:p>
        </w:tc>
      </w:tr>
      <w:tr w14:paraId="23BA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859" w:type="dxa"/>
            <w:noWrap w:val="0"/>
            <w:vAlign w:val="center"/>
          </w:tcPr>
          <w:p w14:paraId="72FE4D8F">
            <w:pPr>
              <w:spacing w:line="360" w:lineRule="auto"/>
              <w:jc w:val="center"/>
              <w:outlineLvl w:val="9"/>
              <w:rPr>
                <w:rFonts w:hint="eastAsia" w:ascii="宋体" w:hAnsi="宋体" w:eastAsia="宋体" w:cs="宋体"/>
                <w:b/>
                <w:color w:val="auto"/>
                <w:sz w:val="24"/>
                <w:szCs w:val="24"/>
              </w:rPr>
            </w:pP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总报价（人民币小写）</w:t>
            </w:r>
          </w:p>
        </w:tc>
        <w:tc>
          <w:tcPr>
            <w:tcW w:w="4879" w:type="dxa"/>
            <w:noWrap w:val="0"/>
            <w:vAlign w:val="center"/>
          </w:tcPr>
          <w:p w14:paraId="005B9A8B">
            <w:pPr>
              <w:spacing w:line="360" w:lineRule="auto"/>
              <w:jc w:val="center"/>
              <w:outlineLvl w:val="9"/>
              <w:rPr>
                <w:rFonts w:hint="eastAsia" w:ascii="宋体" w:hAnsi="宋体" w:eastAsia="宋体" w:cs="宋体"/>
                <w:b/>
                <w:color w:val="auto"/>
                <w:sz w:val="24"/>
                <w:szCs w:val="24"/>
              </w:rPr>
            </w:pPr>
          </w:p>
        </w:tc>
      </w:tr>
    </w:tbl>
    <w:p w14:paraId="0C3DEBC2">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6FEB4D87">
      <w:pPr>
        <w:numPr>
          <w:ilvl w:val="0"/>
          <w:numId w:val="0"/>
        </w:numPr>
        <w:spacing w:before="91" w:line="213" w:lineRule="auto"/>
        <w:jc w:val="center"/>
        <w:outlineLvl w:val="1"/>
        <w:rPr>
          <w:rFonts w:hint="eastAsia" w:ascii="宋体" w:hAnsi="宋体" w:eastAsia="宋体" w:cs="宋体"/>
          <w:color w:val="auto"/>
          <w:sz w:val="32"/>
          <w:szCs w:val="32"/>
        </w:rPr>
      </w:pPr>
      <w:bookmarkStart w:id="88" w:name="_Toc478"/>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rPr>
        <w:t>授权委托书</w:t>
      </w:r>
      <w:bookmarkEnd w:id="88"/>
    </w:p>
    <w:p w14:paraId="56F7D5EE">
      <w:pPr>
        <w:rPr>
          <w:rFonts w:hint="eastAsia" w:ascii="宋体" w:hAnsi="宋体" w:eastAsia="宋体" w:cs="宋体"/>
          <w:color w:val="auto"/>
          <w:sz w:val="22"/>
          <w:szCs w:val="22"/>
        </w:rPr>
      </w:pPr>
    </w:p>
    <w:p w14:paraId="258805C7">
      <w:pPr>
        <w:spacing w:before="117" w:line="348" w:lineRule="auto"/>
        <w:ind w:right="60" w:firstLine="468" w:firstLineChars="20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本人</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pacing w:val="-3"/>
          <w:sz w:val="24"/>
          <w:szCs w:val="24"/>
          <w:u w:val="single" w:color="auto"/>
        </w:rPr>
        <w:t>（姓名）</w:t>
      </w:r>
      <w:r>
        <w:rPr>
          <w:rFonts w:hint="eastAsia" w:ascii="宋体" w:hAnsi="宋体" w:eastAsia="宋体" w:cs="宋体"/>
          <w:color w:val="auto"/>
          <w:spacing w:val="-3"/>
          <w:sz w:val="24"/>
          <w:szCs w:val="24"/>
        </w:rPr>
        <w:t>系</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pacing w:val="-4"/>
          <w:sz w:val="24"/>
          <w:szCs w:val="24"/>
          <w:u w:val="single" w:color="auto"/>
        </w:rPr>
        <w:t>(供应商名称)</w:t>
      </w:r>
      <w:r>
        <w:rPr>
          <w:rFonts w:hint="eastAsia" w:ascii="宋体" w:hAnsi="宋体" w:eastAsia="宋体" w:cs="宋体"/>
          <w:color w:val="auto"/>
          <w:spacing w:val="-4"/>
          <w:sz w:val="24"/>
          <w:szCs w:val="24"/>
        </w:rPr>
        <w:t>的法定代表人</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6"/>
          <w:sz w:val="24"/>
          <w:szCs w:val="24"/>
        </w:rPr>
        <w:t>单位负责人</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16"/>
          <w:sz w:val="24"/>
          <w:szCs w:val="24"/>
          <w:u w:val="none"/>
        </w:rPr>
        <w:t>，</w:t>
      </w:r>
      <w:r>
        <w:rPr>
          <w:rFonts w:hint="eastAsia" w:ascii="宋体" w:hAnsi="宋体" w:eastAsia="宋体" w:cs="宋体"/>
          <w:color w:val="auto"/>
          <w:spacing w:val="-6"/>
          <w:sz w:val="24"/>
          <w:szCs w:val="24"/>
          <w:u w:val="none"/>
        </w:rPr>
        <w:t>现委托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pacing w:val="-6"/>
          <w:sz w:val="24"/>
          <w:szCs w:val="24"/>
          <w:u w:val="single"/>
        </w:rPr>
        <w:t>(姓名）</w:t>
      </w:r>
      <w:r>
        <w:rPr>
          <w:rFonts w:hint="eastAsia" w:ascii="宋体" w:hAnsi="宋体" w:eastAsia="宋体" w:cs="宋体"/>
          <w:color w:val="auto"/>
          <w:spacing w:val="-6"/>
          <w:sz w:val="24"/>
          <w:szCs w:val="24"/>
          <w:u w:val="none"/>
        </w:rPr>
        <w:t>为我方代理人。代</w:t>
      </w:r>
      <w:r>
        <w:rPr>
          <w:rFonts w:hint="eastAsia" w:ascii="宋体" w:hAnsi="宋体" w:eastAsia="宋体" w:cs="宋体"/>
          <w:color w:val="auto"/>
          <w:spacing w:val="-7"/>
          <w:sz w:val="24"/>
          <w:szCs w:val="24"/>
          <w:u w:val="none"/>
        </w:rPr>
        <w:t>理人根据授权，以我方</w:t>
      </w:r>
      <w:r>
        <w:rPr>
          <w:rFonts w:hint="eastAsia" w:ascii="宋体" w:hAnsi="宋体" w:eastAsia="宋体" w:cs="宋体"/>
          <w:color w:val="auto"/>
          <w:spacing w:val="1"/>
          <w:sz w:val="24"/>
          <w:szCs w:val="24"/>
          <w:u w:val="none"/>
        </w:rPr>
        <w:t>名义签署、澄清确认、递交、撤回、修改</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pacing w:val="1"/>
          <w:sz w:val="24"/>
          <w:szCs w:val="24"/>
          <w:u w:val="single"/>
          <w:lang w:val="en-US" w:eastAsia="zh-CN"/>
        </w:rPr>
        <w:t>（项目名称）</w:t>
      </w:r>
      <w:r>
        <w:rPr>
          <w:rFonts w:hint="eastAsia" w:ascii="宋体" w:hAnsi="宋体" w:eastAsia="宋体" w:cs="宋体"/>
          <w:color w:val="auto"/>
          <w:spacing w:val="1"/>
          <w:sz w:val="24"/>
          <w:szCs w:val="24"/>
        </w:rPr>
        <w:t>询比采购项目响应文件、签订</w:t>
      </w:r>
      <w:r>
        <w:rPr>
          <w:rFonts w:hint="eastAsia" w:ascii="宋体" w:hAnsi="宋体" w:eastAsia="宋体" w:cs="宋体"/>
          <w:color w:val="auto"/>
          <w:spacing w:val="-3"/>
          <w:sz w:val="24"/>
          <w:szCs w:val="24"/>
        </w:rPr>
        <w:t>合同和处理有关事宜，其法律后果由我方承担。</w:t>
      </w:r>
    </w:p>
    <w:p w14:paraId="16765032">
      <w:pPr>
        <w:spacing w:before="90" w:line="360" w:lineRule="auto"/>
        <w:ind w:left="754"/>
        <w:rPr>
          <w:rFonts w:hint="eastAsia" w:ascii="宋体" w:hAnsi="宋体" w:eastAsia="宋体" w:cs="宋体"/>
          <w:color w:val="auto"/>
          <w:sz w:val="24"/>
          <w:szCs w:val="24"/>
          <w:lang w:val="en-US" w:eastAsia="zh-CN"/>
        </w:rPr>
      </w:pPr>
      <w:r>
        <w:rPr>
          <w:rFonts w:hint="eastAsia" w:ascii="宋体" w:hAnsi="宋体" w:eastAsia="宋体" w:cs="宋体"/>
          <w:color w:val="auto"/>
          <w:spacing w:val="-4"/>
          <w:sz w:val="24"/>
          <w:szCs w:val="24"/>
        </w:rPr>
        <w:t>委托期限：</w:t>
      </w:r>
      <w:r>
        <w:rPr>
          <w:rFonts w:hint="eastAsia" w:ascii="宋体" w:hAnsi="宋体" w:eastAsia="宋体" w:cs="宋体"/>
          <w:color w:val="auto"/>
          <w:sz w:val="24"/>
          <w:szCs w:val="24"/>
          <w:lang w:val="en-US" w:eastAsia="zh-CN"/>
        </w:rPr>
        <w:t>。</w:t>
      </w:r>
    </w:p>
    <w:p w14:paraId="46536DA7">
      <w:pPr>
        <w:spacing w:before="90" w:line="360" w:lineRule="auto"/>
        <w:ind w:left="754"/>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代理人无转委托权。</w:t>
      </w:r>
    </w:p>
    <w:p w14:paraId="3D4F5414">
      <w:pPr>
        <w:spacing w:before="90" w:line="360" w:lineRule="auto"/>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附：法定代表人(单位负责人）身份证复印件及委托代理人身份证复印件。</w:t>
      </w:r>
    </w:p>
    <w:tbl>
      <w:tblPr>
        <w:tblStyle w:val="23"/>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0"/>
        <w:gridCol w:w="3749"/>
      </w:tblGrid>
      <w:tr w14:paraId="5ED3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3770" w:type="dxa"/>
          </w:tcPr>
          <w:p w14:paraId="2277EFD7">
            <w:pPr>
              <w:pStyle w:val="8"/>
              <w:widowControl w:val="0"/>
              <w:spacing w:line="293" w:lineRule="auto"/>
              <w:rPr>
                <w:rFonts w:hint="eastAsia" w:ascii="宋体" w:hAnsi="宋体" w:eastAsia="宋体" w:cs="宋体"/>
                <w:color w:val="auto"/>
                <w:sz w:val="22"/>
                <w:szCs w:val="22"/>
                <w:vertAlign w:val="baseline"/>
                <w:lang w:eastAsia="zh-CN"/>
              </w:rPr>
            </w:pPr>
          </w:p>
        </w:tc>
        <w:tc>
          <w:tcPr>
            <w:tcW w:w="3749" w:type="dxa"/>
          </w:tcPr>
          <w:p w14:paraId="783066D4">
            <w:pPr>
              <w:pStyle w:val="8"/>
              <w:widowControl w:val="0"/>
              <w:spacing w:line="293" w:lineRule="auto"/>
              <w:rPr>
                <w:rFonts w:hint="eastAsia" w:ascii="宋体" w:hAnsi="宋体" w:eastAsia="宋体" w:cs="宋体"/>
                <w:color w:val="auto"/>
                <w:sz w:val="22"/>
                <w:szCs w:val="22"/>
                <w:vertAlign w:val="baseline"/>
              </w:rPr>
            </w:pPr>
          </w:p>
        </w:tc>
      </w:tr>
      <w:tr w14:paraId="773B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3770" w:type="dxa"/>
          </w:tcPr>
          <w:p w14:paraId="78D59D2B">
            <w:pPr>
              <w:pStyle w:val="8"/>
              <w:widowControl w:val="0"/>
              <w:spacing w:line="293" w:lineRule="auto"/>
              <w:rPr>
                <w:rFonts w:hint="eastAsia" w:ascii="宋体" w:hAnsi="宋体" w:eastAsia="宋体" w:cs="宋体"/>
                <w:color w:val="auto"/>
                <w:sz w:val="22"/>
                <w:szCs w:val="22"/>
                <w:vertAlign w:val="baseline"/>
              </w:rPr>
            </w:pPr>
          </w:p>
        </w:tc>
        <w:tc>
          <w:tcPr>
            <w:tcW w:w="3749" w:type="dxa"/>
          </w:tcPr>
          <w:p w14:paraId="087B117E">
            <w:pPr>
              <w:pStyle w:val="8"/>
              <w:widowControl w:val="0"/>
              <w:spacing w:line="293" w:lineRule="auto"/>
              <w:rPr>
                <w:rFonts w:hint="eastAsia" w:ascii="宋体" w:hAnsi="宋体" w:eastAsia="宋体" w:cs="宋体"/>
                <w:color w:val="auto"/>
                <w:sz w:val="22"/>
                <w:szCs w:val="22"/>
                <w:vertAlign w:val="baseline"/>
              </w:rPr>
            </w:pPr>
          </w:p>
        </w:tc>
      </w:tr>
    </w:tbl>
    <w:p w14:paraId="2EA17B34">
      <w:pPr>
        <w:spacing w:line="500" w:lineRule="exact"/>
        <w:jc w:val="both"/>
        <w:rPr>
          <w:rFonts w:hint="default" w:ascii="宋体" w:hAnsi="宋体" w:eastAsia="宋体" w:cs="Arial"/>
          <w:color w:val="auto"/>
          <w:sz w:val="24"/>
          <w:szCs w:val="24"/>
          <w:highlight w:val="none"/>
          <w:u w:val="single"/>
          <w:lang w:val="en-US" w:eastAsia="zh-CN"/>
        </w:rPr>
      </w:pPr>
      <w:bookmarkStart w:id="89" w:name="bookmark167"/>
      <w:bookmarkEnd w:id="89"/>
      <w:r>
        <w:rPr>
          <w:rFonts w:hint="default" w:ascii="宋体" w:hAnsi="宋体" w:eastAsia="宋体" w:cs="Arial"/>
          <w:color w:val="auto"/>
          <w:sz w:val="24"/>
          <w:szCs w:val="24"/>
          <w:highlight w:val="none"/>
          <w:lang w:val="en-US" w:eastAsia="zh-CN"/>
        </w:rPr>
        <w:t>供应商：</w:t>
      </w:r>
      <w:r>
        <w:rPr>
          <w:rFonts w:hint="default" w:ascii="宋体" w:hAnsi="宋体" w:eastAsia="宋体" w:cs="Arial"/>
          <w:color w:val="auto"/>
          <w:sz w:val="24"/>
          <w:szCs w:val="24"/>
          <w:highlight w:val="none"/>
          <w:u w:val="single"/>
          <w:lang w:val="en-US" w:eastAsia="zh-CN"/>
        </w:rPr>
        <w:t xml:space="preserve">                                 (盖单位章）</w:t>
      </w:r>
    </w:p>
    <w:p w14:paraId="34064FEF">
      <w:pPr>
        <w:spacing w:line="500" w:lineRule="exact"/>
        <w:jc w:val="both"/>
        <w:rPr>
          <w:rFonts w:hint="default" w:ascii="宋体" w:hAnsi="宋体" w:eastAsia="宋体" w:cs="Arial"/>
          <w:color w:val="auto"/>
          <w:sz w:val="24"/>
          <w:szCs w:val="24"/>
          <w:highlight w:val="none"/>
          <w:u w:val="single"/>
          <w:lang w:val="en-US" w:eastAsia="zh-CN"/>
        </w:rPr>
      </w:pPr>
      <w:r>
        <w:rPr>
          <w:rFonts w:hint="default" w:ascii="宋体" w:hAnsi="宋体" w:eastAsia="宋体" w:cs="Arial"/>
          <w:color w:val="auto"/>
          <w:sz w:val="24"/>
          <w:szCs w:val="24"/>
          <w:highlight w:val="none"/>
          <w:lang w:val="en-US" w:eastAsia="zh-CN"/>
        </w:rPr>
        <w:t>法定代表人(单位负责人）：</w:t>
      </w:r>
      <w:r>
        <w:rPr>
          <w:rFonts w:hint="default" w:ascii="宋体" w:hAnsi="宋体" w:eastAsia="宋体" w:cs="Arial"/>
          <w:color w:val="auto"/>
          <w:sz w:val="24"/>
          <w:szCs w:val="24"/>
          <w:highlight w:val="none"/>
          <w:u w:val="single"/>
          <w:lang w:val="en-US" w:eastAsia="zh-CN"/>
        </w:rPr>
        <w:t xml:space="preserve">                    (签字）</w:t>
      </w:r>
    </w:p>
    <w:p w14:paraId="43D5A6E4">
      <w:pPr>
        <w:spacing w:line="500" w:lineRule="exact"/>
        <w:jc w:val="both"/>
        <w:rPr>
          <w:rFonts w:hint="default" w:ascii="宋体" w:hAnsi="宋体" w:eastAsia="宋体" w:cs="Arial"/>
          <w:color w:val="auto"/>
          <w:sz w:val="24"/>
          <w:szCs w:val="24"/>
          <w:highlight w:val="none"/>
          <w:lang w:val="en-US" w:eastAsia="zh-CN"/>
        </w:rPr>
      </w:pPr>
      <w:r>
        <w:rPr>
          <w:rFonts w:hint="default" w:ascii="宋体" w:hAnsi="宋体" w:eastAsia="宋体" w:cs="Arial"/>
          <w:color w:val="auto"/>
          <w:sz w:val="24"/>
          <w:szCs w:val="24"/>
          <w:highlight w:val="none"/>
          <w:lang w:val="en-US" w:eastAsia="zh-CN"/>
        </w:rPr>
        <w:t>身份证号码：</w:t>
      </w:r>
      <w:r>
        <w:rPr>
          <w:rFonts w:hint="default" w:ascii="宋体" w:hAnsi="宋体" w:eastAsia="宋体" w:cs="Arial"/>
          <w:color w:val="auto"/>
          <w:sz w:val="24"/>
          <w:szCs w:val="24"/>
          <w:highlight w:val="none"/>
          <w:u w:val="single"/>
          <w:lang w:val="en-US" w:eastAsia="zh-CN"/>
        </w:rPr>
        <w:t xml:space="preserve">                               </w:t>
      </w:r>
    </w:p>
    <w:p w14:paraId="2AB629A0">
      <w:pPr>
        <w:spacing w:line="500" w:lineRule="exact"/>
        <w:jc w:val="both"/>
        <w:rPr>
          <w:rFonts w:hint="default" w:ascii="宋体" w:hAnsi="宋体" w:eastAsia="宋体" w:cs="Arial"/>
          <w:color w:val="auto"/>
          <w:sz w:val="24"/>
          <w:szCs w:val="24"/>
          <w:highlight w:val="none"/>
          <w:lang w:val="en-US" w:eastAsia="zh-CN"/>
        </w:rPr>
      </w:pPr>
      <w:r>
        <w:rPr>
          <w:rFonts w:hint="default" w:ascii="宋体" w:hAnsi="宋体" w:eastAsia="宋体" w:cs="Arial"/>
          <w:color w:val="auto"/>
          <w:sz w:val="24"/>
          <w:szCs w:val="24"/>
          <w:highlight w:val="none"/>
          <w:lang w:val="en-US" w:eastAsia="zh-CN"/>
        </w:rPr>
        <w:t>委托代理人：</w:t>
      </w:r>
      <w:r>
        <w:rPr>
          <w:rFonts w:hint="default" w:ascii="宋体" w:hAnsi="宋体" w:eastAsia="宋体" w:cs="Arial"/>
          <w:color w:val="auto"/>
          <w:sz w:val="24"/>
          <w:szCs w:val="24"/>
          <w:highlight w:val="none"/>
          <w:u w:val="single"/>
          <w:lang w:val="en-US" w:eastAsia="zh-CN"/>
        </w:rPr>
        <w:t xml:space="preserve">                    (签字）</w:t>
      </w:r>
      <w:r>
        <w:rPr>
          <w:rFonts w:hint="default" w:ascii="宋体" w:hAnsi="宋体" w:eastAsia="宋体" w:cs="Arial"/>
          <w:color w:val="auto"/>
          <w:sz w:val="24"/>
          <w:szCs w:val="24"/>
          <w:highlight w:val="none"/>
          <w:lang w:val="en-US" w:eastAsia="zh-CN"/>
        </w:rPr>
        <w:t xml:space="preserve">  </w:t>
      </w:r>
    </w:p>
    <w:p w14:paraId="2612A770">
      <w:pPr>
        <w:spacing w:line="500" w:lineRule="exact"/>
        <w:jc w:val="both"/>
        <w:rPr>
          <w:rFonts w:hint="default" w:ascii="宋体" w:hAnsi="宋体" w:eastAsia="宋体" w:cs="Arial"/>
          <w:color w:val="auto"/>
          <w:sz w:val="24"/>
          <w:szCs w:val="24"/>
          <w:highlight w:val="none"/>
          <w:u w:val="single"/>
          <w:lang w:val="en-US" w:eastAsia="zh-CN"/>
        </w:rPr>
      </w:pPr>
      <w:r>
        <w:rPr>
          <w:rFonts w:hint="default" w:ascii="宋体" w:hAnsi="宋体" w:eastAsia="宋体" w:cs="Arial"/>
          <w:color w:val="auto"/>
          <w:sz w:val="24"/>
          <w:szCs w:val="24"/>
          <w:highlight w:val="none"/>
          <w:lang w:val="en-US" w:eastAsia="zh-CN"/>
        </w:rPr>
        <w:t>身份证号码：</w:t>
      </w:r>
      <w:r>
        <w:rPr>
          <w:rFonts w:hint="default" w:ascii="宋体" w:hAnsi="宋体" w:eastAsia="宋体" w:cs="Arial"/>
          <w:color w:val="auto"/>
          <w:sz w:val="24"/>
          <w:szCs w:val="24"/>
          <w:highlight w:val="none"/>
          <w:u w:val="single"/>
          <w:lang w:val="en-US" w:eastAsia="zh-CN"/>
        </w:rPr>
        <w:t xml:space="preserve">                               </w:t>
      </w:r>
    </w:p>
    <w:p w14:paraId="00075AB3">
      <w:pPr>
        <w:spacing w:before="313" w:line="240" w:lineRule="auto"/>
        <w:ind w:right="54"/>
        <w:jc w:val="right"/>
        <w:rPr>
          <w:rFonts w:hint="eastAsia" w:ascii="宋体" w:hAnsi="宋体" w:eastAsia="宋体" w:cs="宋体"/>
          <w:color w:val="auto"/>
          <w:sz w:val="24"/>
          <w:szCs w:val="24"/>
        </w:rPr>
      </w:pPr>
      <w:r>
        <w:rPr>
          <w:rFonts w:hint="eastAsia" w:ascii="宋体" w:hAnsi="宋体" w:eastAsia="宋体" w:cs="宋体"/>
          <w:color w:val="auto"/>
          <w:spacing w:val="-15"/>
          <w:sz w:val="24"/>
          <w:szCs w:val="24"/>
        </w:rPr>
        <w:t>年</w:t>
      </w:r>
      <w:r>
        <w:rPr>
          <w:rFonts w:hint="eastAsia" w:ascii="宋体" w:hAnsi="宋体" w:eastAsia="宋体" w:cs="宋体"/>
          <w:color w:val="auto"/>
          <w:spacing w:val="-15"/>
          <w:sz w:val="24"/>
          <w:szCs w:val="24"/>
          <w:lang w:val="en-US" w:eastAsia="zh-CN"/>
        </w:rPr>
        <w:t xml:space="preserve">   </w:t>
      </w:r>
      <w:r>
        <w:rPr>
          <w:rFonts w:hint="eastAsia" w:ascii="宋体" w:hAnsi="宋体" w:eastAsia="宋体" w:cs="宋体"/>
          <w:color w:val="auto"/>
          <w:spacing w:val="-15"/>
          <w:sz w:val="24"/>
          <w:szCs w:val="24"/>
        </w:rPr>
        <w:t>月</w:t>
      </w:r>
      <w:r>
        <w:rPr>
          <w:rFonts w:hint="eastAsia" w:ascii="宋体" w:hAnsi="宋体" w:eastAsia="宋体" w:cs="宋体"/>
          <w:color w:val="auto"/>
          <w:spacing w:val="-15"/>
          <w:sz w:val="24"/>
          <w:szCs w:val="24"/>
          <w:lang w:val="en-US" w:eastAsia="zh-CN"/>
        </w:rPr>
        <w:t xml:space="preserve">    </w:t>
      </w:r>
      <w:r>
        <w:rPr>
          <w:rFonts w:hint="eastAsia" w:ascii="宋体" w:hAnsi="宋体" w:eastAsia="宋体" w:cs="宋体"/>
          <w:color w:val="auto"/>
          <w:spacing w:val="-15"/>
          <w:sz w:val="24"/>
          <w:szCs w:val="24"/>
        </w:rPr>
        <w:t>日</w:t>
      </w:r>
    </w:p>
    <w:p w14:paraId="76B5A987">
      <w:pPr>
        <w:spacing w:line="60" w:lineRule="exact"/>
        <w:ind w:left="7021"/>
        <w:rPr>
          <w:rFonts w:hint="eastAsia" w:ascii="宋体" w:hAnsi="宋体" w:eastAsia="宋体" w:cs="宋体"/>
          <w:color w:val="auto"/>
          <w:sz w:val="24"/>
          <w:szCs w:val="24"/>
        </w:rPr>
        <w:sectPr>
          <w:footerReference r:id="rId9" w:type="default"/>
          <w:pgSz w:w="11906" w:h="16838"/>
          <w:pgMar w:top="1440" w:right="1800" w:bottom="1440" w:left="1800" w:header="0" w:footer="1703" w:gutter="0"/>
          <w:pgNumType w:fmt="decimal"/>
          <w:cols w:space="720" w:num="1"/>
        </w:sectPr>
      </w:pPr>
    </w:p>
    <w:p w14:paraId="161A335D">
      <w:pPr>
        <w:spacing w:line="500" w:lineRule="exact"/>
        <w:jc w:val="center"/>
        <w:rPr>
          <w:rFonts w:hint="eastAsia"/>
          <w:color w:val="auto"/>
          <w:sz w:val="32"/>
          <w:szCs w:val="32"/>
          <w:highlight w:val="none"/>
        </w:rPr>
      </w:pPr>
      <w:bookmarkStart w:id="90" w:name="bookmark169"/>
      <w:bookmarkEnd w:id="90"/>
      <w:bookmarkStart w:id="91" w:name="bookmark98"/>
      <w:bookmarkEnd w:id="91"/>
      <w:bookmarkStart w:id="92" w:name="bookmark168"/>
      <w:bookmarkEnd w:id="92"/>
      <w:bookmarkStart w:id="93" w:name="_Toc19524"/>
      <w:bookmarkStart w:id="94" w:name="_Toc14119"/>
      <w:bookmarkStart w:id="95" w:name="_Toc18951"/>
      <w:bookmarkStart w:id="96" w:name="_Toc29414"/>
      <w:bookmarkStart w:id="97" w:name="_Toc30750"/>
      <w:bookmarkStart w:id="98" w:name="_Toc11016"/>
      <w:r>
        <w:rPr>
          <w:rFonts w:hint="eastAsia" w:ascii="宋体" w:hAnsi="宋体" w:eastAsia="宋体" w:cs="Arial"/>
          <w:b/>
          <w:bCs/>
          <w:color w:val="auto"/>
          <w:sz w:val="32"/>
          <w:szCs w:val="32"/>
          <w:highlight w:val="none"/>
          <w:lang w:val="en-US" w:eastAsia="zh-CN"/>
        </w:rPr>
        <w:t>法定代表人</w:t>
      </w:r>
      <w:r>
        <w:rPr>
          <w:rFonts w:hint="default" w:ascii="宋体" w:hAnsi="宋体" w:eastAsia="宋体" w:cs="Arial"/>
          <w:b/>
          <w:bCs/>
          <w:color w:val="auto"/>
          <w:sz w:val="32"/>
          <w:szCs w:val="32"/>
          <w:highlight w:val="none"/>
          <w:lang w:val="en-US" w:eastAsia="zh-CN"/>
        </w:rPr>
        <w:t>(单位负责人）</w:t>
      </w:r>
      <w:r>
        <w:rPr>
          <w:rFonts w:hint="eastAsia" w:ascii="宋体" w:hAnsi="宋体" w:eastAsia="宋体" w:cs="Arial"/>
          <w:b/>
          <w:bCs/>
          <w:color w:val="auto"/>
          <w:sz w:val="32"/>
          <w:szCs w:val="32"/>
          <w:highlight w:val="none"/>
          <w:lang w:val="en-US" w:eastAsia="zh-CN"/>
        </w:rPr>
        <w:t>身份证明</w:t>
      </w:r>
    </w:p>
    <w:p w14:paraId="14E0AC9B">
      <w:pPr>
        <w:rPr>
          <w:rFonts w:hint="eastAsia"/>
          <w:color w:val="auto"/>
          <w:highlight w:val="none"/>
        </w:rPr>
      </w:pPr>
    </w:p>
    <w:p w14:paraId="022E6061">
      <w:pPr>
        <w:rPr>
          <w:rFonts w:hint="eastAsia"/>
          <w:color w:val="auto"/>
          <w:sz w:val="24"/>
          <w:szCs w:val="24"/>
          <w:highlight w:val="none"/>
        </w:rPr>
      </w:pPr>
    </w:p>
    <w:p w14:paraId="31241ED9">
      <w:pPr>
        <w:spacing w:line="360" w:lineRule="auto"/>
        <w:ind w:firstLine="480" w:firstLineChars="200"/>
        <w:rPr>
          <w:rFonts w:hint="eastAsia" w:ascii="宋体" w:hAnsi="宋体"/>
          <w:color w:val="auto"/>
          <w:sz w:val="24"/>
          <w:szCs w:val="24"/>
          <w:highlight w:val="none"/>
        </w:rPr>
      </w:pPr>
      <w:r>
        <w:rPr>
          <w:rFonts w:hint="default" w:ascii="宋体" w:hAnsi="宋体" w:eastAsia="宋体" w:cs="Arial"/>
          <w:color w:val="auto"/>
          <w:sz w:val="24"/>
          <w:szCs w:val="24"/>
          <w:highlight w:val="none"/>
          <w:lang w:val="en-US" w:eastAsia="zh-CN"/>
        </w:rPr>
        <w:t>供应商</w:t>
      </w:r>
      <w:r>
        <w:rPr>
          <w:rFonts w:hint="eastAsia" w:ascii="宋体" w:hAnsi="宋体"/>
          <w:color w:val="auto"/>
          <w:sz w:val="24"/>
          <w:szCs w:val="24"/>
          <w:highlight w:val="none"/>
        </w:rPr>
        <w:t>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4F72A2B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3EE9912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74092D2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2619FE8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26EF0E5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14:paraId="7539D34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default" w:ascii="宋体" w:hAnsi="宋体" w:eastAsia="宋体" w:cs="Arial"/>
          <w:color w:val="auto"/>
          <w:sz w:val="24"/>
          <w:szCs w:val="24"/>
          <w:highlight w:val="none"/>
          <w:lang w:val="en-US" w:eastAsia="zh-CN"/>
        </w:rPr>
        <w:t>供应商</w:t>
      </w:r>
      <w:r>
        <w:rPr>
          <w:rFonts w:hint="eastAsia" w:ascii="宋体" w:hAnsi="宋体"/>
          <w:color w:val="auto"/>
          <w:sz w:val="24"/>
          <w:szCs w:val="24"/>
          <w:highlight w:val="none"/>
        </w:rPr>
        <w:t>名称）的法定代表人(单位负责人）。</w:t>
      </w:r>
    </w:p>
    <w:p w14:paraId="131CF4AD">
      <w:pPr>
        <w:spacing w:line="360" w:lineRule="auto"/>
        <w:ind w:firstLine="960" w:firstLineChars="400"/>
        <w:rPr>
          <w:rFonts w:ascii="宋体" w:hAnsi="宋体"/>
          <w:color w:val="auto"/>
          <w:sz w:val="24"/>
          <w:szCs w:val="24"/>
          <w:highlight w:val="none"/>
        </w:rPr>
      </w:pPr>
      <w:r>
        <w:rPr>
          <w:rFonts w:hint="eastAsia" w:ascii="宋体" w:hAnsi="宋体"/>
          <w:color w:val="auto"/>
          <w:sz w:val="24"/>
          <w:szCs w:val="24"/>
          <w:highlight w:val="none"/>
        </w:rPr>
        <w:t>特此证明。</w:t>
      </w:r>
    </w:p>
    <w:p w14:paraId="2558A268">
      <w:pPr>
        <w:spacing w:line="360" w:lineRule="auto"/>
        <w:ind w:firstLine="480" w:firstLineChars="200"/>
        <w:rPr>
          <w:rFonts w:hint="eastAsia" w:ascii="宋体" w:hAnsi="宋体"/>
          <w:color w:val="auto"/>
          <w:sz w:val="24"/>
          <w:szCs w:val="24"/>
          <w:highlight w:val="none"/>
        </w:rPr>
      </w:pPr>
    </w:p>
    <w:p w14:paraId="63E53C42">
      <w:pPr>
        <w:spacing w:line="360" w:lineRule="auto"/>
        <w:ind w:firstLine="480" w:firstLineChars="200"/>
        <w:rPr>
          <w:rFonts w:hint="eastAsia" w:ascii="宋体" w:hAnsi="宋体"/>
          <w:color w:val="auto"/>
          <w:sz w:val="24"/>
          <w:szCs w:val="24"/>
          <w:highlight w:val="none"/>
        </w:rPr>
      </w:pPr>
    </w:p>
    <w:p w14:paraId="0F9A5880">
      <w:pPr>
        <w:spacing w:line="360" w:lineRule="auto"/>
        <w:ind w:firstLine="480" w:firstLineChars="200"/>
        <w:rPr>
          <w:rFonts w:hint="eastAsia" w:ascii="宋体" w:hAnsi="宋体"/>
          <w:color w:val="auto"/>
          <w:sz w:val="24"/>
          <w:szCs w:val="24"/>
          <w:highlight w:val="none"/>
        </w:rPr>
      </w:pPr>
    </w:p>
    <w:p w14:paraId="0D484941">
      <w:pPr>
        <w:spacing w:line="360" w:lineRule="auto"/>
        <w:jc w:val="right"/>
        <w:rPr>
          <w:rFonts w:hint="eastAsia" w:ascii="宋体" w:hAnsi="宋体"/>
          <w:color w:val="auto"/>
          <w:sz w:val="24"/>
          <w:szCs w:val="24"/>
          <w:highlight w:val="none"/>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636043A0">
      <w:pPr>
        <w:spacing w:line="360" w:lineRule="auto"/>
        <w:ind w:firstLine="5160" w:firstLineChars="2150"/>
        <w:rPr>
          <w:rFonts w:hint="eastAsia" w:ascii="宋体" w:hAnsi="宋体"/>
          <w:color w:val="auto"/>
          <w:sz w:val="24"/>
          <w:szCs w:val="24"/>
          <w:highlight w:val="none"/>
          <w:u w:val="single"/>
        </w:rPr>
      </w:pPr>
    </w:p>
    <w:p w14:paraId="11028CB8">
      <w:pPr>
        <w:spacing w:line="360" w:lineRule="auto"/>
        <w:ind w:firstLine="5160" w:firstLineChars="2150"/>
        <w:rPr>
          <w:rFonts w:hint="eastAsia"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3DCC91AD">
      <w:pPr>
        <w:spacing w:line="500" w:lineRule="exact"/>
        <w:ind w:firstLine="1687" w:firstLineChars="700"/>
        <w:rPr>
          <w:rFonts w:hint="default" w:ascii="宋体" w:hAnsi="宋体" w:eastAsia="宋体" w:cs="Arial"/>
          <w:b/>
          <w:bCs/>
          <w:color w:val="auto"/>
          <w:sz w:val="24"/>
          <w:szCs w:val="24"/>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5FD47245">
      <w:pPr>
        <w:pStyle w:val="8"/>
        <w:numPr>
          <w:ilvl w:val="0"/>
          <w:numId w:val="0"/>
        </w:numPr>
        <w:spacing w:before="100" w:line="209" w:lineRule="auto"/>
        <w:jc w:val="center"/>
        <w:outlineLvl w:val="1"/>
        <w:rPr>
          <w:rFonts w:hint="eastAsia" w:ascii="宋体" w:hAnsi="宋体" w:eastAsia="宋体" w:cs="宋体"/>
          <w:color w:val="auto"/>
          <w:sz w:val="30"/>
          <w:szCs w:val="30"/>
          <w:lang w:val="en-US" w:eastAsia="zh-CN"/>
        </w:rPr>
      </w:pPr>
      <w:bookmarkStart w:id="99" w:name="_Toc19053"/>
      <w:r>
        <w:rPr>
          <w:rFonts w:hint="eastAsia" w:ascii="宋体" w:hAnsi="宋体" w:eastAsia="宋体" w:cs="宋体"/>
          <w:b/>
          <w:bCs/>
          <w:color w:val="auto"/>
          <w:spacing w:val="8"/>
          <w:sz w:val="30"/>
          <w:szCs w:val="30"/>
          <w:lang w:val="en-US" w:eastAsia="zh-CN"/>
        </w:rPr>
        <w:t>四、分项报价表</w:t>
      </w:r>
      <w:bookmarkEnd w:id="99"/>
    </w:p>
    <w:tbl>
      <w:tblPr>
        <w:tblStyle w:val="22"/>
        <w:tblpPr w:leftFromText="180" w:rightFromText="180" w:vertAnchor="text" w:horzAnchor="page" w:tblpXSpec="center" w:tblpY="655"/>
        <w:tblOverlap w:val="never"/>
        <w:tblW w:w="8436"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2952"/>
        <w:gridCol w:w="3092"/>
        <w:gridCol w:w="1048"/>
      </w:tblGrid>
      <w:tr w14:paraId="52A94AF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344" w:type="dxa"/>
            <w:tcBorders>
              <w:top w:val="double" w:color="auto" w:sz="2" w:space="0"/>
              <w:left w:val="double" w:color="auto" w:sz="2" w:space="0"/>
              <w:bottom w:val="single" w:color="auto" w:sz="4" w:space="0"/>
              <w:right w:val="single" w:color="auto" w:sz="4" w:space="0"/>
            </w:tcBorders>
            <w:noWrap w:val="0"/>
            <w:vAlign w:val="center"/>
          </w:tcPr>
          <w:p w14:paraId="33C9D041">
            <w:pPr>
              <w:pageBreakBefore w:val="0"/>
              <w:widowControl w:val="0"/>
              <w:kinsoku/>
              <w:wordWrap/>
              <w:overflowPunct/>
              <w:autoSpaceDE/>
              <w:autoSpaceDN/>
              <w:bidi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52" w:type="dxa"/>
            <w:tcBorders>
              <w:top w:val="double" w:color="auto" w:sz="2" w:space="0"/>
              <w:left w:val="single" w:color="auto" w:sz="4" w:space="0"/>
              <w:bottom w:val="single" w:color="auto" w:sz="4" w:space="0"/>
              <w:right w:val="single" w:color="auto" w:sz="4" w:space="0"/>
            </w:tcBorders>
            <w:noWrap w:val="0"/>
            <w:vAlign w:val="center"/>
          </w:tcPr>
          <w:p w14:paraId="6AD6F0A7">
            <w:pPr>
              <w:pageBreakBefore w:val="0"/>
              <w:widowControl w:val="0"/>
              <w:kinsoku/>
              <w:wordWrap/>
              <w:overflowPunct/>
              <w:autoSpaceDE/>
              <w:autoSpaceDN/>
              <w:bidi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p w14:paraId="7954D853">
            <w:pPr>
              <w:pageBreakBefore w:val="0"/>
              <w:widowControl w:val="0"/>
              <w:kinsoku/>
              <w:wordWrap/>
              <w:overflowPunct/>
              <w:autoSpaceDE/>
              <w:autoSpaceDN/>
              <w:bidi w:val="0"/>
              <w:jc w:val="both"/>
              <w:textAlignment w:val="auto"/>
              <w:rPr>
                <w:rFonts w:hint="eastAsia" w:ascii="宋体" w:hAnsi="宋体" w:eastAsia="宋体" w:cs="宋体"/>
                <w:color w:val="auto"/>
                <w:sz w:val="24"/>
                <w:szCs w:val="24"/>
                <w:highlight w:val="none"/>
                <w:lang w:eastAsia="zh-CN"/>
              </w:rPr>
            </w:pPr>
          </w:p>
        </w:tc>
        <w:tc>
          <w:tcPr>
            <w:tcW w:w="3092" w:type="dxa"/>
            <w:tcBorders>
              <w:top w:val="double" w:color="auto" w:sz="2" w:space="0"/>
              <w:left w:val="single" w:color="auto" w:sz="4" w:space="0"/>
              <w:bottom w:val="single" w:color="auto" w:sz="4" w:space="0"/>
              <w:right w:val="single" w:color="auto" w:sz="4" w:space="0"/>
            </w:tcBorders>
            <w:noWrap w:val="0"/>
            <w:vAlign w:val="center"/>
          </w:tcPr>
          <w:p w14:paraId="229A2933">
            <w:pPr>
              <w:pageBreakBefore w:val="0"/>
              <w:widowControl w:val="0"/>
              <w:kinsoku/>
              <w:wordWrap/>
              <w:overflowPunct/>
              <w:autoSpaceDE/>
              <w:autoSpaceDN/>
              <w:bidi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14:paraId="1F95327B">
            <w:pPr>
              <w:pageBreakBefore w:val="0"/>
              <w:widowControl w:val="0"/>
              <w:kinsoku/>
              <w:wordWrap/>
              <w:overflowPunct/>
              <w:autoSpaceDE/>
              <w:autoSpaceDN/>
              <w:bidi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48" w:type="dxa"/>
            <w:tcBorders>
              <w:top w:val="double" w:color="auto" w:sz="2" w:space="0"/>
              <w:left w:val="single" w:color="auto" w:sz="4" w:space="0"/>
              <w:bottom w:val="single" w:color="auto" w:sz="4" w:space="0"/>
              <w:right w:val="double" w:color="auto" w:sz="2" w:space="0"/>
            </w:tcBorders>
            <w:noWrap w:val="0"/>
            <w:vAlign w:val="center"/>
          </w:tcPr>
          <w:p w14:paraId="5790A149">
            <w:pPr>
              <w:pageBreakBefore w:val="0"/>
              <w:widowControl w:val="0"/>
              <w:kinsoku/>
              <w:wordWrap/>
              <w:overflowPunct/>
              <w:autoSpaceDE/>
              <w:autoSpaceDN/>
              <w:bidi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9A031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double" w:color="auto" w:sz="2" w:space="0"/>
              <w:bottom w:val="single" w:color="auto" w:sz="4" w:space="0"/>
              <w:right w:val="single" w:color="auto" w:sz="4" w:space="0"/>
            </w:tcBorders>
            <w:noWrap w:val="0"/>
            <w:vAlign w:val="center"/>
          </w:tcPr>
          <w:p w14:paraId="76A49B98">
            <w:pPr>
              <w:pageBreakBefore w:val="0"/>
              <w:widowControl w:val="0"/>
              <w:kinsoku/>
              <w:wordWrap/>
              <w:overflowPunct/>
              <w:autoSpaceDE/>
              <w:autoSpaceDN/>
              <w:bidi w:val="0"/>
              <w:jc w:val="center"/>
              <w:textAlignment w:val="auto"/>
              <w:rPr>
                <w:rFonts w:hint="eastAsia" w:ascii="宋体" w:hAnsi="宋体" w:eastAsia="宋体" w:cs="宋体"/>
                <w:color w:val="auto"/>
                <w:sz w:val="24"/>
                <w:szCs w:val="24"/>
                <w:highlight w:val="none"/>
                <w:lang w:val="en-US" w:eastAsia="zh-CN"/>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14:paraId="6533263F">
            <w:pPr>
              <w:rPr>
                <w:rFonts w:hint="eastAsia" w:ascii="宋体" w:hAnsi="宋体" w:eastAsia="宋体" w:cs="宋体"/>
                <w:color w:val="auto"/>
                <w:sz w:val="24"/>
                <w:szCs w:val="24"/>
                <w:lang w:val="en-US" w:eastAsia="zh-CN"/>
              </w:rPr>
            </w:pPr>
            <w:r>
              <w:rPr>
                <w:rFonts w:hint="eastAsia" w:ascii="宋体" w:hAnsi="宋体" w:eastAsia="宋体" w:cs="宋体"/>
                <w:sz w:val="24"/>
                <w:szCs w:val="24"/>
              </w:rPr>
              <w:t>拟提供的服务或工程费用</w:t>
            </w:r>
          </w:p>
        </w:tc>
        <w:tc>
          <w:tcPr>
            <w:tcW w:w="3092" w:type="dxa"/>
            <w:tcBorders>
              <w:top w:val="single" w:color="auto" w:sz="4" w:space="0"/>
              <w:left w:val="single" w:color="auto" w:sz="4" w:space="0"/>
              <w:bottom w:val="single" w:color="auto" w:sz="4" w:space="0"/>
              <w:right w:val="single" w:color="auto" w:sz="4" w:space="0"/>
            </w:tcBorders>
            <w:noWrap w:val="0"/>
            <w:vAlign w:val="center"/>
          </w:tcPr>
          <w:p w14:paraId="75AB0CFA">
            <w:pPr>
              <w:pageBreakBefore w:val="0"/>
              <w:widowControl w:val="0"/>
              <w:kinsoku/>
              <w:wordWrap/>
              <w:overflowPunct/>
              <w:autoSpaceDE/>
              <w:autoSpaceDN/>
              <w:bidi w:val="0"/>
              <w:jc w:val="center"/>
              <w:textAlignment w:val="auto"/>
              <w:rPr>
                <w:rFonts w:hint="eastAsia" w:ascii="宋体" w:hAnsi="宋体" w:eastAsia="宋体" w:cs="宋体"/>
                <w:color w:val="auto"/>
                <w:sz w:val="24"/>
                <w:szCs w:val="24"/>
                <w:highlight w:val="none"/>
              </w:rPr>
            </w:pPr>
          </w:p>
        </w:tc>
        <w:tc>
          <w:tcPr>
            <w:tcW w:w="1048" w:type="dxa"/>
            <w:vMerge w:val="restart"/>
            <w:tcBorders>
              <w:top w:val="single" w:color="auto" w:sz="4" w:space="0"/>
              <w:left w:val="single" w:color="auto" w:sz="4" w:space="0"/>
              <w:bottom w:val="single" w:color="auto" w:sz="4" w:space="0"/>
              <w:right w:val="double" w:color="auto" w:sz="2" w:space="0"/>
            </w:tcBorders>
            <w:noWrap w:val="0"/>
            <w:vAlign w:val="center"/>
          </w:tcPr>
          <w:p w14:paraId="74CC56B1">
            <w:pPr>
              <w:pageBreakBefore w:val="0"/>
              <w:widowControl w:val="0"/>
              <w:kinsoku/>
              <w:wordWrap/>
              <w:overflowPunct/>
              <w:autoSpaceDE/>
              <w:autoSpaceDN/>
              <w:bidi w:val="0"/>
              <w:jc w:val="center"/>
              <w:textAlignment w:val="auto"/>
              <w:rPr>
                <w:rFonts w:hint="eastAsia" w:ascii="宋体" w:hAnsi="宋体" w:eastAsia="宋体" w:cs="宋体"/>
                <w:color w:val="auto"/>
                <w:sz w:val="24"/>
                <w:szCs w:val="24"/>
                <w:highlight w:val="none"/>
              </w:rPr>
            </w:pPr>
          </w:p>
        </w:tc>
      </w:tr>
      <w:tr w14:paraId="68C0A00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double" w:color="auto" w:sz="2" w:space="0"/>
              <w:bottom w:val="single" w:color="auto" w:sz="4" w:space="0"/>
              <w:right w:val="single" w:color="auto" w:sz="4" w:space="0"/>
            </w:tcBorders>
            <w:noWrap w:val="0"/>
            <w:vAlign w:val="center"/>
          </w:tcPr>
          <w:p w14:paraId="6FF4B145">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14:paraId="193A0557">
            <w:pPr>
              <w:rPr>
                <w:rFonts w:hint="eastAsia" w:ascii="宋体" w:hAnsi="宋体" w:eastAsia="宋体" w:cs="宋体"/>
                <w:i w:val="0"/>
                <w:iCs w:val="0"/>
                <w:color w:val="auto"/>
                <w:sz w:val="22"/>
                <w:szCs w:val="22"/>
                <w:lang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5BFC6BFC">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1048" w:type="dxa"/>
            <w:vMerge w:val="continue"/>
            <w:tcBorders>
              <w:top w:val="single" w:color="auto" w:sz="4" w:space="0"/>
              <w:left w:val="single" w:color="auto" w:sz="4" w:space="0"/>
              <w:bottom w:val="single" w:color="auto" w:sz="4" w:space="0"/>
              <w:right w:val="double" w:color="auto" w:sz="2" w:space="0"/>
            </w:tcBorders>
            <w:noWrap w:val="0"/>
            <w:vAlign w:val="center"/>
          </w:tcPr>
          <w:p w14:paraId="6C632DCD">
            <w:pPr>
              <w:pageBreakBefore w:val="0"/>
              <w:widowControl w:val="0"/>
              <w:kinsoku/>
              <w:wordWrap/>
              <w:overflowPunct/>
              <w:autoSpaceDE/>
              <w:autoSpaceDN/>
              <w:bidi w:val="0"/>
              <w:jc w:val="left"/>
              <w:textAlignment w:val="auto"/>
              <w:rPr>
                <w:rFonts w:hint="eastAsia" w:ascii="宋体" w:hAnsi="宋体" w:eastAsia="宋体" w:cs="宋体"/>
                <w:color w:val="auto"/>
                <w:sz w:val="22"/>
                <w:szCs w:val="22"/>
                <w:highlight w:val="none"/>
              </w:rPr>
            </w:pPr>
          </w:p>
        </w:tc>
      </w:tr>
      <w:tr w14:paraId="491E32D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double" w:color="auto" w:sz="2" w:space="0"/>
              <w:bottom w:val="single" w:color="auto" w:sz="4" w:space="0"/>
              <w:right w:val="single" w:color="auto" w:sz="4" w:space="0"/>
            </w:tcBorders>
            <w:noWrap w:val="0"/>
            <w:vAlign w:val="center"/>
          </w:tcPr>
          <w:p w14:paraId="0014C3C4">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14:paraId="2312C03F">
            <w:pPr>
              <w:rPr>
                <w:rFonts w:hint="eastAsia" w:ascii="宋体" w:hAnsi="宋体" w:eastAsia="宋体" w:cs="宋体"/>
                <w:i w:val="0"/>
                <w:iCs w:val="0"/>
                <w:color w:val="auto"/>
                <w:sz w:val="22"/>
                <w:szCs w:val="22"/>
                <w:lang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565833D9">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1048" w:type="dxa"/>
            <w:vMerge w:val="continue"/>
            <w:tcBorders>
              <w:top w:val="single" w:color="auto" w:sz="4" w:space="0"/>
              <w:left w:val="single" w:color="auto" w:sz="4" w:space="0"/>
              <w:bottom w:val="single" w:color="auto" w:sz="4" w:space="0"/>
              <w:right w:val="double" w:color="auto" w:sz="2" w:space="0"/>
            </w:tcBorders>
            <w:noWrap w:val="0"/>
            <w:vAlign w:val="center"/>
          </w:tcPr>
          <w:p w14:paraId="391AF56C">
            <w:pPr>
              <w:pageBreakBefore w:val="0"/>
              <w:widowControl w:val="0"/>
              <w:kinsoku/>
              <w:wordWrap/>
              <w:overflowPunct/>
              <w:autoSpaceDE/>
              <w:autoSpaceDN/>
              <w:bidi w:val="0"/>
              <w:jc w:val="left"/>
              <w:textAlignment w:val="auto"/>
              <w:rPr>
                <w:rFonts w:hint="eastAsia" w:ascii="宋体" w:hAnsi="宋体" w:eastAsia="宋体" w:cs="宋体"/>
                <w:color w:val="auto"/>
                <w:sz w:val="22"/>
                <w:szCs w:val="22"/>
                <w:highlight w:val="none"/>
              </w:rPr>
            </w:pPr>
          </w:p>
        </w:tc>
      </w:tr>
      <w:tr w14:paraId="1C956FE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double" w:color="auto" w:sz="2" w:space="0"/>
              <w:bottom w:val="single" w:color="auto" w:sz="4" w:space="0"/>
              <w:right w:val="single" w:color="auto" w:sz="4" w:space="0"/>
            </w:tcBorders>
            <w:noWrap w:val="0"/>
            <w:vAlign w:val="center"/>
          </w:tcPr>
          <w:p w14:paraId="166C6ECC">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14:paraId="64F905FC">
            <w:pPr>
              <w:rPr>
                <w:rFonts w:hint="eastAsia" w:ascii="宋体" w:hAnsi="宋体" w:eastAsia="宋体" w:cs="宋体"/>
                <w:i w:val="0"/>
                <w:iCs w:val="0"/>
                <w:color w:val="auto"/>
                <w:sz w:val="22"/>
                <w:szCs w:val="22"/>
                <w:lang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6F2FD8A6">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1048" w:type="dxa"/>
            <w:vMerge w:val="continue"/>
            <w:tcBorders>
              <w:top w:val="single" w:color="auto" w:sz="4" w:space="0"/>
              <w:left w:val="single" w:color="auto" w:sz="4" w:space="0"/>
              <w:bottom w:val="single" w:color="auto" w:sz="4" w:space="0"/>
              <w:right w:val="double" w:color="auto" w:sz="2" w:space="0"/>
            </w:tcBorders>
            <w:noWrap w:val="0"/>
            <w:vAlign w:val="center"/>
          </w:tcPr>
          <w:p w14:paraId="032E775C">
            <w:pPr>
              <w:pageBreakBefore w:val="0"/>
              <w:widowControl w:val="0"/>
              <w:kinsoku/>
              <w:wordWrap/>
              <w:overflowPunct/>
              <w:autoSpaceDE/>
              <w:autoSpaceDN/>
              <w:bidi w:val="0"/>
              <w:jc w:val="left"/>
              <w:textAlignment w:val="auto"/>
              <w:rPr>
                <w:rFonts w:hint="eastAsia" w:ascii="宋体" w:hAnsi="宋体" w:eastAsia="宋体" w:cs="宋体"/>
                <w:color w:val="auto"/>
                <w:sz w:val="22"/>
                <w:szCs w:val="22"/>
                <w:highlight w:val="none"/>
              </w:rPr>
            </w:pPr>
          </w:p>
        </w:tc>
      </w:tr>
      <w:tr w14:paraId="2A25006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double" w:color="auto" w:sz="2" w:space="0"/>
              <w:bottom w:val="single" w:color="auto" w:sz="4" w:space="0"/>
              <w:right w:val="single" w:color="auto" w:sz="4" w:space="0"/>
            </w:tcBorders>
            <w:noWrap w:val="0"/>
            <w:vAlign w:val="center"/>
          </w:tcPr>
          <w:p w14:paraId="42D9E2AF">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14:paraId="29678322">
            <w:pPr>
              <w:rPr>
                <w:rFonts w:hint="eastAsia" w:ascii="宋体" w:hAnsi="宋体" w:eastAsia="宋体" w:cs="宋体"/>
                <w:i w:val="0"/>
                <w:iCs w:val="0"/>
                <w:color w:val="auto"/>
                <w:sz w:val="22"/>
                <w:szCs w:val="22"/>
                <w:lang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582704A4">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1048" w:type="dxa"/>
            <w:vMerge w:val="continue"/>
            <w:tcBorders>
              <w:top w:val="single" w:color="auto" w:sz="4" w:space="0"/>
              <w:left w:val="single" w:color="auto" w:sz="4" w:space="0"/>
              <w:bottom w:val="single" w:color="auto" w:sz="4" w:space="0"/>
              <w:right w:val="double" w:color="auto" w:sz="2" w:space="0"/>
            </w:tcBorders>
            <w:noWrap w:val="0"/>
            <w:vAlign w:val="center"/>
          </w:tcPr>
          <w:p w14:paraId="0CF93EBC">
            <w:pPr>
              <w:pageBreakBefore w:val="0"/>
              <w:widowControl w:val="0"/>
              <w:kinsoku/>
              <w:wordWrap/>
              <w:overflowPunct/>
              <w:autoSpaceDE/>
              <w:autoSpaceDN/>
              <w:bidi w:val="0"/>
              <w:jc w:val="left"/>
              <w:textAlignment w:val="auto"/>
              <w:rPr>
                <w:rFonts w:hint="eastAsia" w:ascii="宋体" w:hAnsi="宋体" w:eastAsia="宋体" w:cs="宋体"/>
                <w:color w:val="auto"/>
                <w:sz w:val="22"/>
                <w:szCs w:val="22"/>
                <w:highlight w:val="none"/>
              </w:rPr>
            </w:pPr>
          </w:p>
        </w:tc>
      </w:tr>
      <w:tr w14:paraId="4086A87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double" w:color="auto" w:sz="2" w:space="0"/>
              <w:bottom w:val="single" w:color="auto" w:sz="4" w:space="0"/>
              <w:right w:val="single" w:color="auto" w:sz="4" w:space="0"/>
            </w:tcBorders>
            <w:noWrap w:val="0"/>
            <w:vAlign w:val="center"/>
          </w:tcPr>
          <w:p w14:paraId="30065636">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14:paraId="189A38BE">
            <w:pPr>
              <w:rPr>
                <w:rFonts w:hint="eastAsia" w:ascii="宋体" w:hAnsi="宋体" w:eastAsia="宋体" w:cs="宋体"/>
                <w:i w:val="0"/>
                <w:iCs w:val="0"/>
                <w:color w:val="auto"/>
                <w:sz w:val="22"/>
                <w:szCs w:val="22"/>
                <w:lang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26D11209">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1048" w:type="dxa"/>
            <w:vMerge w:val="continue"/>
            <w:tcBorders>
              <w:top w:val="single" w:color="auto" w:sz="4" w:space="0"/>
              <w:left w:val="single" w:color="auto" w:sz="4" w:space="0"/>
              <w:bottom w:val="single" w:color="auto" w:sz="4" w:space="0"/>
              <w:right w:val="double" w:color="auto" w:sz="2" w:space="0"/>
            </w:tcBorders>
            <w:noWrap w:val="0"/>
            <w:vAlign w:val="center"/>
          </w:tcPr>
          <w:p w14:paraId="1AF1F425">
            <w:pPr>
              <w:pageBreakBefore w:val="0"/>
              <w:widowControl w:val="0"/>
              <w:kinsoku/>
              <w:wordWrap/>
              <w:overflowPunct/>
              <w:autoSpaceDE/>
              <w:autoSpaceDN/>
              <w:bidi w:val="0"/>
              <w:jc w:val="left"/>
              <w:textAlignment w:val="auto"/>
              <w:rPr>
                <w:rFonts w:hint="eastAsia" w:ascii="宋体" w:hAnsi="宋体" w:eastAsia="宋体" w:cs="宋体"/>
                <w:color w:val="auto"/>
                <w:sz w:val="22"/>
                <w:szCs w:val="22"/>
                <w:highlight w:val="none"/>
              </w:rPr>
            </w:pPr>
          </w:p>
        </w:tc>
      </w:tr>
      <w:tr w14:paraId="12F32C0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double" w:color="auto" w:sz="2" w:space="0"/>
              <w:bottom w:val="single" w:color="auto" w:sz="4" w:space="0"/>
              <w:right w:val="single" w:color="auto" w:sz="4" w:space="0"/>
            </w:tcBorders>
            <w:noWrap w:val="0"/>
            <w:vAlign w:val="center"/>
          </w:tcPr>
          <w:p w14:paraId="487898B7">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14:paraId="46BEC63F">
            <w:pPr>
              <w:rPr>
                <w:rFonts w:hint="eastAsia" w:ascii="宋体" w:hAnsi="宋体" w:eastAsia="宋体" w:cs="宋体"/>
                <w:i w:val="0"/>
                <w:iCs w:val="0"/>
                <w:color w:val="auto"/>
                <w:sz w:val="22"/>
                <w:szCs w:val="22"/>
                <w:lang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70881D6D">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1048" w:type="dxa"/>
            <w:vMerge w:val="continue"/>
            <w:tcBorders>
              <w:top w:val="single" w:color="auto" w:sz="4" w:space="0"/>
              <w:left w:val="single" w:color="auto" w:sz="4" w:space="0"/>
              <w:bottom w:val="single" w:color="auto" w:sz="4" w:space="0"/>
              <w:right w:val="double" w:color="auto" w:sz="2" w:space="0"/>
            </w:tcBorders>
            <w:noWrap w:val="0"/>
            <w:vAlign w:val="center"/>
          </w:tcPr>
          <w:p w14:paraId="4C0365A5">
            <w:pPr>
              <w:pageBreakBefore w:val="0"/>
              <w:widowControl w:val="0"/>
              <w:kinsoku/>
              <w:wordWrap/>
              <w:overflowPunct/>
              <w:autoSpaceDE/>
              <w:autoSpaceDN/>
              <w:bidi w:val="0"/>
              <w:jc w:val="left"/>
              <w:textAlignment w:val="auto"/>
              <w:rPr>
                <w:rFonts w:hint="eastAsia" w:ascii="宋体" w:hAnsi="宋体" w:eastAsia="宋体" w:cs="宋体"/>
                <w:color w:val="auto"/>
                <w:sz w:val="22"/>
                <w:szCs w:val="22"/>
                <w:highlight w:val="none"/>
              </w:rPr>
            </w:pPr>
          </w:p>
        </w:tc>
      </w:tr>
      <w:tr w14:paraId="3AB387E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double" w:color="auto" w:sz="2" w:space="0"/>
              <w:bottom w:val="single" w:color="auto" w:sz="4" w:space="0"/>
              <w:right w:val="single" w:color="auto" w:sz="4" w:space="0"/>
            </w:tcBorders>
            <w:noWrap w:val="0"/>
            <w:vAlign w:val="center"/>
          </w:tcPr>
          <w:p w14:paraId="18EECC86">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14:paraId="5C2AEBAA">
            <w:pPr>
              <w:rPr>
                <w:rFonts w:hint="eastAsia" w:ascii="宋体" w:hAnsi="宋体" w:eastAsia="宋体" w:cs="宋体"/>
                <w:i w:val="0"/>
                <w:iCs w:val="0"/>
                <w:color w:val="auto"/>
                <w:sz w:val="22"/>
                <w:szCs w:val="22"/>
                <w:lang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679054CA">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1048" w:type="dxa"/>
            <w:vMerge w:val="continue"/>
            <w:tcBorders>
              <w:top w:val="single" w:color="auto" w:sz="4" w:space="0"/>
              <w:left w:val="single" w:color="auto" w:sz="4" w:space="0"/>
              <w:bottom w:val="single" w:color="auto" w:sz="4" w:space="0"/>
              <w:right w:val="double" w:color="auto" w:sz="2" w:space="0"/>
            </w:tcBorders>
            <w:noWrap w:val="0"/>
            <w:vAlign w:val="center"/>
          </w:tcPr>
          <w:p w14:paraId="310A6512">
            <w:pPr>
              <w:pageBreakBefore w:val="0"/>
              <w:widowControl w:val="0"/>
              <w:kinsoku/>
              <w:wordWrap/>
              <w:overflowPunct/>
              <w:autoSpaceDE/>
              <w:autoSpaceDN/>
              <w:bidi w:val="0"/>
              <w:jc w:val="left"/>
              <w:textAlignment w:val="auto"/>
              <w:rPr>
                <w:rFonts w:hint="eastAsia" w:ascii="宋体" w:hAnsi="宋体" w:eastAsia="宋体" w:cs="宋体"/>
                <w:color w:val="auto"/>
                <w:sz w:val="22"/>
                <w:szCs w:val="22"/>
                <w:highlight w:val="none"/>
              </w:rPr>
            </w:pPr>
          </w:p>
        </w:tc>
      </w:tr>
      <w:tr w14:paraId="664C85B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double" w:color="auto" w:sz="2" w:space="0"/>
              <w:bottom w:val="single" w:color="auto" w:sz="4" w:space="0"/>
              <w:right w:val="single" w:color="auto" w:sz="4" w:space="0"/>
            </w:tcBorders>
            <w:noWrap w:val="0"/>
            <w:vAlign w:val="center"/>
          </w:tcPr>
          <w:p w14:paraId="5BE75E23">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14:paraId="0D6D04AA">
            <w:pPr>
              <w:rPr>
                <w:rFonts w:hint="eastAsia" w:ascii="宋体" w:hAnsi="宋体" w:eastAsia="宋体" w:cs="宋体"/>
                <w:i w:val="0"/>
                <w:iCs w:val="0"/>
                <w:color w:val="auto"/>
                <w:sz w:val="22"/>
                <w:szCs w:val="22"/>
                <w:lang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2A0C2625">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1048" w:type="dxa"/>
            <w:vMerge w:val="continue"/>
            <w:tcBorders>
              <w:top w:val="single" w:color="auto" w:sz="4" w:space="0"/>
              <w:left w:val="single" w:color="auto" w:sz="4" w:space="0"/>
              <w:bottom w:val="single" w:color="auto" w:sz="4" w:space="0"/>
              <w:right w:val="double" w:color="auto" w:sz="2" w:space="0"/>
            </w:tcBorders>
            <w:noWrap w:val="0"/>
            <w:vAlign w:val="center"/>
          </w:tcPr>
          <w:p w14:paraId="758D2B98">
            <w:pPr>
              <w:pageBreakBefore w:val="0"/>
              <w:widowControl w:val="0"/>
              <w:kinsoku/>
              <w:wordWrap/>
              <w:overflowPunct/>
              <w:autoSpaceDE/>
              <w:autoSpaceDN/>
              <w:bidi w:val="0"/>
              <w:jc w:val="left"/>
              <w:textAlignment w:val="auto"/>
              <w:rPr>
                <w:rFonts w:hint="eastAsia" w:ascii="宋体" w:hAnsi="宋体" w:eastAsia="宋体" w:cs="宋体"/>
                <w:color w:val="auto"/>
                <w:sz w:val="22"/>
                <w:szCs w:val="22"/>
                <w:highlight w:val="none"/>
              </w:rPr>
            </w:pPr>
          </w:p>
        </w:tc>
      </w:tr>
      <w:tr w14:paraId="03A232F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double" w:color="auto" w:sz="2" w:space="0"/>
              <w:bottom w:val="single" w:color="auto" w:sz="4" w:space="0"/>
              <w:right w:val="single" w:color="auto" w:sz="4" w:space="0"/>
            </w:tcBorders>
            <w:noWrap w:val="0"/>
            <w:vAlign w:val="center"/>
          </w:tcPr>
          <w:p w14:paraId="71584FF1">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14:paraId="136914E0">
            <w:pPr>
              <w:rPr>
                <w:rFonts w:hint="eastAsia" w:ascii="宋体" w:hAnsi="宋体" w:eastAsia="宋体" w:cs="宋体"/>
                <w:i w:val="0"/>
                <w:iCs w:val="0"/>
                <w:color w:val="auto"/>
                <w:sz w:val="22"/>
                <w:szCs w:val="22"/>
                <w:lang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4843163F">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1048" w:type="dxa"/>
            <w:vMerge w:val="continue"/>
            <w:tcBorders>
              <w:top w:val="single" w:color="auto" w:sz="4" w:space="0"/>
              <w:left w:val="single" w:color="auto" w:sz="4" w:space="0"/>
              <w:bottom w:val="single" w:color="auto" w:sz="4" w:space="0"/>
              <w:right w:val="double" w:color="auto" w:sz="2" w:space="0"/>
            </w:tcBorders>
            <w:noWrap w:val="0"/>
            <w:vAlign w:val="center"/>
          </w:tcPr>
          <w:p w14:paraId="6DE9501E">
            <w:pPr>
              <w:pageBreakBefore w:val="0"/>
              <w:widowControl w:val="0"/>
              <w:kinsoku/>
              <w:wordWrap/>
              <w:overflowPunct/>
              <w:autoSpaceDE/>
              <w:autoSpaceDN/>
              <w:bidi w:val="0"/>
              <w:jc w:val="left"/>
              <w:textAlignment w:val="auto"/>
              <w:rPr>
                <w:rFonts w:hint="eastAsia" w:ascii="宋体" w:hAnsi="宋体" w:eastAsia="宋体" w:cs="宋体"/>
                <w:color w:val="auto"/>
                <w:sz w:val="22"/>
                <w:szCs w:val="22"/>
                <w:highlight w:val="none"/>
              </w:rPr>
            </w:pPr>
          </w:p>
        </w:tc>
      </w:tr>
      <w:tr w14:paraId="0F25C9B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double" w:color="auto" w:sz="2" w:space="0"/>
              <w:bottom w:val="single" w:color="auto" w:sz="4" w:space="0"/>
              <w:right w:val="single" w:color="auto" w:sz="4" w:space="0"/>
            </w:tcBorders>
            <w:noWrap w:val="0"/>
            <w:vAlign w:val="center"/>
          </w:tcPr>
          <w:p w14:paraId="3A2E1736">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2952" w:type="dxa"/>
            <w:tcBorders>
              <w:top w:val="single" w:color="auto" w:sz="4" w:space="0"/>
              <w:left w:val="single" w:color="auto" w:sz="4" w:space="0"/>
              <w:bottom w:val="single" w:color="auto" w:sz="4" w:space="0"/>
              <w:right w:val="single" w:color="auto" w:sz="4" w:space="0"/>
            </w:tcBorders>
            <w:noWrap w:val="0"/>
            <w:vAlign w:val="center"/>
          </w:tcPr>
          <w:p w14:paraId="3BEC7C6D">
            <w:pPr>
              <w:rPr>
                <w:rFonts w:hint="eastAsia" w:ascii="宋体" w:hAnsi="宋体" w:eastAsia="宋体" w:cs="宋体"/>
                <w:i w:val="0"/>
                <w:iCs w:val="0"/>
                <w:color w:val="auto"/>
                <w:sz w:val="22"/>
                <w:szCs w:val="22"/>
                <w:lang w:eastAsia="zh-CN"/>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7ED02416">
            <w:pPr>
              <w:pageBreakBefore w:val="0"/>
              <w:widowControl w:val="0"/>
              <w:kinsoku/>
              <w:wordWrap/>
              <w:overflowPunct/>
              <w:autoSpaceDE/>
              <w:autoSpaceDN/>
              <w:bidi w:val="0"/>
              <w:jc w:val="center"/>
              <w:textAlignment w:val="auto"/>
              <w:rPr>
                <w:rFonts w:hint="eastAsia" w:ascii="宋体" w:hAnsi="宋体" w:eastAsia="宋体" w:cs="宋体"/>
                <w:color w:val="auto"/>
                <w:sz w:val="22"/>
                <w:szCs w:val="22"/>
                <w:highlight w:val="none"/>
              </w:rPr>
            </w:pPr>
          </w:p>
        </w:tc>
        <w:tc>
          <w:tcPr>
            <w:tcW w:w="1048" w:type="dxa"/>
            <w:vMerge w:val="continue"/>
            <w:tcBorders>
              <w:top w:val="single" w:color="auto" w:sz="4" w:space="0"/>
              <w:left w:val="single" w:color="auto" w:sz="4" w:space="0"/>
              <w:bottom w:val="single" w:color="auto" w:sz="4" w:space="0"/>
              <w:right w:val="double" w:color="auto" w:sz="2" w:space="0"/>
            </w:tcBorders>
            <w:noWrap w:val="0"/>
            <w:vAlign w:val="center"/>
          </w:tcPr>
          <w:p w14:paraId="4DCDD0E9">
            <w:pPr>
              <w:pageBreakBefore w:val="0"/>
              <w:widowControl w:val="0"/>
              <w:kinsoku/>
              <w:wordWrap/>
              <w:overflowPunct/>
              <w:autoSpaceDE/>
              <w:autoSpaceDN/>
              <w:bidi w:val="0"/>
              <w:jc w:val="left"/>
              <w:textAlignment w:val="auto"/>
              <w:rPr>
                <w:rFonts w:hint="eastAsia" w:ascii="宋体" w:hAnsi="宋体" w:eastAsia="宋体" w:cs="宋体"/>
                <w:color w:val="auto"/>
                <w:sz w:val="22"/>
                <w:szCs w:val="22"/>
                <w:highlight w:val="none"/>
              </w:rPr>
            </w:pPr>
          </w:p>
        </w:tc>
      </w:tr>
      <w:tr w14:paraId="290A814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double" w:color="auto" w:sz="2" w:space="0"/>
              <w:bottom w:val="double" w:color="auto" w:sz="2" w:space="0"/>
              <w:right w:val="single" w:color="auto" w:sz="4" w:space="0"/>
            </w:tcBorders>
            <w:noWrap w:val="0"/>
            <w:vAlign w:val="center"/>
          </w:tcPr>
          <w:p w14:paraId="52680915">
            <w:pPr>
              <w:pageBreakBefore w:val="0"/>
              <w:widowControl w:val="0"/>
              <w:kinsoku/>
              <w:wordWrap/>
              <w:overflowPunct/>
              <w:autoSpaceDE/>
              <w:autoSpaceDN/>
              <w:bidi w:val="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rPr>
              <w:t>合计</w:t>
            </w:r>
          </w:p>
        </w:tc>
        <w:tc>
          <w:tcPr>
            <w:tcW w:w="2952" w:type="dxa"/>
            <w:tcBorders>
              <w:top w:val="single" w:color="auto" w:sz="4" w:space="0"/>
              <w:left w:val="single" w:color="auto" w:sz="4" w:space="0"/>
              <w:bottom w:val="double" w:color="auto" w:sz="2" w:space="0"/>
              <w:right w:val="single" w:color="auto" w:sz="4" w:space="0"/>
            </w:tcBorders>
            <w:noWrap w:val="0"/>
            <w:vAlign w:val="center"/>
          </w:tcPr>
          <w:p w14:paraId="7E0A9F04">
            <w:pPr>
              <w:pageBreakBefore w:val="0"/>
              <w:widowControl w:val="0"/>
              <w:kinsoku/>
              <w:wordWrap/>
              <w:overflowPunct/>
              <w:autoSpaceDE/>
              <w:autoSpaceDN/>
              <w:bidi w:val="0"/>
              <w:jc w:val="center"/>
              <w:textAlignment w:val="auto"/>
              <w:rPr>
                <w:rFonts w:hint="eastAsia" w:ascii="宋体" w:hAnsi="宋体" w:eastAsia="宋体" w:cs="宋体"/>
                <w:b/>
                <w:bCs/>
                <w:color w:val="auto"/>
                <w:sz w:val="22"/>
                <w:szCs w:val="22"/>
                <w:highlight w:val="none"/>
              </w:rPr>
            </w:pPr>
          </w:p>
        </w:tc>
        <w:tc>
          <w:tcPr>
            <w:tcW w:w="3092" w:type="dxa"/>
            <w:tcBorders>
              <w:top w:val="single" w:color="auto" w:sz="4" w:space="0"/>
              <w:left w:val="single" w:color="auto" w:sz="4" w:space="0"/>
              <w:bottom w:val="double" w:color="auto" w:sz="2" w:space="0"/>
              <w:right w:val="single" w:color="auto" w:sz="4" w:space="0"/>
            </w:tcBorders>
            <w:noWrap w:val="0"/>
            <w:vAlign w:val="center"/>
          </w:tcPr>
          <w:p w14:paraId="1CC7464A">
            <w:pPr>
              <w:pageBreakBefore w:val="0"/>
              <w:widowControl w:val="0"/>
              <w:kinsoku/>
              <w:wordWrap/>
              <w:overflowPunct/>
              <w:autoSpaceDE/>
              <w:autoSpaceDN/>
              <w:bidi w:val="0"/>
              <w:jc w:val="center"/>
              <w:textAlignment w:val="auto"/>
              <w:rPr>
                <w:rFonts w:hint="eastAsia" w:ascii="宋体" w:hAnsi="宋体" w:eastAsia="宋体" w:cs="宋体"/>
                <w:b/>
                <w:bCs/>
                <w:color w:val="auto"/>
                <w:sz w:val="22"/>
                <w:szCs w:val="22"/>
                <w:highlight w:val="none"/>
              </w:rPr>
            </w:pPr>
          </w:p>
        </w:tc>
        <w:tc>
          <w:tcPr>
            <w:tcW w:w="1048" w:type="dxa"/>
            <w:vMerge w:val="continue"/>
            <w:tcBorders>
              <w:top w:val="single" w:color="auto" w:sz="4" w:space="0"/>
              <w:left w:val="single" w:color="auto" w:sz="4" w:space="0"/>
              <w:bottom w:val="single" w:color="auto" w:sz="4" w:space="0"/>
              <w:right w:val="double" w:color="auto" w:sz="2" w:space="0"/>
            </w:tcBorders>
            <w:noWrap w:val="0"/>
            <w:vAlign w:val="center"/>
          </w:tcPr>
          <w:p w14:paraId="6DBE0DB2">
            <w:pPr>
              <w:pageBreakBefore w:val="0"/>
              <w:widowControl w:val="0"/>
              <w:kinsoku/>
              <w:wordWrap/>
              <w:overflowPunct/>
              <w:autoSpaceDE/>
              <w:autoSpaceDN/>
              <w:bidi w:val="0"/>
              <w:jc w:val="left"/>
              <w:textAlignment w:val="auto"/>
              <w:rPr>
                <w:rFonts w:hint="eastAsia" w:ascii="宋体" w:hAnsi="宋体" w:eastAsia="宋体" w:cs="宋体"/>
                <w:color w:val="auto"/>
                <w:sz w:val="22"/>
                <w:szCs w:val="22"/>
                <w:highlight w:val="none"/>
              </w:rPr>
            </w:pPr>
          </w:p>
        </w:tc>
      </w:tr>
    </w:tbl>
    <w:p w14:paraId="5B6D53FC">
      <w:pPr>
        <w:pStyle w:val="8"/>
        <w:spacing w:line="279" w:lineRule="auto"/>
        <w:jc w:val="center"/>
        <w:rPr>
          <w:rFonts w:hint="eastAsia" w:ascii="宋体" w:hAnsi="宋体" w:eastAsia="宋体" w:cs="宋体"/>
          <w:color w:val="auto"/>
          <w:sz w:val="22"/>
          <w:szCs w:val="22"/>
        </w:rPr>
      </w:pPr>
    </w:p>
    <w:p w14:paraId="40B1A6E1">
      <w:pPr>
        <w:pStyle w:val="8"/>
        <w:spacing w:before="100" w:line="209" w:lineRule="auto"/>
        <w:outlineLvl w:val="1"/>
        <w:rPr>
          <w:rFonts w:hint="eastAsia" w:ascii="宋体" w:hAnsi="宋体" w:eastAsia="宋体" w:cs="宋体"/>
          <w:b/>
          <w:bCs/>
          <w:color w:val="auto"/>
          <w:sz w:val="22"/>
          <w:szCs w:val="22"/>
          <w:lang w:val="en-US" w:eastAsia="zh-CN"/>
        </w:rPr>
      </w:pPr>
      <w:bookmarkStart w:id="100" w:name="bookmark100"/>
      <w:bookmarkEnd w:id="100"/>
      <w:bookmarkStart w:id="101" w:name="bookmark105"/>
      <w:bookmarkEnd w:id="101"/>
      <w:bookmarkStart w:id="102" w:name="bookmark173"/>
      <w:bookmarkEnd w:id="102"/>
      <w:bookmarkStart w:id="103" w:name="bookmark172"/>
      <w:bookmarkEnd w:id="103"/>
      <w:bookmarkStart w:id="104" w:name="bookmark171"/>
      <w:bookmarkEnd w:id="104"/>
    </w:p>
    <w:p w14:paraId="44139617">
      <w:pPr>
        <w:pStyle w:val="8"/>
        <w:spacing w:before="100" w:line="209" w:lineRule="auto"/>
        <w:outlineLvl w:val="1"/>
        <w:rPr>
          <w:rFonts w:hint="eastAsia" w:ascii="宋体" w:hAnsi="宋体" w:eastAsia="宋体" w:cs="宋体"/>
          <w:b/>
          <w:bCs/>
          <w:color w:val="auto"/>
          <w:sz w:val="22"/>
          <w:szCs w:val="22"/>
          <w:lang w:val="en-US" w:eastAsia="zh-CN"/>
        </w:rPr>
      </w:pPr>
    </w:p>
    <w:p w14:paraId="67F30E69">
      <w:pPr>
        <w:ind w:left="0" w:left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注：本表应清楚地标明供应商拟提供的服务或工程费用等内容，其合计价格应与</w:t>
      </w:r>
      <w:r>
        <w:rPr>
          <w:rFonts w:hint="eastAsia" w:ascii="宋体" w:hAnsi="宋体" w:eastAsia="宋体" w:cs="宋体"/>
          <w:color w:val="auto"/>
          <w:sz w:val="22"/>
          <w:szCs w:val="22"/>
          <w:lang w:eastAsia="zh-CN"/>
        </w:rPr>
        <w:t>报价一览表</w:t>
      </w:r>
      <w:r>
        <w:rPr>
          <w:rFonts w:hint="eastAsia" w:ascii="宋体" w:hAnsi="宋体" w:eastAsia="宋体" w:cs="宋体"/>
          <w:color w:val="auto"/>
          <w:sz w:val="22"/>
          <w:szCs w:val="22"/>
        </w:rPr>
        <w:t>中的总报价保持一致。</w:t>
      </w:r>
    </w:p>
    <w:p w14:paraId="235BB8D9">
      <w:pPr>
        <w:pStyle w:val="8"/>
        <w:spacing w:before="100" w:line="209" w:lineRule="auto"/>
        <w:outlineLvl w:val="1"/>
        <w:rPr>
          <w:rFonts w:hint="eastAsia" w:ascii="宋体" w:hAnsi="宋体" w:eastAsia="宋体" w:cs="宋体"/>
          <w:b/>
          <w:bCs/>
          <w:color w:val="auto"/>
          <w:sz w:val="22"/>
          <w:szCs w:val="22"/>
          <w:lang w:val="en-US" w:eastAsia="zh-CN"/>
        </w:rPr>
      </w:pPr>
    </w:p>
    <w:p w14:paraId="0F5E9F3C">
      <w:pPr>
        <w:rPr>
          <w:rFonts w:hint="eastAsia" w:cs="宋体"/>
          <w:i w:val="0"/>
          <w:iCs w:val="0"/>
          <w:color w:val="auto"/>
          <w:sz w:val="32"/>
          <w:szCs w:val="32"/>
          <w:lang w:val="en-US" w:eastAsia="zh-CN"/>
        </w:rPr>
      </w:pPr>
      <w:r>
        <w:rPr>
          <w:rFonts w:hint="eastAsia" w:cs="宋体"/>
          <w:i w:val="0"/>
          <w:iCs w:val="0"/>
          <w:color w:val="auto"/>
          <w:sz w:val="32"/>
          <w:szCs w:val="32"/>
          <w:lang w:val="en-US" w:eastAsia="zh-CN"/>
        </w:rPr>
        <w:br w:type="page"/>
      </w:r>
    </w:p>
    <w:p w14:paraId="4DFAAF6C">
      <w:pPr>
        <w:pStyle w:val="38"/>
        <w:ind w:firstLine="964" w:firstLineChars="300"/>
        <w:jc w:val="center"/>
        <w:outlineLvl w:val="1"/>
        <w:rPr>
          <w:rFonts w:hint="eastAsia" w:ascii="宋体" w:hAnsi="宋体" w:eastAsia="宋体" w:cs="宋体"/>
          <w:i w:val="0"/>
          <w:iCs w:val="0"/>
          <w:color w:val="auto"/>
          <w:sz w:val="32"/>
          <w:szCs w:val="32"/>
        </w:rPr>
      </w:pPr>
      <w:bookmarkStart w:id="105" w:name="_Toc14401"/>
      <w:r>
        <w:rPr>
          <w:rFonts w:hint="eastAsia" w:cs="宋体"/>
          <w:i w:val="0"/>
          <w:iCs w:val="0"/>
          <w:color w:val="auto"/>
          <w:sz w:val="32"/>
          <w:szCs w:val="32"/>
          <w:lang w:val="en-US" w:eastAsia="zh-CN"/>
        </w:rPr>
        <w:t>五</w:t>
      </w:r>
      <w:r>
        <w:rPr>
          <w:rFonts w:hint="eastAsia" w:ascii="宋体" w:hAnsi="宋体" w:eastAsia="宋体" w:cs="宋体"/>
          <w:i w:val="0"/>
          <w:iCs w:val="0"/>
          <w:color w:val="auto"/>
          <w:sz w:val="32"/>
          <w:szCs w:val="32"/>
        </w:rPr>
        <w:t>、项目要求响应情况表</w:t>
      </w:r>
      <w:bookmarkEnd w:id="93"/>
      <w:bookmarkEnd w:id="94"/>
      <w:bookmarkEnd w:id="95"/>
      <w:bookmarkEnd w:id="96"/>
      <w:bookmarkEnd w:id="97"/>
      <w:bookmarkEnd w:id="98"/>
      <w:bookmarkEnd w:id="105"/>
    </w:p>
    <w:p w14:paraId="22D89550">
      <w:pPr>
        <w:rPr>
          <w:rFonts w:hint="eastAsia" w:ascii="宋体" w:hAnsi="宋体" w:eastAsia="宋体" w:cs="宋体"/>
          <w:i w:val="0"/>
          <w:iCs w:val="0"/>
          <w:color w:val="auto"/>
          <w:sz w:val="22"/>
          <w:szCs w:val="22"/>
          <w:lang w:eastAsia="zh-CN"/>
        </w:rPr>
      </w:pPr>
    </w:p>
    <w:tbl>
      <w:tblPr>
        <w:tblStyle w:val="22"/>
        <w:tblW w:w="103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3447"/>
        <w:gridCol w:w="2507"/>
        <w:gridCol w:w="2049"/>
      </w:tblGrid>
      <w:tr w14:paraId="3B6C04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2316" w:type="dxa"/>
            <w:noWrap w:val="0"/>
            <w:vAlign w:val="center"/>
          </w:tcPr>
          <w:p w14:paraId="65B03495">
            <w:pPr>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序号</w:t>
            </w:r>
          </w:p>
        </w:tc>
        <w:tc>
          <w:tcPr>
            <w:tcW w:w="3447" w:type="dxa"/>
            <w:noWrap w:val="0"/>
            <w:vAlign w:val="center"/>
          </w:tcPr>
          <w:p w14:paraId="2A66979C">
            <w:pPr>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询比</w:t>
            </w:r>
            <w:r>
              <w:rPr>
                <w:rFonts w:hint="eastAsia" w:ascii="宋体" w:hAnsi="宋体" w:eastAsia="宋体" w:cs="宋体"/>
                <w:i w:val="0"/>
                <w:iCs w:val="0"/>
                <w:color w:val="auto"/>
                <w:sz w:val="24"/>
                <w:szCs w:val="24"/>
              </w:rPr>
              <w:t>文件要求</w:t>
            </w:r>
          </w:p>
        </w:tc>
        <w:tc>
          <w:tcPr>
            <w:tcW w:w="2507" w:type="dxa"/>
            <w:noWrap w:val="0"/>
            <w:vAlign w:val="center"/>
          </w:tcPr>
          <w:p w14:paraId="0D24A49C">
            <w:pPr>
              <w:ind w:firstLine="240" w:firstLineChars="1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供应商填写</w:t>
            </w:r>
          </w:p>
        </w:tc>
        <w:tc>
          <w:tcPr>
            <w:tcW w:w="2049" w:type="dxa"/>
            <w:noWrap w:val="0"/>
            <w:vAlign w:val="center"/>
          </w:tcPr>
          <w:p w14:paraId="14B358B0">
            <w:pPr>
              <w:ind w:firstLine="120" w:firstLineChars="5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响应情况</w:t>
            </w:r>
          </w:p>
        </w:tc>
      </w:tr>
      <w:tr w14:paraId="74E54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2316" w:type="dxa"/>
            <w:noWrap w:val="0"/>
            <w:vAlign w:val="center"/>
          </w:tcPr>
          <w:p w14:paraId="3CB43E9A">
            <w:pPr>
              <w:rPr>
                <w:rFonts w:hint="eastAsia" w:ascii="宋体" w:hAnsi="宋体" w:eastAsia="宋体" w:cs="宋体"/>
                <w:i w:val="0"/>
                <w:iCs w:val="0"/>
                <w:color w:val="auto"/>
                <w:sz w:val="22"/>
                <w:szCs w:val="22"/>
              </w:rPr>
            </w:pPr>
          </w:p>
        </w:tc>
        <w:tc>
          <w:tcPr>
            <w:tcW w:w="3447" w:type="dxa"/>
            <w:noWrap w:val="0"/>
            <w:vAlign w:val="center"/>
          </w:tcPr>
          <w:p w14:paraId="4E92B10D">
            <w:pPr>
              <w:rPr>
                <w:rFonts w:hint="eastAsia" w:ascii="宋体" w:hAnsi="宋体" w:eastAsia="宋体" w:cs="宋体"/>
                <w:i w:val="0"/>
                <w:iCs w:val="0"/>
                <w:color w:val="auto"/>
                <w:sz w:val="22"/>
                <w:szCs w:val="22"/>
              </w:rPr>
            </w:pPr>
          </w:p>
        </w:tc>
        <w:tc>
          <w:tcPr>
            <w:tcW w:w="2507" w:type="dxa"/>
            <w:noWrap w:val="0"/>
            <w:vAlign w:val="top"/>
          </w:tcPr>
          <w:p w14:paraId="5985F416">
            <w:pPr>
              <w:rPr>
                <w:rFonts w:hint="eastAsia" w:ascii="宋体" w:hAnsi="宋体" w:eastAsia="宋体" w:cs="宋体"/>
                <w:i w:val="0"/>
                <w:iCs w:val="0"/>
                <w:color w:val="auto"/>
                <w:sz w:val="22"/>
                <w:szCs w:val="22"/>
              </w:rPr>
            </w:pPr>
          </w:p>
        </w:tc>
        <w:tc>
          <w:tcPr>
            <w:tcW w:w="2049" w:type="dxa"/>
            <w:noWrap w:val="0"/>
            <w:vAlign w:val="top"/>
          </w:tcPr>
          <w:p w14:paraId="65FB0AF2">
            <w:pPr>
              <w:rPr>
                <w:rFonts w:hint="eastAsia" w:ascii="宋体" w:hAnsi="宋体" w:eastAsia="宋体" w:cs="宋体"/>
                <w:i w:val="0"/>
                <w:iCs w:val="0"/>
                <w:color w:val="auto"/>
                <w:sz w:val="22"/>
                <w:szCs w:val="22"/>
              </w:rPr>
            </w:pPr>
          </w:p>
        </w:tc>
      </w:tr>
      <w:tr w14:paraId="617FAF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2316" w:type="dxa"/>
            <w:noWrap w:val="0"/>
            <w:vAlign w:val="center"/>
          </w:tcPr>
          <w:p w14:paraId="68F25AF8">
            <w:pPr>
              <w:jc w:val="center"/>
              <w:rPr>
                <w:rFonts w:hint="eastAsia" w:ascii="宋体" w:hAnsi="宋体" w:eastAsia="宋体" w:cs="宋体"/>
                <w:i w:val="0"/>
                <w:iCs w:val="0"/>
                <w:color w:val="auto"/>
                <w:sz w:val="22"/>
                <w:szCs w:val="22"/>
              </w:rPr>
            </w:pPr>
          </w:p>
        </w:tc>
        <w:tc>
          <w:tcPr>
            <w:tcW w:w="3447" w:type="dxa"/>
            <w:noWrap w:val="0"/>
            <w:vAlign w:val="center"/>
          </w:tcPr>
          <w:p w14:paraId="70F9025C">
            <w:pPr>
              <w:rPr>
                <w:rFonts w:hint="eastAsia" w:ascii="宋体" w:hAnsi="宋体" w:eastAsia="宋体" w:cs="宋体"/>
                <w:i w:val="0"/>
                <w:iCs w:val="0"/>
                <w:color w:val="auto"/>
                <w:sz w:val="22"/>
                <w:szCs w:val="22"/>
              </w:rPr>
            </w:pPr>
          </w:p>
        </w:tc>
        <w:tc>
          <w:tcPr>
            <w:tcW w:w="2507" w:type="dxa"/>
            <w:noWrap w:val="0"/>
            <w:vAlign w:val="top"/>
          </w:tcPr>
          <w:p w14:paraId="7DA0D30A">
            <w:pPr>
              <w:rPr>
                <w:rFonts w:hint="eastAsia" w:ascii="宋体" w:hAnsi="宋体" w:eastAsia="宋体" w:cs="宋体"/>
                <w:i w:val="0"/>
                <w:iCs w:val="0"/>
                <w:color w:val="auto"/>
                <w:sz w:val="22"/>
                <w:szCs w:val="22"/>
              </w:rPr>
            </w:pPr>
          </w:p>
        </w:tc>
        <w:tc>
          <w:tcPr>
            <w:tcW w:w="2049" w:type="dxa"/>
            <w:noWrap w:val="0"/>
            <w:vAlign w:val="top"/>
          </w:tcPr>
          <w:p w14:paraId="668BA7D9">
            <w:pPr>
              <w:rPr>
                <w:rFonts w:hint="eastAsia" w:ascii="宋体" w:hAnsi="宋体" w:eastAsia="宋体" w:cs="宋体"/>
                <w:i w:val="0"/>
                <w:iCs w:val="0"/>
                <w:color w:val="auto"/>
                <w:sz w:val="22"/>
                <w:szCs w:val="22"/>
              </w:rPr>
            </w:pPr>
          </w:p>
        </w:tc>
      </w:tr>
      <w:tr w14:paraId="21B180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2316" w:type="dxa"/>
            <w:noWrap w:val="0"/>
            <w:vAlign w:val="center"/>
          </w:tcPr>
          <w:p w14:paraId="6EC44AC8">
            <w:pPr>
              <w:rPr>
                <w:rFonts w:hint="eastAsia" w:ascii="宋体" w:hAnsi="宋体" w:eastAsia="宋体" w:cs="宋体"/>
                <w:i w:val="0"/>
                <w:iCs w:val="0"/>
                <w:color w:val="auto"/>
                <w:sz w:val="22"/>
                <w:szCs w:val="22"/>
              </w:rPr>
            </w:pPr>
          </w:p>
        </w:tc>
        <w:tc>
          <w:tcPr>
            <w:tcW w:w="3447" w:type="dxa"/>
            <w:noWrap w:val="0"/>
            <w:vAlign w:val="center"/>
          </w:tcPr>
          <w:p w14:paraId="458A0B14">
            <w:pPr>
              <w:rPr>
                <w:rFonts w:hint="eastAsia" w:ascii="宋体" w:hAnsi="宋体" w:eastAsia="宋体" w:cs="宋体"/>
                <w:i w:val="0"/>
                <w:iCs w:val="0"/>
                <w:color w:val="auto"/>
                <w:sz w:val="22"/>
                <w:szCs w:val="22"/>
              </w:rPr>
            </w:pPr>
          </w:p>
        </w:tc>
        <w:tc>
          <w:tcPr>
            <w:tcW w:w="2507" w:type="dxa"/>
            <w:noWrap w:val="0"/>
            <w:vAlign w:val="top"/>
          </w:tcPr>
          <w:p w14:paraId="2F8AD39A">
            <w:pPr>
              <w:rPr>
                <w:rFonts w:hint="eastAsia" w:ascii="宋体" w:hAnsi="宋体" w:eastAsia="宋体" w:cs="宋体"/>
                <w:i w:val="0"/>
                <w:iCs w:val="0"/>
                <w:color w:val="auto"/>
                <w:sz w:val="22"/>
                <w:szCs w:val="22"/>
              </w:rPr>
            </w:pPr>
          </w:p>
        </w:tc>
        <w:tc>
          <w:tcPr>
            <w:tcW w:w="2049" w:type="dxa"/>
            <w:noWrap w:val="0"/>
            <w:vAlign w:val="top"/>
          </w:tcPr>
          <w:p w14:paraId="088A07DA">
            <w:pPr>
              <w:rPr>
                <w:rFonts w:hint="eastAsia" w:ascii="宋体" w:hAnsi="宋体" w:eastAsia="宋体" w:cs="宋体"/>
                <w:i w:val="0"/>
                <w:iCs w:val="0"/>
                <w:color w:val="auto"/>
                <w:sz w:val="22"/>
                <w:szCs w:val="22"/>
              </w:rPr>
            </w:pPr>
          </w:p>
        </w:tc>
      </w:tr>
      <w:tr w14:paraId="1F2C15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2316" w:type="dxa"/>
            <w:noWrap w:val="0"/>
            <w:vAlign w:val="center"/>
          </w:tcPr>
          <w:p w14:paraId="4F9C820C">
            <w:pPr>
              <w:jc w:val="center"/>
              <w:rPr>
                <w:rFonts w:hint="eastAsia" w:ascii="宋体" w:hAnsi="宋体" w:eastAsia="宋体" w:cs="宋体"/>
                <w:i w:val="0"/>
                <w:iCs w:val="0"/>
                <w:color w:val="auto"/>
                <w:sz w:val="22"/>
                <w:szCs w:val="22"/>
              </w:rPr>
            </w:pPr>
          </w:p>
        </w:tc>
        <w:tc>
          <w:tcPr>
            <w:tcW w:w="3447" w:type="dxa"/>
            <w:noWrap w:val="0"/>
            <w:vAlign w:val="center"/>
          </w:tcPr>
          <w:p w14:paraId="2C714482">
            <w:pPr>
              <w:rPr>
                <w:rFonts w:hint="eastAsia" w:ascii="宋体" w:hAnsi="宋体" w:eastAsia="宋体" w:cs="宋体"/>
                <w:i w:val="0"/>
                <w:iCs w:val="0"/>
                <w:color w:val="auto"/>
                <w:sz w:val="22"/>
                <w:szCs w:val="22"/>
              </w:rPr>
            </w:pPr>
          </w:p>
        </w:tc>
        <w:tc>
          <w:tcPr>
            <w:tcW w:w="2507" w:type="dxa"/>
            <w:noWrap w:val="0"/>
            <w:vAlign w:val="top"/>
          </w:tcPr>
          <w:p w14:paraId="58B13DA2">
            <w:pPr>
              <w:rPr>
                <w:rFonts w:hint="eastAsia" w:ascii="宋体" w:hAnsi="宋体" w:eastAsia="宋体" w:cs="宋体"/>
                <w:i w:val="0"/>
                <w:iCs w:val="0"/>
                <w:color w:val="auto"/>
                <w:sz w:val="22"/>
                <w:szCs w:val="22"/>
              </w:rPr>
            </w:pPr>
          </w:p>
        </w:tc>
        <w:tc>
          <w:tcPr>
            <w:tcW w:w="2049" w:type="dxa"/>
            <w:noWrap w:val="0"/>
            <w:vAlign w:val="top"/>
          </w:tcPr>
          <w:p w14:paraId="6E049333">
            <w:pPr>
              <w:rPr>
                <w:rFonts w:hint="eastAsia" w:ascii="宋体" w:hAnsi="宋体" w:eastAsia="宋体" w:cs="宋体"/>
                <w:i w:val="0"/>
                <w:iCs w:val="0"/>
                <w:color w:val="auto"/>
                <w:sz w:val="22"/>
                <w:szCs w:val="22"/>
              </w:rPr>
            </w:pPr>
          </w:p>
        </w:tc>
      </w:tr>
      <w:tr w14:paraId="742705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2316" w:type="dxa"/>
            <w:noWrap w:val="0"/>
            <w:vAlign w:val="center"/>
          </w:tcPr>
          <w:p w14:paraId="62D4BAE0">
            <w:pPr>
              <w:jc w:val="center"/>
              <w:rPr>
                <w:rFonts w:hint="eastAsia" w:ascii="宋体" w:hAnsi="宋体" w:eastAsia="宋体" w:cs="宋体"/>
                <w:i w:val="0"/>
                <w:iCs w:val="0"/>
                <w:color w:val="auto"/>
                <w:sz w:val="22"/>
                <w:szCs w:val="22"/>
              </w:rPr>
            </w:pPr>
          </w:p>
        </w:tc>
        <w:tc>
          <w:tcPr>
            <w:tcW w:w="3447" w:type="dxa"/>
            <w:noWrap w:val="0"/>
            <w:vAlign w:val="center"/>
          </w:tcPr>
          <w:p w14:paraId="05A965CA">
            <w:pPr>
              <w:rPr>
                <w:rFonts w:hint="eastAsia" w:ascii="宋体" w:hAnsi="宋体" w:eastAsia="宋体" w:cs="宋体"/>
                <w:i w:val="0"/>
                <w:iCs w:val="0"/>
                <w:color w:val="auto"/>
                <w:sz w:val="22"/>
                <w:szCs w:val="22"/>
              </w:rPr>
            </w:pPr>
          </w:p>
        </w:tc>
        <w:tc>
          <w:tcPr>
            <w:tcW w:w="2507" w:type="dxa"/>
            <w:noWrap w:val="0"/>
            <w:vAlign w:val="top"/>
          </w:tcPr>
          <w:p w14:paraId="545B7E1C">
            <w:pPr>
              <w:rPr>
                <w:rFonts w:hint="eastAsia" w:ascii="宋体" w:hAnsi="宋体" w:eastAsia="宋体" w:cs="宋体"/>
                <w:i w:val="0"/>
                <w:iCs w:val="0"/>
                <w:color w:val="auto"/>
                <w:sz w:val="22"/>
                <w:szCs w:val="22"/>
              </w:rPr>
            </w:pPr>
          </w:p>
        </w:tc>
        <w:tc>
          <w:tcPr>
            <w:tcW w:w="2049" w:type="dxa"/>
            <w:noWrap w:val="0"/>
            <w:vAlign w:val="top"/>
          </w:tcPr>
          <w:p w14:paraId="54BC4F7A">
            <w:pPr>
              <w:rPr>
                <w:rFonts w:hint="eastAsia" w:ascii="宋体" w:hAnsi="宋体" w:eastAsia="宋体" w:cs="宋体"/>
                <w:i w:val="0"/>
                <w:iCs w:val="0"/>
                <w:color w:val="auto"/>
                <w:sz w:val="22"/>
                <w:szCs w:val="22"/>
              </w:rPr>
            </w:pPr>
          </w:p>
        </w:tc>
      </w:tr>
      <w:tr w14:paraId="0BFB2C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2316" w:type="dxa"/>
            <w:noWrap w:val="0"/>
            <w:vAlign w:val="center"/>
          </w:tcPr>
          <w:p w14:paraId="60EE3DC0">
            <w:pPr>
              <w:jc w:val="center"/>
              <w:rPr>
                <w:rFonts w:hint="eastAsia" w:ascii="宋体" w:hAnsi="宋体" w:eastAsia="宋体" w:cs="宋体"/>
                <w:i w:val="0"/>
                <w:iCs w:val="0"/>
                <w:color w:val="auto"/>
                <w:sz w:val="22"/>
                <w:szCs w:val="22"/>
              </w:rPr>
            </w:pPr>
          </w:p>
        </w:tc>
        <w:tc>
          <w:tcPr>
            <w:tcW w:w="3447" w:type="dxa"/>
            <w:noWrap w:val="0"/>
            <w:vAlign w:val="center"/>
          </w:tcPr>
          <w:p w14:paraId="40D72A58">
            <w:pPr>
              <w:rPr>
                <w:rFonts w:hint="eastAsia" w:ascii="宋体" w:hAnsi="宋体" w:eastAsia="宋体" w:cs="宋体"/>
                <w:i w:val="0"/>
                <w:iCs w:val="0"/>
                <w:color w:val="auto"/>
                <w:sz w:val="22"/>
                <w:szCs w:val="22"/>
              </w:rPr>
            </w:pPr>
          </w:p>
        </w:tc>
        <w:tc>
          <w:tcPr>
            <w:tcW w:w="2507" w:type="dxa"/>
            <w:noWrap w:val="0"/>
            <w:vAlign w:val="top"/>
          </w:tcPr>
          <w:p w14:paraId="0FADDBD5">
            <w:pPr>
              <w:rPr>
                <w:rFonts w:hint="eastAsia" w:ascii="宋体" w:hAnsi="宋体" w:eastAsia="宋体" w:cs="宋体"/>
                <w:i w:val="0"/>
                <w:iCs w:val="0"/>
                <w:color w:val="auto"/>
                <w:sz w:val="22"/>
                <w:szCs w:val="22"/>
              </w:rPr>
            </w:pPr>
          </w:p>
        </w:tc>
        <w:tc>
          <w:tcPr>
            <w:tcW w:w="2049" w:type="dxa"/>
            <w:noWrap w:val="0"/>
            <w:vAlign w:val="top"/>
          </w:tcPr>
          <w:p w14:paraId="1245454D">
            <w:pPr>
              <w:rPr>
                <w:rFonts w:hint="eastAsia" w:ascii="宋体" w:hAnsi="宋体" w:eastAsia="宋体" w:cs="宋体"/>
                <w:i w:val="0"/>
                <w:iCs w:val="0"/>
                <w:color w:val="auto"/>
                <w:sz w:val="22"/>
                <w:szCs w:val="22"/>
              </w:rPr>
            </w:pPr>
          </w:p>
        </w:tc>
      </w:tr>
      <w:tr w14:paraId="5FFD6C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2316" w:type="dxa"/>
            <w:noWrap w:val="0"/>
            <w:vAlign w:val="center"/>
          </w:tcPr>
          <w:p w14:paraId="6015CAEF">
            <w:pPr>
              <w:jc w:val="center"/>
              <w:rPr>
                <w:rFonts w:hint="eastAsia" w:ascii="宋体" w:hAnsi="宋体" w:eastAsia="宋体" w:cs="宋体"/>
                <w:i w:val="0"/>
                <w:iCs w:val="0"/>
                <w:color w:val="auto"/>
                <w:sz w:val="22"/>
                <w:szCs w:val="22"/>
              </w:rPr>
            </w:pPr>
          </w:p>
        </w:tc>
        <w:tc>
          <w:tcPr>
            <w:tcW w:w="3447" w:type="dxa"/>
            <w:noWrap w:val="0"/>
            <w:vAlign w:val="center"/>
          </w:tcPr>
          <w:p w14:paraId="68A5D54A">
            <w:pPr>
              <w:rPr>
                <w:rFonts w:hint="eastAsia" w:ascii="宋体" w:hAnsi="宋体" w:eastAsia="宋体" w:cs="宋体"/>
                <w:i w:val="0"/>
                <w:iCs w:val="0"/>
                <w:color w:val="auto"/>
                <w:sz w:val="22"/>
                <w:szCs w:val="22"/>
              </w:rPr>
            </w:pPr>
          </w:p>
        </w:tc>
        <w:tc>
          <w:tcPr>
            <w:tcW w:w="2507" w:type="dxa"/>
            <w:noWrap w:val="0"/>
            <w:vAlign w:val="top"/>
          </w:tcPr>
          <w:p w14:paraId="2E03010E">
            <w:pPr>
              <w:rPr>
                <w:rFonts w:hint="eastAsia" w:ascii="宋体" w:hAnsi="宋体" w:eastAsia="宋体" w:cs="宋体"/>
                <w:i w:val="0"/>
                <w:iCs w:val="0"/>
                <w:color w:val="auto"/>
                <w:sz w:val="22"/>
                <w:szCs w:val="22"/>
              </w:rPr>
            </w:pPr>
          </w:p>
        </w:tc>
        <w:tc>
          <w:tcPr>
            <w:tcW w:w="2049" w:type="dxa"/>
            <w:noWrap w:val="0"/>
            <w:vAlign w:val="top"/>
          </w:tcPr>
          <w:p w14:paraId="71D10E34">
            <w:pPr>
              <w:rPr>
                <w:rFonts w:hint="eastAsia" w:ascii="宋体" w:hAnsi="宋体" w:eastAsia="宋体" w:cs="宋体"/>
                <w:i w:val="0"/>
                <w:iCs w:val="0"/>
                <w:color w:val="auto"/>
                <w:sz w:val="22"/>
                <w:szCs w:val="22"/>
              </w:rPr>
            </w:pPr>
          </w:p>
        </w:tc>
      </w:tr>
      <w:tr w14:paraId="5E983B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2316" w:type="dxa"/>
            <w:noWrap w:val="0"/>
            <w:vAlign w:val="center"/>
          </w:tcPr>
          <w:p w14:paraId="1FCF779F">
            <w:pPr>
              <w:jc w:val="center"/>
              <w:rPr>
                <w:rFonts w:hint="eastAsia" w:ascii="宋体" w:hAnsi="宋体" w:eastAsia="宋体" w:cs="宋体"/>
                <w:i w:val="0"/>
                <w:iCs w:val="0"/>
                <w:color w:val="auto"/>
                <w:sz w:val="22"/>
                <w:szCs w:val="22"/>
              </w:rPr>
            </w:pPr>
          </w:p>
        </w:tc>
        <w:tc>
          <w:tcPr>
            <w:tcW w:w="3447" w:type="dxa"/>
            <w:noWrap w:val="0"/>
            <w:vAlign w:val="center"/>
          </w:tcPr>
          <w:p w14:paraId="7B7B6872">
            <w:pPr>
              <w:rPr>
                <w:rFonts w:hint="eastAsia" w:ascii="宋体" w:hAnsi="宋体" w:eastAsia="宋体" w:cs="宋体"/>
                <w:i w:val="0"/>
                <w:iCs w:val="0"/>
                <w:color w:val="auto"/>
                <w:sz w:val="22"/>
                <w:szCs w:val="22"/>
              </w:rPr>
            </w:pPr>
          </w:p>
        </w:tc>
        <w:tc>
          <w:tcPr>
            <w:tcW w:w="2507" w:type="dxa"/>
            <w:noWrap w:val="0"/>
            <w:vAlign w:val="top"/>
          </w:tcPr>
          <w:p w14:paraId="4ED0D27B">
            <w:pPr>
              <w:rPr>
                <w:rFonts w:hint="eastAsia" w:ascii="宋体" w:hAnsi="宋体" w:eastAsia="宋体" w:cs="宋体"/>
                <w:i w:val="0"/>
                <w:iCs w:val="0"/>
                <w:color w:val="auto"/>
                <w:sz w:val="22"/>
                <w:szCs w:val="22"/>
              </w:rPr>
            </w:pPr>
          </w:p>
        </w:tc>
        <w:tc>
          <w:tcPr>
            <w:tcW w:w="2049" w:type="dxa"/>
            <w:noWrap w:val="0"/>
            <w:vAlign w:val="top"/>
          </w:tcPr>
          <w:p w14:paraId="596B1C35">
            <w:pPr>
              <w:rPr>
                <w:rFonts w:hint="eastAsia" w:ascii="宋体" w:hAnsi="宋体" w:eastAsia="宋体" w:cs="宋体"/>
                <w:i w:val="0"/>
                <w:iCs w:val="0"/>
                <w:color w:val="auto"/>
                <w:sz w:val="22"/>
                <w:szCs w:val="22"/>
              </w:rPr>
            </w:pPr>
          </w:p>
        </w:tc>
      </w:tr>
      <w:tr w14:paraId="1D40AD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2316" w:type="dxa"/>
            <w:noWrap w:val="0"/>
            <w:vAlign w:val="center"/>
          </w:tcPr>
          <w:p w14:paraId="06F6F430">
            <w:pPr>
              <w:jc w:val="center"/>
              <w:rPr>
                <w:rFonts w:hint="eastAsia" w:ascii="宋体" w:hAnsi="宋体" w:eastAsia="宋体" w:cs="宋体"/>
                <w:i w:val="0"/>
                <w:iCs w:val="0"/>
                <w:color w:val="auto"/>
                <w:sz w:val="22"/>
                <w:szCs w:val="22"/>
              </w:rPr>
            </w:pPr>
          </w:p>
        </w:tc>
        <w:tc>
          <w:tcPr>
            <w:tcW w:w="3447" w:type="dxa"/>
            <w:noWrap w:val="0"/>
            <w:vAlign w:val="center"/>
          </w:tcPr>
          <w:p w14:paraId="02B557B0">
            <w:pPr>
              <w:rPr>
                <w:rFonts w:hint="eastAsia" w:ascii="宋体" w:hAnsi="宋体" w:eastAsia="宋体" w:cs="宋体"/>
                <w:i w:val="0"/>
                <w:iCs w:val="0"/>
                <w:color w:val="auto"/>
                <w:sz w:val="22"/>
                <w:szCs w:val="22"/>
              </w:rPr>
            </w:pPr>
          </w:p>
        </w:tc>
        <w:tc>
          <w:tcPr>
            <w:tcW w:w="2507" w:type="dxa"/>
            <w:noWrap w:val="0"/>
            <w:vAlign w:val="top"/>
          </w:tcPr>
          <w:p w14:paraId="7CB92CA7">
            <w:pPr>
              <w:rPr>
                <w:rFonts w:hint="eastAsia" w:ascii="宋体" w:hAnsi="宋体" w:eastAsia="宋体" w:cs="宋体"/>
                <w:i w:val="0"/>
                <w:iCs w:val="0"/>
                <w:color w:val="auto"/>
                <w:sz w:val="22"/>
                <w:szCs w:val="22"/>
              </w:rPr>
            </w:pPr>
          </w:p>
        </w:tc>
        <w:tc>
          <w:tcPr>
            <w:tcW w:w="2049" w:type="dxa"/>
            <w:noWrap w:val="0"/>
            <w:vAlign w:val="top"/>
          </w:tcPr>
          <w:p w14:paraId="3A332EC4">
            <w:pPr>
              <w:rPr>
                <w:rFonts w:hint="eastAsia" w:ascii="宋体" w:hAnsi="宋体" w:eastAsia="宋体" w:cs="宋体"/>
                <w:i w:val="0"/>
                <w:iCs w:val="0"/>
                <w:color w:val="auto"/>
                <w:sz w:val="22"/>
                <w:szCs w:val="22"/>
              </w:rPr>
            </w:pPr>
          </w:p>
        </w:tc>
      </w:tr>
      <w:tr w14:paraId="0DBC54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2316" w:type="dxa"/>
            <w:noWrap w:val="0"/>
            <w:vAlign w:val="center"/>
          </w:tcPr>
          <w:p w14:paraId="162B73E5">
            <w:pPr>
              <w:jc w:val="center"/>
              <w:rPr>
                <w:rFonts w:hint="eastAsia" w:ascii="宋体" w:hAnsi="宋体" w:eastAsia="宋体" w:cs="宋体"/>
                <w:i w:val="0"/>
                <w:iCs w:val="0"/>
                <w:color w:val="auto"/>
                <w:sz w:val="22"/>
                <w:szCs w:val="22"/>
              </w:rPr>
            </w:pPr>
          </w:p>
        </w:tc>
        <w:tc>
          <w:tcPr>
            <w:tcW w:w="3447" w:type="dxa"/>
            <w:noWrap w:val="0"/>
            <w:vAlign w:val="top"/>
          </w:tcPr>
          <w:p w14:paraId="3F7C88CF">
            <w:pPr>
              <w:rPr>
                <w:rFonts w:hint="eastAsia" w:ascii="宋体" w:hAnsi="宋体" w:eastAsia="宋体" w:cs="宋体"/>
                <w:i w:val="0"/>
                <w:iCs w:val="0"/>
                <w:color w:val="auto"/>
                <w:sz w:val="22"/>
                <w:szCs w:val="22"/>
              </w:rPr>
            </w:pPr>
          </w:p>
        </w:tc>
        <w:tc>
          <w:tcPr>
            <w:tcW w:w="2507" w:type="dxa"/>
            <w:noWrap w:val="0"/>
            <w:vAlign w:val="top"/>
          </w:tcPr>
          <w:p w14:paraId="4C1BC923">
            <w:pPr>
              <w:rPr>
                <w:rFonts w:hint="eastAsia" w:ascii="宋体" w:hAnsi="宋体" w:eastAsia="宋体" w:cs="宋体"/>
                <w:i w:val="0"/>
                <w:iCs w:val="0"/>
                <w:color w:val="auto"/>
                <w:sz w:val="22"/>
                <w:szCs w:val="22"/>
              </w:rPr>
            </w:pPr>
          </w:p>
        </w:tc>
        <w:tc>
          <w:tcPr>
            <w:tcW w:w="2049" w:type="dxa"/>
            <w:noWrap w:val="0"/>
            <w:vAlign w:val="top"/>
          </w:tcPr>
          <w:p w14:paraId="1A09B67D">
            <w:pPr>
              <w:rPr>
                <w:rFonts w:hint="eastAsia" w:ascii="宋体" w:hAnsi="宋体" w:eastAsia="宋体" w:cs="宋体"/>
                <w:i w:val="0"/>
                <w:iCs w:val="0"/>
                <w:color w:val="auto"/>
                <w:sz w:val="22"/>
                <w:szCs w:val="22"/>
              </w:rPr>
            </w:pPr>
          </w:p>
        </w:tc>
      </w:tr>
    </w:tbl>
    <w:p w14:paraId="40DF7572">
      <w:pPr>
        <w:pStyle w:val="38"/>
        <w:jc w:val="both"/>
        <w:outlineLvl w:val="9"/>
        <w:rPr>
          <w:rFonts w:hint="eastAsia" w:ascii="宋体" w:hAnsi="宋体" w:eastAsia="宋体" w:cs="宋体"/>
          <w:i w:val="0"/>
          <w:iCs w:val="0"/>
          <w:color w:val="auto"/>
          <w:sz w:val="22"/>
          <w:szCs w:val="22"/>
        </w:rPr>
      </w:pPr>
      <w:bookmarkStart w:id="106" w:name="bookmark99"/>
      <w:bookmarkEnd w:id="106"/>
      <w:bookmarkStart w:id="107" w:name="bookmark170"/>
      <w:bookmarkEnd w:id="107"/>
      <w:bookmarkStart w:id="108" w:name="_Toc12617"/>
      <w:bookmarkStart w:id="109" w:name="_Toc25042"/>
      <w:bookmarkStart w:id="110" w:name="_Toc28389"/>
      <w:bookmarkStart w:id="111" w:name="_Toc21534"/>
      <w:bookmarkStart w:id="112" w:name="_Toc9664"/>
      <w:bookmarkStart w:id="113" w:name="_Toc3656"/>
    </w:p>
    <w:p w14:paraId="0FD429E6">
      <w:pPr>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、供应商必须根据自</w:t>
      </w:r>
      <w:r>
        <w:rPr>
          <w:rFonts w:hint="eastAsia" w:ascii="宋体" w:hAnsi="宋体" w:eastAsia="宋体" w:cs="宋体"/>
          <w:color w:val="auto"/>
          <w:sz w:val="22"/>
          <w:szCs w:val="22"/>
          <w:lang w:val="en-US" w:eastAsia="zh-CN"/>
        </w:rPr>
        <w:t>身情况</w:t>
      </w:r>
      <w:r>
        <w:rPr>
          <w:rFonts w:hint="eastAsia" w:ascii="宋体" w:hAnsi="宋体" w:eastAsia="宋体" w:cs="宋体"/>
          <w:color w:val="auto"/>
          <w:sz w:val="22"/>
          <w:szCs w:val="22"/>
        </w:rPr>
        <w:t>与“</w:t>
      </w:r>
      <w:r>
        <w:rPr>
          <w:rFonts w:hint="eastAsia" w:ascii="宋体" w:hAnsi="宋体" w:eastAsia="宋体" w:cs="宋体"/>
          <w:color w:val="auto"/>
          <w:sz w:val="22"/>
          <w:szCs w:val="22"/>
          <w:lang w:val="en-US" w:eastAsia="zh-CN"/>
        </w:rPr>
        <w:t>询比</w:t>
      </w:r>
      <w:r>
        <w:rPr>
          <w:rFonts w:hint="eastAsia" w:ascii="宋体" w:hAnsi="宋体" w:eastAsia="宋体" w:cs="宋体"/>
          <w:color w:val="auto"/>
          <w:sz w:val="22"/>
          <w:szCs w:val="22"/>
        </w:rPr>
        <w:t>文件要求”的差异情况，实事求是地填写“响应情况”（优于、满足、不满足），并将这些差异内容用加粗的字体显示出来，不得出现通过改动</w:t>
      </w:r>
      <w:r>
        <w:rPr>
          <w:rFonts w:hint="eastAsia" w:ascii="宋体" w:hAnsi="宋体" w:eastAsia="宋体" w:cs="宋体"/>
          <w:color w:val="auto"/>
          <w:sz w:val="22"/>
          <w:szCs w:val="22"/>
          <w:lang w:val="en-US" w:eastAsia="zh-CN"/>
        </w:rPr>
        <w:t>询比</w:t>
      </w:r>
      <w:r>
        <w:rPr>
          <w:rFonts w:hint="eastAsia" w:ascii="宋体" w:hAnsi="宋体" w:eastAsia="宋体" w:cs="宋体"/>
          <w:color w:val="auto"/>
          <w:sz w:val="22"/>
          <w:szCs w:val="22"/>
        </w:rPr>
        <w:t>文件的技术参数而使自己的产品满足要求的情况。</w:t>
      </w:r>
    </w:p>
    <w:p w14:paraId="52B72FBE">
      <w:pPr>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、如果供应商没有按前述要求去做，在项目评审中将可能被认为是未对</w:t>
      </w:r>
      <w:r>
        <w:rPr>
          <w:rFonts w:hint="eastAsia" w:ascii="宋体" w:hAnsi="宋体" w:eastAsia="宋体" w:cs="宋体"/>
          <w:color w:val="auto"/>
          <w:sz w:val="22"/>
          <w:szCs w:val="22"/>
          <w:lang w:val="en-US" w:eastAsia="zh-CN"/>
        </w:rPr>
        <w:t>询比</w:t>
      </w:r>
      <w:r>
        <w:rPr>
          <w:rFonts w:hint="eastAsia" w:ascii="宋体" w:hAnsi="宋体" w:eastAsia="宋体" w:cs="宋体"/>
          <w:color w:val="auto"/>
          <w:sz w:val="22"/>
          <w:szCs w:val="22"/>
        </w:rPr>
        <w:t>文件作出实质上的响应，或被视作不诚信供应商而拒绝对其做进一步的评审。</w:t>
      </w:r>
    </w:p>
    <w:p w14:paraId="60D0B768">
      <w:pPr>
        <w:spacing w:line="360" w:lineRule="exac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、本表填报顺序需按</w:t>
      </w:r>
      <w:r>
        <w:rPr>
          <w:rFonts w:hint="eastAsia" w:ascii="宋体" w:hAnsi="宋体" w:eastAsia="宋体" w:cs="宋体"/>
          <w:color w:val="auto"/>
          <w:sz w:val="22"/>
          <w:szCs w:val="22"/>
          <w:lang w:val="en-US" w:eastAsia="zh-CN"/>
        </w:rPr>
        <w:t>询比</w:t>
      </w:r>
      <w:r>
        <w:rPr>
          <w:rFonts w:hint="eastAsia" w:ascii="宋体" w:hAnsi="宋体" w:eastAsia="宋体" w:cs="宋体"/>
          <w:color w:val="auto"/>
          <w:sz w:val="22"/>
          <w:szCs w:val="22"/>
        </w:rPr>
        <w:t>文件“第</w:t>
      </w:r>
      <w:r>
        <w:rPr>
          <w:rFonts w:hint="eastAsia" w:ascii="宋体" w:hAnsi="宋体" w:eastAsia="宋体" w:cs="宋体"/>
          <w:color w:val="auto"/>
          <w:sz w:val="22"/>
          <w:szCs w:val="22"/>
          <w:lang w:val="en-US" w:eastAsia="zh-CN"/>
        </w:rPr>
        <w:t>五</w:t>
      </w:r>
      <w:r>
        <w:rPr>
          <w:rFonts w:hint="eastAsia" w:ascii="宋体" w:hAnsi="宋体" w:eastAsia="宋体" w:cs="宋体"/>
          <w:color w:val="auto"/>
          <w:sz w:val="22"/>
          <w:szCs w:val="22"/>
        </w:rPr>
        <w:t>章第一大项”中的顺序填写。</w:t>
      </w:r>
    </w:p>
    <w:p w14:paraId="2E43E2D2">
      <w:pPr>
        <w:pStyle w:val="38"/>
        <w:jc w:val="both"/>
        <w:outlineLvl w:val="9"/>
        <w:rPr>
          <w:rFonts w:hint="eastAsia" w:ascii="宋体" w:hAnsi="宋体" w:eastAsia="宋体" w:cs="宋体"/>
          <w:i w:val="0"/>
          <w:iCs w:val="0"/>
          <w:color w:val="auto"/>
          <w:sz w:val="22"/>
          <w:szCs w:val="22"/>
        </w:rPr>
      </w:pPr>
    </w:p>
    <w:p w14:paraId="6D19230B">
      <w:pPr>
        <w:pStyle w:val="38"/>
        <w:jc w:val="both"/>
        <w:rPr>
          <w:rFonts w:hint="eastAsia" w:ascii="宋体" w:hAnsi="宋体" w:eastAsia="宋体" w:cs="宋体"/>
          <w:i w:val="0"/>
          <w:iCs w:val="0"/>
          <w:color w:val="auto"/>
          <w:sz w:val="22"/>
          <w:szCs w:val="22"/>
        </w:rPr>
      </w:pPr>
    </w:p>
    <w:p w14:paraId="14624E56">
      <w:pPr>
        <w:rPr>
          <w:rFonts w:hint="eastAsia" w:ascii="宋体" w:hAnsi="宋体" w:eastAsia="宋体" w:cs="宋体"/>
          <w:i w:val="0"/>
          <w:iCs w:val="0"/>
          <w:color w:val="auto"/>
          <w:sz w:val="22"/>
          <w:szCs w:val="22"/>
        </w:rPr>
      </w:pPr>
    </w:p>
    <w:p w14:paraId="5BEFA698">
      <w:pPr>
        <w:pStyle w:val="9"/>
        <w:rPr>
          <w:rFonts w:hint="eastAsia" w:ascii="宋体" w:hAnsi="宋体" w:eastAsia="宋体" w:cs="宋体"/>
          <w:color w:val="auto"/>
          <w:sz w:val="22"/>
          <w:szCs w:val="22"/>
        </w:rPr>
      </w:pPr>
    </w:p>
    <w:p w14:paraId="295AEEC2">
      <w:pPr>
        <w:pStyle w:val="10"/>
        <w:rPr>
          <w:rFonts w:hint="eastAsia" w:ascii="宋体" w:hAnsi="宋体" w:eastAsia="宋体" w:cs="宋体"/>
          <w:color w:val="auto"/>
          <w:sz w:val="22"/>
          <w:szCs w:val="22"/>
        </w:rPr>
      </w:pPr>
    </w:p>
    <w:p w14:paraId="0CCD60FF">
      <w:pPr>
        <w:pStyle w:val="10"/>
        <w:rPr>
          <w:rFonts w:hint="eastAsia" w:ascii="宋体" w:hAnsi="宋体" w:eastAsia="宋体" w:cs="宋体"/>
          <w:color w:val="auto"/>
          <w:sz w:val="22"/>
          <w:szCs w:val="22"/>
        </w:rPr>
      </w:pPr>
    </w:p>
    <w:p w14:paraId="25A823B2">
      <w:pPr>
        <w:pStyle w:val="10"/>
        <w:rPr>
          <w:rFonts w:hint="eastAsia" w:ascii="宋体" w:hAnsi="宋体" w:eastAsia="宋体" w:cs="宋体"/>
          <w:color w:val="auto"/>
          <w:sz w:val="22"/>
          <w:szCs w:val="22"/>
        </w:rPr>
      </w:pPr>
    </w:p>
    <w:p w14:paraId="358B5720">
      <w:pPr>
        <w:pStyle w:val="10"/>
        <w:rPr>
          <w:rFonts w:hint="eastAsia" w:ascii="宋体" w:hAnsi="宋体" w:eastAsia="宋体" w:cs="宋体"/>
          <w:color w:val="auto"/>
          <w:sz w:val="22"/>
          <w:szCs w:val="22"/>
        </w:rPr>
      </w:pPr>
    </w:p>
    <w:p w14:paraId="4F584926">
      <w:pPr>
        <w:pStyle w:val="10"/>
        <w:rPr>
          <w:rFonts w:hint="eastAsia" w:ascii="宋体" w:hAnsi="宋体" w:eastAsia="宋体" w:cs="宋体"/>
          <w:color w:val="auto"/>
          <w:sz w:val="22"/>
          <w:szCs w:val="22"/>
        </w:rPr>
      </w:pPr>
    </w:p>
    <w:p w14:paraId="0668B61E">
      <w:pPr>
        <w:pStyle w:val="10"/>
        <w:rPr>
          <w:rFonts w:hint="eastAsia" w:ascii="宋体" w:hAnsi="宋体" w:eastAsia="宋体" w:cs="宋体"/>
          <w:color w:val="auto"/>
          <w:sz w:val="22"/>
          <w:szCs w:val="22"/>
        </w:rPr>
      </w:pPr>
    </w:p>
    <w:p w14:paraId="622D21CF">
      <w:pPr>
        <w:pStyle w:val="38"/>
        <w:jc w:val="center"/>
        <w:outlineLvl w:val="1"/>
        <w:rPr>
          <w:rFonts w:hint="eastAsia" w:ascii="宋体" w:hAnsi="宋体" w:eastAsia="宋体" w:cs="宋体"/>
          <w:i w:val="0"/>
          <w:iCs w:val="0"/>
          <w:color w:val="auto"/>
          <w:sz w:val="30"/>
          <w:szCs w:val="30"/>
        </w:rPr>
      </w:pPr>
      <w:bookmarkStart w:id="114" w:name="_Toc8241"/>
      <w:r>
        <w:rPr>
          <w:rFonts w:hint="eastAsia" w:cs="宋体"/>
          <w:i w:val="0"/>
          <w:iCs w:val="0"/>
          <w:color w:val="auto"/>
          <w:sz w:val="30"/>
          <w:szCs w:val="30"/>
          <w:lang w:val="en-US" w:eastAsia="zh-CN"/>
        </w:rPr>
        <w:t>六</w:t>
      </w:r>
      <w:r>
        <w:rPr>
          <w:rFonts w:hint="eastAsia" w:ascii="宋体" w:hAnsi="宋体" w:eastAsia="宋体" w:cs="宋体"/>
          <w:i w:val="0"/>
          <w:iCs w:val="0"/>
          <w:color w:val="auto"/>
          <w:sz w:val="30"/>
          <w:szCs w:val="30"/>
        </w:rPr>
        <w:t>、商务要求响应情况表</w:t>
      </w:r>
      <w:bookmarkEnd w:id="108"/>
      <w:bookmarkEnd w:id="109"/>
      <w:bookmarkEnd w:id="110"/>
      <w:bookmarkEnd w:id="111"/>
      <w:bookmarkEnd w:id="112"/>
      <w:bookmarkEnd w:id="113"/>
      <w:bookmarkEnd w:id="114"/>
    </w:p>
    <w:p w14:paraId="418D4D3E">
      <w:pPr>
        <w:rPr>
          <w:rFonts w:hint="eastAsia" w:ascii="宋体" w:hAnsi="宋体" w:eastAsia="宋体" w:cs="宋体"/>
          <w:i w:val="0"/>
          <w:iCs w:val="0"/>
          <w:color w:val="auto"/>
          <w:sz w:val="22"/>
          <w:szCs w:val="22"/>
          <w:lang w:eastAsia="zh-CN"/>
        </w:rPr>
      </w:pPr>
    </w:p>
    <w:tbl>
      <w:tblPr>
        <w:tblStyle w:val="22"/>
        <w:tblW w:w="90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758"/>
        <w:gridCol w:w="2427"/>
        <w:gridCol w:w="1698"/>
      </w:tblGrid>
      <w:tr w14:paraId="407661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2175" w:type="dxa"/>
            <w:noWrap w:val="0"/>
            <w:vAlign w:val="center"/>
          </w:tcPr>
          <w:p w14:paraId="7C919261">
            <w:pPr>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序号</w:t>
            </w:r>
          </w:p>
        </w:tc>
        <w:tc>
          <w:tcPr>
            <w:tcW w:w="2758" w:type="dxa"/>
            <w:noWrap w:val="0"/>
            <w:vAlign w:val="center"/>
          </w:tcPr>
          <w:p w14:paraId="55275E0F">
            <w:pPr>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询比</w:t>
            </w:r>
            <w:r>
              <w:rPr>
                <w:rFonts w:hint="eastAsia" w:ascii="宋体" w:hAnsi="宋体" w:eastAsia="宋体" w:cs="宋体"/>
                <w:i w:val="0"/>
                <w:iCs w:val="0"/>
                <w:color w:val="auto"/>
                <w:sz w:val="24"/>
                <w:szCs w:val="24"/>
              </w:rPr>
              <w:t>文件要求</w:t>
            </w:r>
          </w:p>
        </w:tc>
        <w:tc>
          <w:tcPr>
            <w:tcW w:w="2427" w:type="dxa"/>
            <w:noWrap w:val="0"/>
            <w:vAlign w:val="center"/>
          </w:tcPr>
          <w:p w14:paraId="14776872">
            <w:pPr>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供应商填写</w:t>
            </w:r>
          </w:p>
        </w:tc>
        <w:tc>
          <w:tcPr>
            <w:tcW w:w="1698" w:type="dxa"/>
            <w:noWrap w:val="0"/>
            <w:vAlign w:val="center"/>
          </w:tcPr>
          <w:p w14:paraId="3D7B4E2D">
            <w:pPr>
              <w:ind w:firstLine="120" w:firstLineChars="5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响应情况</w:t>
            </w:r>
          </w:p>
        </w:tc>
      </w:tr>
      <w:tr w14:paraId="782A5F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175" w:type="dxa"/>
            <w:noWrap w:val="0"/>
            <w:vAlign w:val="center"/>
          </w:tcPr>
          <w:p w14:paraId="597042B5">
            <w:pPr>
              <w:rPr>
                <w:rFonts w:hint="eastAsia" w:ascii="宋体" w:hAnsi="宋体" w:eastAsia="宋体" w:cs="宋体"/>
                <w:i w:val="0"/>
                <w:iCs w:val="0"/>
                <w:color w:val="auto"/>
                <w:sz w:val="22"/>
                <w:szCs w:val="22"/>
              </w:rPr>
            </w:pPr>
          </w:p>
        </w:tc>
        <w:tc>
          <w:tcPr>
            <w:tcW w:w="2758" w:type="dxa"/>
            <w:noWrap w:val="0"/>
            <w:vAlign w:val="center"/>
          </w:tcPr>
          <w:p w14:paraId="016221C6">
            <w:pPr>
              <w:rPr>
                <w:rFonts w:hint="eastAsia" w:ascii="宋体" w:hAnsi="宋体" w:eastAsia="宋体" w:cs="宋体"/>
                <w:i w:val="0"/>
                <w:iCs w:val="0"/>
                <w:color w:val="auto"/>
                <w:sz w:val="22"/>
                <w:szCs w:val="22"/>
              </w:rPr>
            </w:pPr>
          </w:p>
        </w:tc>
        <w:tc>
          <w:tcPr>
            <w:tcW w:w="2427" w:type="dxa"/>
            <w:noWrap w:val="0"/>
            <w:vAlign w:val="top"/>
          </w:tcPr>
          <w:p w14:paraId="7BA86B29">
            <w:pPr>
              <w:rPr>
                <w:rFonts w:hint="eastAsia" w:ascii="宋体" w:hAnsi="宋体" w:eastAsia="宋体" w:cs="宋体"/>
                <w:i w:val="0"/>
                <w:iCs w:val="0"/>
                <w:color w:val="auto"/>
                <w:sz w:val="22"/>
                <w:szCs w:val="22"/>
              </w:rPr>
            </w:pPr>
          </w:p>
        </w:tc>
        <w:tc>
          <w:tcPr>
            <w:tcW w:w="1698" w:type="dxa"/>
            <w:noWrap w:val="0"/>
            <w:vAlign w:val="top"/>
          </w:tcPr>
          <w:p w14:paraId="59C89FE9">
            <w:pPr>
              <w:rPr>
                <w:rFonts w:hint="eastAsia" w:ascii="宋体" w:hAnsi="宋体" w:eastAsia="宋体" w:cs="宋体"/>
                <w:i w:val="0"/>
                <w:iCs w:val="0"/>
                <w:color w:val="auto"/>
                <w:sz w:val="22"/>
                <w:szCs w:val="22"/>
              </w:rPr>
            </w:pPr>
          </w:p>
        </w:tc>
      </w:tr>
      <w:tr w14:paraId="04158A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175" w:type="dxa"/>
            <w:noWrap w:val="0"/>
            <w:vAlign w:val="center"/>
          </w:tcPr>
          <w:p w14:paraId="6B869576">
            <w:pPr>
              <w:jc w:val="center"/>
              <w:rPr>
                <w:rFonts w:hint="eastAsia" w:ascii="宋体" w:hAnsi="宋体" w:eastAsia="宋体" w:cs="宋体"/>
                <w:i w:val="0"/>
                <w:iCs w:val="0"/>
                <w:color w:val="auto"/>
                <w:sz w:val="22"/>
                <w:szCs w:val="22"/>
              </w:rPr>
            </w:pPr>
          </w:p>
        </w:tc>
        <w:tc>
          <w:tcPr>
            <w:tcW w:w="2758" w:type="dxa"/>
            <w:noWrap w:val="0"/>
            <w:vAlign w:val="center"/>
          </w:tcPr>
          <w:p w14:paraId="37902B17">
            <w:pPr>
              <w:rPr>
                <w:rFonts w:hint="eastAsia" w:ascii="宋体" w:hAnsi="宋体" w:eastAsia="宋体" w:cs="宋体"/>
                <w:i w:val="0"/>
                <w:iCs w:val="0"/>
                <w:color w:val="auto"/>
                <w:sz w:val="22"/>
                <w:szCs w:val="22"/>
              </w:rPr>
            </w:pPr>
          </w:p>
        </w:tc>
        <w:tc>
          <w:tcPr>
            <w:tcW w:w="2427" w:type="dxa"/>
            <w:noWrap w:val="0"/>
            <w:vAlign w:val="top"/>
          </w:tcPr>
          <w:p w14:paraId="75E0B52C">
            <w:pPr>
              <w:rPr>
                <w:rFonts w:hint="eastAsia" w:ascii="宋体" w:hAnsi="宋体" w:eastAsia="宋体" w:cs="宋体"/>
                <w:i w:val="0"/>
                <w:iCs w:val="0"/>
                <w:color w:val="auto"/>
                <w:sz w:val="22"/>
                <w:szCs w:val="22"/>
              </w:rPr>
            </w:pPr>
          </w:p>
        </w:tc>
        <w:tc>
          <w:tcPr>
            <w:tcW w:w="1698" w:type="dxa"/>
            <w:noWrap w:val="0"/>
            <w:vAlign w:val="top"/>
          </w:tcPr>
          <w:p w14:paraId="71B23425">
            <w:pPr>
              <w:rPr>
                <w:rFonts w:hint="eastAsia" w:ascii="宋体" w:hAnsi="宋体" w:eastAsia="宋体" w:cs="宋体"/>
                <w:i w:val="0"/>
                <w:iCs w:val="0"/>
                <w:color w:val="auto"/>
                <w:sz w:val="22"/>
                <w:szCs w:val="22"/>
              </w:rPr>
            </w:pPr>
          </w:p>
        </w:tc>
      </w:tr>
      <w:tr w14:paraId="2E725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175" w:type="dxa"/>
            <w:noWrap w:val="0"/>
            <w:vAlign w:val="center"/>
          </w:tcPr>
          <w:p w14:paraId="1BE212B4">
            <w:pPr>
              <w:rPr>
                <w:rFonts w:hint="eastAsia" w:ascii="宋体" w:hAnsi="宋体" w:eastAsia="宋体" w:cs="宋体"/>
                <w:i w:val="0"/>
                <w:iCs w:val="0"/>
                <w:color w:val="auto"/>
                <w:sz w:val="22"/>
                <w:szCs w:val="22"/>
              </w:rPr>
            </w:pPr>
          </w:p>
        </w:tc>
        <w:tc>
          <w:tcPr>
            <w:tcW w:w="2758" w:type="dxa"/>
            <w:noWrap w:val="0"/>
            <w:vAlign w:val="center"/>
          </w:tcPr>
          <w:p w14:paraId="13F3521D">
            <w:pPr>
              <w:rPr>
                <w:rFonts w:hint="eastAsia" w:ascii="宋体" w:hAnsi="宋体" w:eastAsia="宋体" w:cs="宋体"/>
                <w:i w:val="0"/>
                <w:iCs w:val="0"/>
                <w:color w:val="auto"/>
                <w:sz w:val="22"/>
                <w:szCs w:val="22"/>
              </w:rPr>
            </w:pPr>
          </w:p>
        </w:tc>
        <w:tc>
          <w:tcPr>
            <w:tcW w:w="2427" w:type="dxa"/>
            <w:noWrap w:val="0"/>
            <w:vAlign w:val="top"/>
          </w:tcPr>
          <w:p w14:paraId="35CE9319">
            <w:pPr>
              <w:rPr>
                <w:rFonts w:hint="eastAsia" w:ascii="宋体" w:hAnsi="宋体" w:eastAsia="宋体" w:cs="宋体"/>
                <w:i w:val="0"/>
                <w:iCs w:val="0"/>
                <w:color w:val="auto"/>
                <w:sz w:val="22"/>
                <w:szCs w:val="22"/>
              </w:rPr>
            </w:pPr>
          </w:p>
        </w:tc>
        <w:tc>
          <w:tcPr>
            <w:tcW w:w="1698" w:type="dxa"/>
            <w:noWrap w:val="0"/>
            <w:vAlign w:val="top"/>
          </w:tcPr>
          <w:p w14:paraId="6E0019A2">
            <w:pPr>
              <w:rPr>
                <w:rFonts w:hint="eastAsia" w:ascii="宋体" w:hAnsi="宋体" w:eastAsia="宋体" w:cs="宋体"/>
                <w:i w:val="0"/>
                <w:iCs w:val="0"/>
                <w:color w:val="auto"/>
                <w:sz w:val="22"/>
                <w:szCs w:val="22"/>
              </w:rPr>
            </w:pPr>
          </w:p>
        </w:tc>
      </w:tr>
      <w:tr w14:paraId="5B1E55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175" w:type="dxa"/>
            <w:noWrap w:val="0"/>
            <w:vAlign w:val="center"/>
          </w:tcPr>
          <w:p w14:paraId="6B6AA173">
            <w:pPr>
              <w:jc w:val="center"/>
              <w:rPr>
                <w:rFonts w:hint="eastAsia" w:ascii="宋体" w:hAnsi="宋体" w:eastAsia="宋体" w:cs="宋体"/>
                <w:i w:val="0"/>
                <w:iCs w:val="0"/>
                <w:color w:val="auto"/>
                <w:sz w:val="22"/>
                <w:szCs w:val="22"/>
              </w:rPr>
            </w:pPr>
          </w:p>
        </w:tc>
        <w:tc>
          <w:tcPr>
            <w:tcW w:w="2758" w:type="dxa"/>
            <w:noWrap w:val="0"/>
            <w:vAlign w:val="center"/>
          </w:tcPr>
          <w:p w14:paraId="46C8E4AC">
            <w:pPr>
              <w:rPr>
                <w:rFonts w:hint="eastAsia" w:ascii="宋体" w:hAnsi="宋体" w:eastAsia="宋体" w:cs="宋体"/>
                <w:i w:val="0"/>
                <w:iCs w:val="0"/>
                <w:color w:val="auto"/>
                <w:sz w:val="22"/>
                <w:szCs w:val="22"/>
              </w:rPr>
            </w:pPr>
          </w:p>
        </w:tc>
        <w:tc>
          <w:tcPr>
            <w:tcW w:w="2427" w:type="dxa"/>
            <w:noWrap w:val="0"/>
            <w:vAlign w:val="top"/>
          </w:tcPr>
          <w:p w14:paraId="4DEBCA15">
            <w:pPr>
              <w:rPr>
                <w:rFonts w:hint="eastAsia" w:ascii="宋体" w:hAnsi="宋体" w:eastAsia="宋体" w:cs="宋体"/>
                <w:i w:val="0"/>
                <w:iCs w:val="0"/>
                <w:color w:val="auto"/>
                <w:sz w:val="22"/>
                <w:szCs w:val="22"/>
              </w:rPr>
            </w:pPr>
          </w:p>
        </w:tc>
        <w:tc>
          <w:tcPr>
            <w:tcW w:w="1698" w:type="dxa"/>
            <w:noWrap w:val="0"/>
            <w:vAlign w:val="top"/>
          </w:tcPr>
          <w:p w14:paraId="09E0BC44">
            <w:pPr>
              <w:rPr>
                <w:rFonts w:hint="eastAsia" w:ascii="宋体" w:hAnsi="宋体" w:eastAsia="宋体" w:cs="宋体"/>
                <w:i w:val="0"/>
                <w:iCs w:val="0"/>
                <w:color w:val="auto"/>
                <w:sz w:val="22"/>
                <w:szCs w:val="22"/>
              </w:rPr>
            </w:pPr>
          </w:p>
        </w:tc>
      </w:tr>
      <w:tr w14:paraId="333EB3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175" w:type="dxa"/>
            <w:noWrap w:val="0"/>
            <w:vAlign w:val="center"/>
          </w:tcPr>
          <w:p w14:paraId="10810918">
            <w:pPr>
              <w:jc w:val="center"/>
              <w:rPr>
                <w:rFonts w:hint="eastAsia" w:ascii="宋体" w:hAnsi="宋体" w:eastAsia="宋体" w:cs="宋体"/>
                <w:i w:val="0"/>
                <w:iCs w:val="0"/>
                <w:color w:val="auto"/>
                <w:sz w:val="22"/>
                <w:szCs w:val="22"/>
              </w:rPr>
            </w:pPr>
          </w:p>
        </w:tc>
        <w:tc>
          <w:tcPr>
            <w:tcW w:w="2758" w:type="dxa"/>
            <w:noWrap w:val="0"/>
            <w:vAlign w:val="center"/>
          </w:tcPr>
          <w:p w14:paraId="7B1246E0">
            <w:pPr>
              <w:rPr>
                <w:rFonts w:hint="eastAsia" w:ascii="宋体" w:hAnsi="宋体" w:eastAsia="宋体" w:cs="宋体"/>
                <w:i w:val="0"/>
                <w:iCs w:val="0"/>
                <w:color w:val="auto"/>
                <w:sz w:val="22"/>
                <w:szCs w:val="22"/>
              </w:rPr>
            </w:pPr>
          </w:p>
        </w:tc>
        <w:tc>
          <w:tcPr>
            <w:tcW w:w="2427" w:type="dxa"/>
            <w:noWrap w:val="0"/>
            <w:vAlign w:val="top"/>
          </w:tcPr>
          <w:p w14:paraId="093D7E8C">
            <w:pPr>
              <w:rPr>
                <w:rFonts w:hint="eastAsia" w:ascii="宋体" w:hAnsi="宋体" w:eastAsia="宋体" w:cs="宋体"/>
                <w:i w:val="0"/>
                <w:iCs w:val="0"/>
                <w:color w:val="auto"/>
                <w:sz w:val="22"/>
                <w:szCs w:val="22"/>
              </w:rPr>
            </w:pPr>
          </w:p>
        </w:tc>
        <w:tc>
          <w:tcPr>
            <w:tcW w:w="1698" w:type="dxa"/>
            <w:noWrap w:val="0"/>
            <w:vAlign w:val="top"/>
          </w:tcPr>
          <w:p w14:paraId="678BCAE4">
            <w:pPr>
              <w:rPr>
                <w:rFonts w:hint="eastAsia" w:ascii="宋体" w:hAnsi="宋体" w:eastAsia="宋体" w:cs="宋体"/>
                <w:i w:val="0"/>
                <w:iCs w:val="0"/>
                <w:color w:val="auto"/>
                <w:sz w:val="22"/>
                <w:szCs w:val="22"/>
              </w:rPr>
            </w:pPr>
          </w:p>
        </w:tc>
      </w:tr>
      <w:tr w14:paraId="100A95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175" w:type="dxa"/>
            <w:noWrap w:val="0"/>
            <w:vAlign w:val="center"/>
          </w:tcPr>
          <w:p w14:paraId="37AA6505">
            <w:pPr>
              <w:jc w:val="center"/>
              <w:rPr>
                <w:rFonts w:hint="eastAsia" w:ascii="宋体" w:hAnsi="宋体" w:eastAsia="宋体" w:cs="宋体"/>
                <w:i w:val="0"/>
                <w:iCs w:val="0"/>
                <w:color w:val="auto"/>
                <w:sz w:val="22"/>
                <w:szCs w:val="22"/>
              </w:rPr>
            </w:pPr>
          </w:p>
        </w:tc>
        <w:tc>
          <w:tcPr>
            <w:tcW w:w="2758" w:type="dxa"/>
            <w:noWrap w:val="0"/>
            <w:vAlign w:val="center"/>
          </w:tcPr>
          <w:p w14:paraId="1966BC23">
            <w:pPr>
              <w:rPr>
                <w:rFonts w:hint="eastAsia" w:ascii="宋体" w:hAnsi="宋体" w:eastAsia="宋体" w:cs="宋体"/>
                <w:i w:val="0"/>
                <w:iCs w:val="0"/>
                <w:color w:val="auto"/>
                <w:sz w:val="22"/>
                <w:szCs w:val="22"/>
              </w:rPr>
            </w:pPr>
          </w:p>
        </w:tc>
        <w:tc>
          <w:tcPr>
            <w:tcW w:w="2427" w:type="dxa"/>
            <w:noWrap w:val="0"/>
            <w:vAlign w:val="top"/>
          </w:tcPr>
          <w:p w14:paraId="28F867FF">
            <w:pPr>
              <w:rPr>
                <w:rFonts w:hint="eastAsia" w:ascii="宋体" w:hAnsi="宋体" w:eastAsia="宋体" w:cs="宋体"/>
                <w:i w:val="0"/>
                <w:iCs w:val="0"/>
                <w:color w:val="auto"/>
                <w:sz w:val="22"/>
                <w:szCs w:val="22"/>
              </w:rPr>
            </w:pPr>
          </w:p>
        </w:tc>
        <w:tc>
          <w:tcPr>
            <w:tcW w:w="1698" w:type="dxa"/>
            <w:noWrap w:val="0"/>
            <w:vAlign w:val="top"/>
          </w:tcPr>
          <w:p w14:paraId="0AEEDDF2">
            <w:pPr>
              <w:rPr>
                <w:rFonts w:hint="eastAsia" w:ascii="宋体" w:hAnsi="宋体" w:eastAsia="宋体" w:cs="宋体"/>
                <w:i w:val="0"/>
                <w:iCs w:val="0"/>
                <w:color w:val="auto"/>
                <w:sz w:val="22"/>
                <w:szCs w:val="22"/>
              </w:rPr>
            </w:pPr>
          </w:p>
        </w:tc>
      </w:tr>
      <w:tr w14:paraId="642D76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175" w:type="dxa"/>
            <w:noWrap w:val="0"/>
            <w:vAlign w:val="center"/>
          </w:tcPr>
          <w:p w14:paraId="007A76D2">
            <w:pPr>
              <w:jc w:val="center"/>
              <w:rPr>
                <w:rFonts w:hint="eastAsia" w:ascii="宋体" w:hAnsi="宋体" w:eastAsia="宋体" w:cs="宋体"/>
                <w:i w:val="0"/>
                <w:iCs w:val="0"/>
                <w:color w:val="auto"/>
                <w:sz w:val="22"/>
                <w:szCs w:val="22"/>
              </w:rPr>
            </w:pPr>
          </w:p>
        </w:tc>
        <w:tc>
          <w:tcPr>
            <w:tcW w:w="2758" w:type="dxa"/>
            <w:noWrap w:val="0"/>
            <w:vAlign w:val="center"/>
          </w:tcPr>
          <w:p w14:paraId="26E8FC8D">
            <w:pPr>
              <w:rPr>
                <w:rFonts w:hint="eastAsia" w:ascii="宋体" w:hAnsi="宋体" w:eastAsia="宋体" w:cs="宋体"/>
                <w:i w:val="0"/>
                <w:iCs w:val="0"/>
                <w:color w:val="auto"/>
                <w:sz w:val="22"/>
                <w:szCs w:val="22"/>
              </w:rPr>
            </w:pPr>
          </w:p>
        </w:tc>
        <w:tc>
          <w:tcPr>
            <w:tcW w:w="2427" w:type="dxa"/>
            <w:noWrap w:val="0"/>
            <w:vAlign w:val="top"/>
          </w:tcPr>
          <w:p w14:paraId="4F374B1D">
            <w:pPr>
              <w:rPr>
                <w:rFonts w:hint="eastAsia" w:ascii="宋体" w:hAnsi="宋体" w:eastAsia="宋体" w:cs="宋体"/>
                <w:i w:val="0"/>
                <w:iCs w:val="0"/>
                <w:color w:val="auto"/>
                <w:sz w:val="22"/>
                <w:szCs w:val="22"/>
              </w:rPr>
            </w:pPr>
          </w:p>
        </w:tc>
        <w:tc>
          <w:tcPr>
            <w:tcW w:w="1698" w:type="dxa"/>
            <w:noWrap w:val="0"/>
            <w:vAlign w:val="top"/>
          </w:tcPr>
          <w:p w14:paraId="3BD6468A">
            <w:pPr>
              <w:rPr>
                <w:rFonts w:hint="eastAsia" w:ascii="宋体" w:hAnsi="宋体" w:eastAsia="宋体" w:cs="宋体"/>
                <w:i w:val="0"/>
                <w:iCs w:val="0"/>
                <w:color w:val="auto"/>
                <w:sz w:val="22"/>
                <w:szCs w:val="22"/>
              </w:rPr>
            </w:pPr>
          </w:p>
        </w:tc>
      </w:tr>
      <w:tr w14:paraId="7D100A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175" w:type="dxa"/>
            <w:noWrap w:val="0"/>
            <w:vAlign w:val="center"/>
          </w:tcPr>
          <w:p w14:paraId="1694894D">
            <w:pPr>
              <w:jc w:val="center"/>
              <w:rPr>
                <w:rFonts w:hint="eastAsia" w:ascii="宋体" w:hAnsi="宋体" w:eastAsia="宋体" w:cs="宋体"/>
                <w:i w:val="0"/>
                <w:iCs w:val="0"/>
                <w:color w:val="auto"/>
                <w:sz w:val="22"/>
                <w:szCs w:val="22"/>
              </w:rPr>
            </w:pPr>
          </w:p>
        </w:tc>
        <w:tc>
          <w:tcPr>
            <w:tcW w:w="2758" w:type="dxa"/>
            <w:noWrap w:val="0"/>
            <w:vAlign w:val="center"/>
          </w:tcPr>
          <w:p w14:paraId="0DBA6565">
            <w:pPr>
              <w:rPr>
                <w:rFonts w:hint="eastAsia" w:ascii="宋体" w:hAnsi="宋体" w:eastAsia="宋体" w:cs="宋体"/>
                <w:i w:val="0"/>
                <w:iCs w:val="0"/>
                <w:color w:val="auto"/>
                <w:sz w:val="22"/>
                <w:szCs w:val="22"/>
              </w:rPr>
            </w:pPr>
          </w:p>
        </w:tc>
        <w:tc>
          <w:tcPr>
            <w:tcW w:w="2427" w:type="dxa"/>
            <w:noWrap w:val="0"/>
            <w:vAlign w:val="top"/>
          </w:tcPr>
          <w:p w14:paraId="0751D002">
            <w:pPr>
              <w:rPr>
                <w:rFonts w:hint="eastAsia" w:ascii="宋体" w:hAnsi="宋体" w:eastAsia="宋体" w:cs="宋体"/>
                <w:i w:val="0"/>
                <w:iCs w:val="0"/>
                <w:color w:val="auto"/>
                <w:sz w:val="22"/>
                <w:szCs w:val="22"/>
              </w:rPr>
            </w:pPr>
          </w:p>
        </w:tc>
        <w:tc>
          <w:tcPr>
            <w:tcW w:w="1698" w:type="dxa"/>
            <w:noWrap w:val="0"/>
            <w:vAlign w:val="top"/>
          </w:tcPr>
          <w:p w14:paraId="357E38F3">
            <w:pPr>
              <w:rPr>
                <w:rFonts w:hint="eastAsia" w:ascii="宋体" w:hAnsi="宋体" w:eastAsia="宋体" w:cs="宋体"/>
                <w:i w:val="0"/>
                <w:iCs w:val="0"/>
                <w:color w:val="auto"/>
                <w:sz w:val="22"/>
                <w:szCs w:val="22"/>
              </w:rPr>
            </w:pPr>
          </w:p>
        </w:tc>
      </w:tr>
      <w:tr w14:paraId="1DEAB0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2175" w:type="dxa"/>
            <w:noWrap w:val="0"/>
            <w:vAlign w:val="center"/>
          </w:tcPr>
          <w:p w14:paraId="2D8F5D01">
            <w:pPr>
              <w:jc w:val="center"/>
              <w:rPr>
                <w:rFonts w:hint="eastAsia" w:ascii="宋体" w:hAnsi="宋体" w:eastAsia="宋体" w:cs="宋体"/>
                <w:i w:val="0"/>
                <w:iCs w:val="0"/>
                <w:color w:val="auto"/>
                <w:sz w:val="22"/>
                <w:szCs w:val="22"/>
              </w:rPr>
            </w:pPr>
          </w:p>
        </w:tc>
        <w:tc>
          <w:tcPr>
            <w:tcW w:w="2758" w:type="dxa"/>
            <w:noWrap w:val="0"/>
            <w:vAlign w:val="center"/>
          </w:tcPr>
          <w:p w14:paraId="1F0E2469">
            <w:pPr>
              <w:rPr>
                <w:rFonts w:hint="eastAsia" w:ascii="宋体" w:hAnsi="宋体" w:eastAsia="宋体" w:cs="宋体"/>
                <w:i w:val="0"/>
                <w:iCs w:val="0"/>
                <w:color w:val="auto"/>
                <w:sz w:val="22"/>
                <w:szCs w:val="22"/>
              </w:rPr>
            </w:pPr>
          </w:p>
        </w:tc>
        <w:tc>
          <w:tcPr>
            <w:tcW w:w="2427" w:type="dxa"/>
            <w:noWrap w:val="0"/>
            <w:vAlign w:val="top"/>
          </w:tcPr>
          <w:p w14:paraId="16AC6898">
            <w:pPr>
              <w:rPr>
                <w:rFonts w:hint="eastAsia" w:ascii="宋体" w:hAnsi="宋体" w:eastAsia="宋体" w:cs="宋体"/>
                <w:i w:val="0"/>
                <w:iCs w:val="0"/>
                <w:color w:val="auto"/>
                <w:sz w:val="22"/>
                <w:szCs w:val="22"/>
              </w:rPr>
            </w:pPr>
          </w:p>
        </w:tc>
        <w:tc>
          <w:tcPr>
            <w:tcW w:w="1698" w:type="dxa"/>
            <w:noWrap w:val="0"/>
            <w:vAlign w:val="top"/>
          </w:tcPr>
          <w:p w14:paraId="412B208B">
            <w:pPr>
              <w:rPr>
                <w:rFonts w:hint="eastAsia" w:ascii="宋体" w:hAnsi="宋体" w:eastAsia="宋体" w:cs="宋体"/>
                <w:i w:val="0"/>
                <w:iCs w:val="0"/>
                <w:color w:val="auto"/>
                <w:sz w:val="22"/>
                <w:szCs w:val="22"/>
              </w:rPr>
            </w:pPr>
          </w:p>
        </w:tc>
      </w:tr>
      <w:tr w14:paraId="3B4638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jc w:val="center"/>
        </w:trPr>
        <w:tc>
          <w:tcPr>
            <w:tcW w:w="2175" w:type="dxa"/>
            <w:noWrap w:val="0"/>
            <w:vAlign w:val="center"/>
          </w:tcPr>
          <w:p w14:paraId="3C824F15">
            <w:pPr>
              <w:jc w:val="center"/>
              <w:rPr>
                <w:rFonts w:hint="eastAsia" w:ascii="宋体" w:hAnsi="宋体" w:eastAsia="宋体" w:cs="宋体"/>
                <w:i w:val="0"/>
                <w:iCs w:val="0"/>
                <w:color w:val="auto"/>
                <w:sz w:val="22"/>
                <w:szCs w:val="22"/>
              </w:rPr>
            </w:pPr>
          </w:p>
        </w:tc>
        <w:tc>
          <w:tcPr>
            <w:tcW w:w="2758" w:type="dxa"/>
            <w:noWrap w:val="0"/>
            <w:vAlign w:val="top"/>
          </w:tcPr>
          <w:p w14:paraId="7B73C469">
            <w:pPr>
              <w:rPr>
                <w:rFonts w:hint="eastAsia" w:ascii="宋体" w:hAnsi="宋体" w:eastAsia="宋体" w:cs="宋体"/>
                <w:i w:val="0"/>
                <w:iCs w:val="0"/>
                <w:color w:val="auto"/>
                <w:sz w:val="22"/>
                <w:szCs w:val="22"/>
              </w:rPr>
            </w:pPr>
          </w:p>
        </w:tc>
        <w:tc>
          <w:tcPr>
            <w:tcW w:w="2427" w:type="dxa"/>
            <w:noWrap w:val="0"/>
            <w:vAlign w:val="top"/>
          </w:tcPr>
          <w:p w14:paraId="3BED3F23">
            <w:pPr>
              <w:rPr>
                <w:rFonts w:hint="eastAsia" w:ascii="宋体" w:hAnsi="宋体" w:eastAsia="宋体" w:cs="宋体"/>
                <w:i w:val="0"/>
                <w:iCs w:val="0"/>
                <w:color w:val="auto"/>
                <w:sz w:val="22"/>
                <w:szCs w:val="22"/>
              </w:rPr>
            </w:pPr>
          </w:p>
        </w:tc>
        <w:tc>
          <w:tcPr>
            <w:tcW w:w="1698" w:type="dxa"/>
            <w:noWrap w:val="0"/>
            <w:vAlign w:val="top"/>
          </w:tcPr>
          <w:p w14:paraId="43A054CA">
            <w:pPr>
              <w:rPr>
                <w:rFonts w:hint="eastAsia" w:ascii="宋体" w:hAnsi="宋体" w:eastAsia="宋体" w:cs="宋体"/>
                <w:i w:val="0"/>
                <w:iCs w:val="0"/>
                <w:color w:val="auto"/>
                <w:sz w:val="22"/>
                <w:szCs w:val="22"/>
              </w:rPr>
            </w:pPr>
          </w:p>
        </w:tc>
      </w:tr>
    </w:tbl>
    <w:p w14:paraId="36D0FCA2">
      <w:pPr>
        <w:ind w:left="0" w:leftChars="0"/>
        <w:rPr>
          <w:rFonts w:hint="eastAsia" w:ascii="宋体" w:hAnsi="宋体" w:eastAsia="宋体" w:cs="宋体"/>
          <w:color w:val="auto"/>
          <w:sz w:val="22"/>
          <w:szCs w:val="22"/>
        </w:rPr>
      </w:pPr>
    </w:p>
    <w:p w14:paraId="29F26070">
      <w:pPr>
        <w:ind w:left="0" w:leftChars="0"/>
        <w:rPr>
          <w:rFonts w:hint="eastAsia" w:ascii="宋体" w:hAnsi="宋体" w:eastAsia="宋体" w:cs="宋体"/>
          <w:color w:val="auto"/>
          <w:sz w:val="22"/>
          <w:szCs w:val="22"/>
        </w:rPr>
      </w:pPr>
      <w:r>
        <w:rPr>
          <w:rFonts w:hint="eastAsia" w:ascii="宋体" w:hAnsi="宋体" w:eastAsia="宋体" w:cs="宋体"/>
          <w:color w:val="auto"/>
          <w:sz w:val="22"/>
          <w:szCs w:val="22"/>
        </w:rPr>
        <w:t>注意：</w:t>
      </w:r>
    </w:p>
    <w:p w14:paraId="6E00EAF6">
      <w:pPr>
        <w:ind w:left="0" w:leftChars="0"/>
        <w:rPr>
          <w:rFonts w:hint="eastAsia" w:ascii="宋体" w:hAnsi="宋体" w:eastAsia="宋体" w:cs="宋体"/>
          <w:color w:val="auto"/>
          <w:sz w:val="22"/>
          <w:szCs w:val="22"/>
        </w:rPr>
      </w:pPr>
      <w:r>
        <w:rPr>
          <w:rFonts w:hint="eastAsia" w:ascii="宋体" w:hAnsi="宋体" w:eastAsia="宋体" w:cs="宋体"/>
          <w:color w:val="auto"/>
          <w:sz w:val="22"/>
          <w:szCs w:val="22"/>
        </w:rPr>
        <w:t>1、供应商必须将自己的服务真实、准确地填入“供应商响应情况”中，不得以“同左”或“同上”形式填写。</w:t>
      </w:r>
    </w:p>
    <w:p w14:paraId="2A7D9F6B">
      <w:pPr>
        <w:ind w:left="0" w:leftChars="0"/>
        <w:rPr>
          <w:rFonts w:hint="eastAsia" w:ascii="宋体" w:hAnsi="宋体" w:eastAsia="宋体" w:cs="宋体"/>
          <w:color w:val="auto"/>
          <w:sz w:val="22"/>
          <w:szCs w:val="22"/>
        </w:rPr>
      </w:pPr>
      <w:r>
        <w:rPr>
          <w:rFonts w:hint="eastAsia" w:ascii="宋体" w:hAnsi="宋体" w:eastAsia="宋体" w:cs="宋体"/>
          <w:color w:val="auto"/>
          <w:sz w:val="22"/>
          <w:szCs w:val="22"/>
        </w:rPr>
        <w:t>2、供应商必须根据自</w:t>
      </w:r>
      <w:r>
        <w:rPr>
          <w:rFonts w:hint="eastAsia" w:ascii="宋体" w:hAnsi="宋体" w:eastAsia="宋体" w:cs="宋体"/>
          <w:color w:val="auto"/>
          <w:sz w:val="22"/>
          <w:szCs w:val="22"/>
          <w:lang w:val="en-US" w:eastAsia="zh-CN"/>
        </w:rPr>
        <w:t>身情况</w:t>
      </w:r>
      <w:r>
        <w:rPr>
          <w:rFonts w:hint="eastAsia" w:ascii="宋体" w:hAnsi="宋体" w:eastAsia="宋体" w:cs="宋体"/>
          <w:color w:val="auto"/>
          <w:sz w:val="22"/>
          <w:szCs w:val="22"/>
        </w:rPr>
        <w:t>与“</w:t>
      </w:r>
      <w:r>
        <w:rPr>
          <w:rFonts w:hint="eastAsia" w:ascii="宋体" w:hAnsi="宋体" w:eastAsia="宋体" w:cs="宋体"/>
          <w:color w:val="auto"/>
          <w:sz w:val="22"/>
          <w:szCs w:val="22"/>
          <w:lang w:val="en-US" w:eastAsia="zh-CN"/>
        </w:rPr>
        <w:t>询比</w:t>
      </w:r>
      <w:r>
        <w:rPr>
          <w:rFonts w:hint="eastAsia" w:ascii="宋体" w:hAnsi="宋体" w:eastAsia="宋体" w:cs="宋体"/>
          <w:color w:val="auto"/>
          <w:sz w:val="22"/>
          <w:szCs w:val="22"/>
        </w:rPr>
        <w:t>文件要求”的差异情况，实事求是地填写“响应情况”（优于、满足、不满足），并将这些差异内容用加粗的字体显示出来，不得出现通过改动磋商文件要求而使自己的产品满足要求的情况。</w:t>
      </w:r>
    </w:p>
    <w:p w14:paraId="34AB82C7">
      <w:pPr>
        <w:ind w:left="0" w:leftChars="0"/>
        <w:rPr>
          <w:rFonts w:hint="eastAsia" w:ascii="宋体" w:hAnsi="宋体" w:eastAsia="宋体" w:cs="宋体"/>
          <w:color w:val="auto"/>
          <w:sz w:val="22"/>
          <w:szCs w:val="22"/>
        </w:rPr>
      </w:pPr>
      <w:r>
        <w:rPr>
          <w:rFonts w:hint="eastAsia" w:ascii="宋体" w:hAnsi="宋体" w:eastAsia="宋体" w:cs="宋体"/>
          <w:color w:val="auto"/>
          <w:sz w:val="22"/>
          <w:szCs w:val="22"/>
        </w:rPr>
        <w:t>3、如果供应商没有按前述要求去做，在项目评审中将可能被认为是未对</w:t>
      </w:r>
      <w:r>
        <w:rPr>
          <w:rFonts w:hint="eastAsia" w:ascii="宋体" w:hAnsi="宋体" w:eastAsia="宋体" w:cs="宋体"/>
          <w:color w:val="auto"/>
          <w:sz w:val="22"/>
          <w:szCs w:val="22"/>
          <w:lang w:val="en-US" w:eastAsia="zh-CN"/>
        </w:rPr>
        <w:t>询比</w:t>
      </w:r>
      <w:r>
        <w:rPr>
          <w:rFonts w:hint="eastAsia" w:ascii="宋体" w:hAnsi="宋体" w:eastAsia="宋体" w:cs="宋体"/>
          <w:color w:val="auto"/>
          <w:sz w:val="22"/>
          <w:szCs w:val="22"/>
        </w:rPr>
        <w:t>文件作出实质上的响应，或被视作不诚信供应商而拒绝对其做进一步的评审。</w:t>
      </w:r>
    </w:p>
    <w:p w14:paraId="7DA704BA">
      <w:pPr>
        <w:ind w:left="0" w:leftChars="0"/>
        <w:rPr>
          <w:rFonts w:hint="eastAsia" w:ascii="宋体" w:hAnsi="宋体" w:eastAsia="宋体" w:cs="宋体"/>
          <w:color w:val="auto"/>
          <w:sz w:val="22"/>
          <w:szCs w:val="22"/>
        </w:rPr>
      </w:pPr>
      <w:r>
        <w:rPr>
          <w:rFonts w:hint="eastAsia" w:ascii="宋体" w:hAnsi="宋体" w:eastAsia="宋体" w:cs="宋体"/>
          <w:color w:val="auto"/>
          <w:sz w:val="22"/>
          <w:szCs w:val="22"/>
        </w:rPr>
        <w:t>4、本表填报顺序需按磋商文件“第</w:t>
      </w:r>
      <w:r>
        <w:rPr>
          <w:rFonts w:hint="eastAsia" w:ascii="宋体" w:hAnsi="宋体" w:eastAsia="宋体" w:cs="宋体"/>
          <w:color w:val="auto"/>
          <w:sz w:val="22"/>
          <w:szCs w:val="22"/>
          <w:lang w:val="en-US" w:eastAsia="zh-CN"/>
        </w:rPr>
        <w:t>五</w:t>
      </w:r>
      <w:r>
        <w:rPr>
          <w:rFonts w:hint="eastAsia" w:ascii="宋体" w:hAnsi="宋体" w:eastAsia="宋体" w:cs="宋体"/>
          <w:color w:val="auto"/>
          <w:sz w:val="22"/>
          <w:szCs w:val="22"/>
        </w:rPr>
        <w:t>章第二大项”中的顺序填写。</w:t>
      </w:r>
    </w:p>
    <w:p w14:paraId="68DD2BFC">
      <w:pPr>
        <w:rPr>
          <w:rFonts w:hint="eastAsia" w:ascii="宋体" w:hAnsi="宋体" w:eastAsia="宋体" w:cs="宋体"/>
          <w:color w:val="auto"/>
          <w:sz w:val="22"/>
          <w:szCs w:val="22"/>
        </w:rPr>
      </w:pPr>
    </w:p>
    <w:p w14:paraId="70342ED0">
      <w:pPr>
        <w:pStyle w:val="8"/>
        <w:numPr>
          <w:ilvl w:val="0"/>
          <w:numId w:val="0"/>
        </w:numPr>
        <w:spacing w:before="100" w:line="209" w:lineRule="auto"/>
        <w:outlineLvl w:val="1"/>
        <w:rPr>
          <w:rFonts w:hint="eastAsia" w:ascii="宋体" w:hAnsi="宋体" w:eastAsia="宋体" w:cs="宋体"/>
          <w:b/>
          <w:bCs/>
          <w:color w:val="auto"/>
          <w:spacing w:val="8"/>
          <w:sz w:val="22"/>
          <w:szCs w:val="22"/>
          <w:lang w:val="en-US" w:eastAsia="zh-CN"/>
        </w:rPr>
      </w:pPr>
    </w:p>
    <w:p w14:paraId="3F24FF80">
      <w:pPr>
        <w:pStyle w:val="8"/>
        <w:numPr>
          <w:ilvl w:val="0"/>
          <w:numId w:val="0"/>
        </w:numPr>
        <w:spacing w:before="100" w:line="209" w:lineRule="auto"/>
        <w:outlineLvl w:val="1"/>
        <w:rPr>
          <w:rFonts w:hint="eastAsia" w:ascii="宋体" w:hAnsi="宋体" w:eastAsia="宋体" w:cs="宋体"/>
          <w:b/>
          <w:bCs/>
          <w:color w:val="auto"/>
          <w:spacing w:val="8"/>
          <w:sz w:val="22"/>
          <w:szCs w:val="22"/>
          <w:lang w:val="en-US" w:eastAsia="zh-CN"/>
        </w:rPr>
      </w:pPr>
    </w:p>
    <w:p w14:paraId="58118F14">
      <w:pPr>
        <w:pStyle w:val="8"/>
        <w:numPr>
          <w:ilvl w:val="0"/>
          <w:numId w:val="0"/>
        </w:numPr>
        <w:spacing w:before="100" w:line="209" w:lineRule="auto"/>
        <w:outlineLvl w:val="1"/>
        <w:rPr>
          <w:rFonts w:hint="eastAsia" w:ascii="宋体" w:hAnsi="宋体" w:eastAsia="宋体" w:cs="宋体"/>
          <w:b/>
          <w:bCs/>
          <w:color w:val="auto"/>
          <w:spacing w:val="8"/>
          <w:sz w:val="22"/>
          <w:szCs w:val="22"/>
          <w:lang w:val="en-US" w:eastAsia="zh-CN"/>
        </w:rPr>
      </w:pPr>
    </w:p>
    <w:p w14:paraId="3CAD966B">
      <w:pPr>
        <w:pStyle w:val="8"/>
        <w:numPr>
          <w:ilvl w:val="0"/>
          <w:numId w:val="0"/>
        </w:numPr>
        <w:spacing w:before="100" w:line="209" w:lineRule="auto"/>
        <w:outlineLvl w:val="1"/>
        <w:rPr>
          <w:rFonts w:hint="eastAsia" w:ascii="宋体" w:hAnsi="宋体" w:eastAsia="宋体" w:cs="宋体"/>
          <w:b/>
          <w:bCs/>
          <w:color w:val="auto"/>
          <w:spacing w:val="8"/>
          <w:sz w:val="22"/>
          <w:szCs w:val="22"/>
          <w:lang w:val="en-US" w:eastAsia="zh-CN"/>
        </w:rPr>
      </w:pPr>
    </w:p>
    <w:p w14:paraId="064520CE">
      <w:pPr>
        <w:pStyle w:val="8"/>
        <w:numPr>
          <w:ilvl w:val="0"/>
          <w:numId w:val="0"/>
        </w:numPr>
        <w:spacing w:before="100" w:line="209" w:lineRule="auto"/>
        <w:outlineLvl w:val="1"/>
        <w:rPr>
          <w:rFonts w:hint="eastAsia" w:ascii="宋体" w:hAnsi="宋体" w:eastAsia="宋体" w:cs="宋体"/>
          <w:b/>
          <w:bCs/>
          <w:color w:val="auto"/>
          <w:spacing w:val="8"/>
          <w:sz w:val="22"/>
          <w:szCs w:val="22"/>
          <w:lang w:val="en-US" w:eastAsia="zh-CN"/>
        </w:rPr>
      </w:pPr>
    </w:p>
    <w:p w14:paraId="5FF5C3AA">
      <w:pPr>
        <w:pStyle w:val="8"/>
        <w:numPr>
          <w:ilvl w:val="0"/>
          <w:numId w:val="0"/>
        </w:numPr>
        <w:spacing w:before="100" w:line="209" w:lineRule="auto"/>
        <w:outlineLvl w:val="1"/>
        <w:rPr>
          <w:rFonts w:hint="eastAsia" w:ascii="宋体" w:hAnsi="宋体" w:eastAsia="宋体" w:cs="宋体"/>
          <w:b/>
          <w:bCs/>
          <w:color w:val="auto"/>
          <w:spacing w:val="8"/>
          <w:sz w:val="22"/>
          <w:szCs w:val="22"/>
          <w:lang w:val="en-US" w:eastAsia="zh-CN"/>
        </w:rPr>
      </w:pPr>
    </w:p>
    <w:p w14:paraId="4E7E1748">
      <w:pPr>
        <w:pStyle w:val="8"/>
        <w:numPr>
          <w:ilvl w:val="0"/>
          <w:numId w:val="0"/>
        </w:numPr>
        <w:spacing w:before="100" w:line="209" w:lineRule="auto"/>
        <w:outlineLvl w:val="1"/>
        <w:rPr>
          <w:rFonts w:hint="eastAsia" w:ascii="宋体" w:hAnsi="宋体" w:eastAsia="宋体" w:cs="宋体"/>
          <w:b/>
          <w:bCs/>
          <w:color w:val="auto"/>
          <w:spacing w:val="8"/>
          <w:sz w:val="22"/>
          <w:szCs w:val="22"/>
          <w:lang w:val="en-US" w:eastAsia="zh-CN"/>
        </w:rPr>
      </w:pPr>
    </w:p>
    <w:p w14:paraId="0D36C40B">
      <w:pPr>
        <w:pStyle w:val="8"/>
        <w:numPr>
          <w:ilvl w:val="0"/>
          <w:numId w:val="0"/>
        </w:numPr>
        <w:spacing w:before="100" w:line="209" w:lineRule="auto"/>
        <w:outlineLvl w:val="1"/>
        <w:rPr>
          <w:rFonts w:hint="eastAsia" w:ascii="宋体" w:hAnsi="宋体" w:eastAsia="宋体" w:cs="宋体"/>
          <w:b/>
          <w:bCs/>
          <w:color w:val="auto"/>
          <w:spacing w:val="8"/>
          <w:sz w:val="22"/>
          <w:szCs w:val="22"/>
          <w:lang w:val="en-US" w:eastAsia="zh-CN"/>
        </w:rPr>
      </w:pPr>
    </w:p>
    <w:p w14:paraId="3CEC1BE9">
      <w:pPr>
        <w:pStyle w:val="8"/>
        <w:numPr>
          <w:ilvl w:val="0"/>
          <w:numId w:val="0"/>
        </w:numPr>
        <w:spacing w:before="100" w:line="209" w:lineRule="auto"/>
        <w:outlineLvl w:val="1"/>
        <w:rPr>
          <w:rFonts w:hint="eastAsia" w:ascii="宋体" w:hAnsi="宋体" w:eastAsia="宋体" w:cs="宋体"/>
          <w:b/>
          <w:bCs/>
          <w:color w:val="auto"/>
          <w:spacing w:val="8"/>
          <w:sz w:val="22"/>
          <w:szCs w:val="22"/>
          <w:lang w:val="en-US" w:eastAsia="zh-CN"/>
        </w:rPr>
      </w:pPr>
    </w:p>
    <w:p w14:paraId="3AB55611">
      <w:pPr>
        <w:pStyle w:val="8"/>
        <w:numPr>
          <w:ilvl w:val="0"/>
          <w:numId w:val="0"/>
        </w:numPr>
        <w:spacing w:before="100" w:line="209" w:lineRule="auto"/>
        <w:outlineLvl w:val="1"/>
        <w:rPr>
          <w:rFonts w:hint="eastAsia" w:ascii="宋体" w:hAnsi="宋体" w:eastAsia="宋体" w:cs="宋体"/>
          <w:b/>
          <w:bCs/>
          <w:color w:val="auto"/>
          <w:spacing w:val="8"/>
          <w:sz w:val="22"/>
          <w:szCs w:val="22"/>
          <w:lang w:val="en-US" w:eastAsia="zh-CN"/>
        </w:rPr>
      </w:pPr>
    </w:p>
    <w:p w14:paraId="54C5D83E">
      <w:pPr>
        <w:pStyle w:val="8"/>
        <w:spacing w:before="100" w:line="209" w:lineRule="auto"/>
        <w:outlineLvl w:val="1"/>
        <w:rPr>
          <w:rFonts w:hint="eastAsia" w:ascii="宋体" w:hAnsi="宋体" w:eastAsia="宋体" w:cs="宋体"/>
          <w:b/>
          <w:bCs/>
          <w:color w:val="auto"/>
          <w:sz w:val="30"/>
          <w:szCs w:val="30"/>
          <w:lang w:val="en-US" w:eastAsia="zh-CN"/>
        </w:rPr>
      </w:pPr>
      <w:bookmarkStart w:id="115" w:name="_Toc31819"/>
      <w:r>
        <w:rPr>
          <w:rFonts w:hint="eastAsia" w:ascii="宋体" w:hAnsi="宋体" w:eastAsia="宋体" w:cs="宋体"/>
          <w:b/>
          <w:bCs/>
          <w:color w:val="auto"/>
          <w:spacing w:val="8"/>
          <w:sz w:val="30"/>
          <w:szCs w:val="30"/>
          <w:lang w:val="en-US" w:eastAsia="zh-CN"/>
        </w:rPr>
        <w:t>七</w:t>
      </w:r>
      <w:r>
        <w:rPr>
          <w:rFonts w:hint="eastAsia" w:ascii="宋体" w:hAnsi="宋体" w:eastAsia="宋体" w:cs="宋体"/>
          <w:b/>
          <w:bCs/>
          <w:color w:val="auto"/>
          <w:sz w:val="30"/>
          <w:szCs w:val="30"/>
          <w:lang w:val="en-US" w:eastAsia="zh-CN"/>
        </w:rPr>
        <w:t>、本项目实施方案</w:t>
      </w:r>
      <w:bookmarkEnd w:id="115"/>
    </w:p>
    <w:p w14:paraId="08C2E11A">
      <w:pPr>
        <w:pStyle w:val="8"/>
        <w:numPr>
          <w:ilvl w:val="0"/>
          <w:numId w:val="0"/>
        </w:numPr>
        <w:spacing w:before="100" w:line="209" w:lineRule="auto"/>
        <w:outlineLvl w:val="1"/>
        <w:rPr>
          <w:rFonts w:hint="eastAsia" w:ascii="宋体" w:hAnsi="宋体" w:eastAsia="宋体" w:cs="宋体"/>
          <w:b/>
          <w:bCs/>
          <w:color w:val="auto"/>
          <w:sz w:val="30"/>
          <w:szCs w:val="30"/>
          <w:lang w:val="en-US" w:eastAsia="zh-CN"/>
        </w:rPr>
      </w:pPr>
      <w:bookmarkStart w:id="116" w:name="_bookmark27"/>
      <w:bookmarkEnd w:id="116"/>
      <w:bookmarkStart w:id="117" w:name="五、资格证明文件及其他重要资料"/>
      <w:bookmarkEnd w:id="117"/>
    </w:p>
    <w:p w14:paraId="10A32255">
      <w:pPr>
        <w:pStyle w:val="8"/>
        <w:numPr>
          <w:ilvl w:val="0"/>
          <w:numId w:val="0"/>
        </w:numPr>
        <w:spacing w:before="100" w:line="209" w:lineRule="auto"/>
        <w:outlineLvl w:val="1"/>
        <w:rPr>
          <w:rFonts w:hint="eastAsia" w:ascii="宋体" w:hAnsi="宋体" w:eastAsia="宋体" w:cs="宋体"/>
          <w:b/>
          <w:bCs/>
          <w:color w:val="auto"/>
          <w:sz w:val="22"/>
          <w:szCs w:val="22"/>
          <w:lang w:val="en-US" w:eastAsia="zh-CN"/>
        </w:rPr>
      </w:pPr>
      <w:bookmarkStart w:id="118" w:name="_Toc29612"/>
      <w:r>
        <w:rPr>
          <w:rFonts w:hint="eastAsia" w:ascii="宋体" w:hAnsi="宋体" w:eastAsia="宋体" w:cs="宋体"/>
          <w:b/>
          <w:bCs/>
          <w:color w:val="auto"/>
          <w:sz w:val="30"/>
          <w:szCs w:val="30"/>
          <w:lang w:val="en-US" w:eastAsia="zh-CN"/>
        </w:rPr>
        <w:t>八、资格证明文件及其他重要资料供应商必须提供下列文件：</w:t>
      </w:r>
      <w:bookmarkEnd w:id="118"/>
    </w:p>
    <w:p w14:paraId="68CAF24B">
      <w:pPr>
        <w:pStyle w:val="8"/>
        <w:numPr>
          <w:ilvl w:val="0"/>
          <w:numId w:val="0"/>
        </w:numPr>
        <w:spacing w:before="100" w:line="209" w:lineRule="auto"/>
        <w:outlineLvl w:val="9"/>
        <w:rPr>
          <w:rFonts w:hint="eastAsia" w:ascii="宋体" w:hAnsi="宋体" w:eastAsia="宋体" w:cs="宋体"/>
          <w:color w:val="auto"/>
          <w:sz w:val="22"/>
          <w:szCs w:val="22"/>
          <w:lang w:val="en-US" w:eastAsia="zh-CN"/>
        </w:rPr>
      </w:pPr>
    </w:p>
    <w:p w14:paraId="4C66E016">
      <w:pPr>
        <w:pStyle w:val="8"/>
        <w:spacing w:before="100" w:line="209" w:lineRule="auto"/>
        <w:outlineLvl w:val="1"/>
        <w:rPr>
          <w:rFonts w:hint="eastAsia" w:ascii="宋体" w:hAnsi="宋体" w:eastAsia="宋体" w:cs="宋体"/>
          <w:color w:val="auto"/>
          <w:sz w:val="24"/>
          <w:szCs w:val="24"/>
          <w:lang w:val="en-US" w:eastAsia="zh-CN"/>
        </w:rPr>
      </w:pPr>
      <w:bookmarkStart w:id="119" w:name="_Toc21549"/>
      <w:r>
        <w:rPr>
          <w:rFonts w:hint="eastAsia" w:ascii="宋体" w:hAnsi="宋体" w:eastAsia="宋体" w:cs="宋体"/>
          <w:color w:val="auto"/>
          <w:sz w:val="24"/>
          <w:szCs w:val="24"/>
          <w:lang w:val="en-US" w:eastAsia="zh-CN"/>
        </w:rPr>
        <w:t>（一）营业执照</w:t>
      </w:r>
      <w:bookmarkEnd w:id="119"/>
    </w:p>
    <w:p w14:paraId="335069BC">
      <w:pPr>
        <w:pStyle w:val="8"/>
        <w:spacing w:before="100" w:line="209" w:lineRule="auto"/>
        <w:ind w:left="4717"/>
        <w:outlineLvl w:val="9"/>
        <w:rPr>
          <w:rFonts w:hint="eastAsia" w:ascii="宋体" w:hAnsi="宋体" w:eastAsia="宋体" w:cs="宋体"/>
          <w:color w:val="auto"/>
          <w:sz w:val="24"/>
          <w:szCs w:val="24"/>
          <w:lang w:val="en-US" w:eastAsia="zh-CN"/>
        </w:rPr>
      </w:pPr>
    </w:p>
    <w:p w14:paraId="2095088F">
      <w:pPr>
        <w:pStyle w:val="8"/>
        <w:numPr>
          <w:ilvl w:val="0"/>
          <w:numId w:val="5"/>
        </w:numPr>
        <w:spacing w:before="100" w:line="209" w:lineRule="auto"/>
        <w:outlineLvl w:val="1"/>
        <w:rPr>
          <w:rFonts w:hint="eastAsia" w:ascii="宋体" w:hAnsi="宋体" w:eastAsia="宋体" w:cs="宋体"/>
          <w:color w:val="auto"/>
          <w:sz w:val="24"/>
          <w:szCs w:val="24"/>
          <w:lang w:val="en-US" w:eastAsia="zh-CN"/>
        </w:rPr>
      </w:pPr>
      <w:bookmarkStart w:id="120" w:name="_Toc25006"/>
      <w:r>
        <w:rPr>
          <w:rFonts w:hint="eastAsia" w:ascii="宋体" w:hAnsi="宋体" w:eastAsia="宋体" w:cs="宋体"/>
          <w:color w:val="auto"/>
          <w:sz w:val="24"/>
          <w:szCs w:val="24"/>
          <w:lang w:val="en-US" w:eastAsia="zh-CN"/>
        </w:rPr>
        <w:t>税务登记证</w:t>
      </w:r>
      <w:bookmarkEnd w:id="120"/>
      <w:bookmarkStart w:id="121" w:name="bookmark119"/>
      <w:bookmarkEnd w:id="121"/>
      <w:bookmarkStart w:id="122" w:name="bookmark174"/>
      <w:bookmarkEnd w:id="122"/>
    </w:p>
    <w:p w14:paraId="5DAB2FFD">
      <w:pPr>
        <w:pStyle w:val="8"/>
        <w:numPr>
          <w:ilvl w:val="0"/>
          <w:numId w:val="0"/>
        </w:numPr>
        <w:spacing w:before="100" w:line="209" w:lineRule="auto"/>
        <w:outlineLvl w:val="9"/>
        <w:rPr>
          <w:rFonts w:hint="eastAsia" w:ascii="宋体" w:hAnsi="宋体" w:eastAsia="宋体" w:cs="宋体"/>
          <w:color w:val="auto"/>
          <w:sz w:val="22"/>
          <w:szCs w:val="22"/>
        </w:rPr>
      </w:pPr>
    </w:p>
    <w:p w14:paraId="7C8A5CBC">
      <w:pPr>
        <w:rPr>
          <w:rFonts w:hint="eastAsia" w:ascii="宋体" w:hAnsi="宋体" w:eastAsia="宋体" w:cs="宋体"/>
          <w:b/>
          <w:bCs/>
          <w:color w:val="auto"/>
          <w:spacing w:val="-1"/>
          <w:sz w:val="30"/>
          <w:szCs w:val="30"/>
          <w:lang w:val="en-US" w:eastAsia="zh-CN"/>
        </w:rPr>
      </w:pPr>
      <w:r>
        <w:rPr>
          <w:rFonts w:hint="eastAsia" w:ascii="宋体" w:hAnsi="宋体" w:eastAsia="宋体" w:cs="宋体"/>
          <w:b/>
          <w:bCs/>
          <w:color w:val="auto"/>
          <w:spacing w:val="-1"/>
          <w:sz w:val="30"/>
          <w:szCs w:val="30"/>
          <w:lang w:val="en-US" w:eastAsia="zh-CN"/>
        </w:rPr>
        <w:br w:type="page"/>
      </w:r>
    </w:p>
    <w:p w14:paraId="36C8DD4E">
      <w:pPr>
        <w:numPr>
          <w:ilvl w:val="0"/>
          <w:numId w:val="6"/>
        </w:numPr>
        <w:spacing w:line="360" w:lineRule="auto"/>
        <w:jc w:val="center"/>
        <w:outlineLvl w:val="1"/>
        <w:rPr>
          <w:rFonts w:hint="eastAsia" w:ascii="宋体" w:hAnsi="宋体" w:eastAsia="宋体" w:cs="宋体"/>
          <w:b/>
          <w:bCs/>
          <w:color w:val="auto"/>
          <w:spacing w:val="-1"/>
          <w:sz w:val="30"/>
          <w:szCs w:val="30"/>
          <w:lang w:val="en-US" w:eastAsia="zh-CN"/>
        </w:rPr>
      </w:pPr>
      <w:bookmarkStart w:id="123" w:name="_Toc25423"/>
      <w:r>
        <w:rPr>
          <w:rFonts w:hint="eastAsia" w:ascii="宋体" w:hAnsi="宋体" w:eastAsia="宋体" w:cs="宋体"/>
          <w:b/>
          <w:bCs/>
          <w:color w:val="auto"/>
          <w:spacing w:val="-1"/>
          <w:sz w:val="30"/>
          <w:szCs w:val="30"/>
          <w:lang w:val="en-US" w:eastAsia="zh-CN"/>
        </w:rPr>
        <w:t>声明函</w:t>
      </w:r>
      <w:bookmarkEnd w:id="123"/>
    </w:p>
    <w:p w14:paraId="3A191513">
      <w:pPr>
        <w:numPr>
          <w:ilvl w:val="0"/>
          <w:numId w:val="0"/>
        </w:numPr>
        <w:spacing w:line="360" w:lineRule="auto"/>
        <w:jc w:val="left"/>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w:t>
      </w:r>
    </w:p>
    <w:p w14:paraId="7142BB01">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根据贵方</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（项目编号） </w:t>
      </w:r>
      <w:r>
        <w:rPr>
          <w:rFonts w:hint="eastAsia" w:ascii="宋体" w:hAnsi="宋体" w:eastAsia="宋体" w:cs="宋体"/>
          <w:color w:val="auto"/>
          <w:sz w:val="24"/>
          <w:szCs w:val="24"/>
          <w:lang w:eastAsia="zh-CN"/>
        </w:rPr>
        <w:t>询比公告</w:t>
      </w:r>
      <w:r>
        <w:rPr>
          <w:rFonts w:hint="eastAsia" w:ascii="宋体" w:hAnsi="宋体" w:eastAsia="宋体" w:cs="宋体"/>
          <w:color w:val="auto"/>
          <w:sz w:val="24"/>
          <w:szCs w:val="24"/>
        </w:rPr>
        <w:t>，我们决定参加贵方组织的</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采购活动。在此声明如下：</w:t>
      </w:r>
    </w:p>
    <w:p w14:paraId="0110208A">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1、财务状况良好</w:t>
      </w:r>
    </w:p>
    <w:p w14:paraId="6BEE5A62">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2、已依法缴纳税收</w:t>
      </w:r>
    </w:p>
    <w:p w14:paraId="5FE97C30">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3、已依法缴纳社会保障资金</w:t>
      </w:r>
    </w:p>
    <w:p w14:paraId="016A418C">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4、具备履行合同</w:t>
      </w:r>
      <w:r>
        <w:rPr>
          <w:rFonts w:hint="eastAsia" w:ascii="宋体" w:hAnsi="宋体" w:eastAsia="宋体" w:cs="宋体"/>
          <w:color w:val="auto"/>
          <w:sz w:val="24"/>
          <w:szCs w:val="24"/>
          <w:lang w:eastAsia="zh-CN"/>
        </w:rPr>
        <w:t>所必需的</w:t>
      </w:r>
      <w:r>
        <w:rPr>
          <w:rFonts w:hint="eastAsia" w:ascii="宋体" w:hAnsi="宋体" w:eastAsia="宋体" w:cs="宋体"/>
          <w:color w:val="auto"/>
          <w:sz w:val="24"/>
          <w:szCs w:val="24"/>
        </w:rPr>
        <w:t>设备和专业技术能力</w:t>
      </w:r>
    </w:p>
    <w:p w14:paraId="6FED5574">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5、参加政府采购活动前3年内在经营活动中没有重大违法记录或因违法经营被禁止在一定期限内参加政府采购活动但期限已届满的情况。</w:t>
      </w:r>
    </w:p>
    <w:p w14:paraId="572280D9">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我公司对上述声明的真实性负责，如有虚假，将依法承担相应责任。 </w:t>
      </w:r>
    </w:p>
    <w:p w14:paraId="4CE1A687">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特此声明！ </w:t>
      </w:r>
    </w:p>
    <w:p w14:paraId="63005226">
      <w:pPr>
        <w:spacing w:line="360" w:lineRule="auto"/>
        <w:ind w:firstLine="1200" w:firstLineChars="500"/>
        <w:outlineLvl w:val="9"/>
        <w:rPr>
          <w:rFonts w:hint="eastAsia" w:ascii="宋体" w:hAnsi="宋体" w:eastAsia="宋体" w:cs="宋体"/>
          <w:color w:val="auto"/>
          <w:sz w:val="24"/>
          <w:szCs w:val="24"/>
        </w:rPr>
      </w:pPr>
    </w:p>
    <w:p w14:paraId="54E28747">
      <w:pPr>
        <w:spacing w:line="360" w:lineRule="auto"/>
        <w:ind w:firstLine="1200" w:firstLineChars="500"/>
        <w:outlineLvl w:val="9"/>
        <w:rPr>
          <w:rFonts w:hint="eastAsia" w:ascii="宋体" w:hAnsi="宋体" w:eastAsia="宋体" w:cs="宋体"/>
          <w:color w:val="auto"/>
          <w:sz w:val="24"/>
          <w:szCs w:val="24"/>
        </w:rPr>
      </w:pPr>
    </w:p>
    <w:p w14:paraId="1846C4C7">
      <w:pPr>
        <w:spacing w:line="360" w:lineRule="auto"/>
        <w:ind w:firstLine="1200" w:firstLineChars="5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（盖章）</w:t>
      </w:r>
    </w:p>
    <w:p w14:paraId="3D239088">
      <w:pPr>
        <w:spacing w:line="360" w:lineRule="auto"/>
        <w:ind w:firstLine="1200" w:firstLineChars="5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w:t>
      </w:r>
      <w:r>
        <w:rPr>
          <w:rFonts w:hint="eastAsia" w:ascii="宋体" w:hAnsi="宋体" w:eastAsia="宋体" w:cs="宋体"/>
          <w:color w:val="auto"/>
          <w:sz w:val="24"/>
          <w:szCs w:val="24"/>
          <w:u w:val="single"/>
        </w:rPr>
        <w:t xml:space="preserve">  （签字或盖章）</w:t>
      </w:r>
    </w:p>
    <w:p w14:paraId="500D726A">
      <w:pPr>
        <w:pStyle w:val="8"/>
        <w:numPr>
          <w:ilvl w:val="0"/>
          <w:numId w:val="0"/>
        </w:numPr>
        <w:spacing w:before="100" w:line="209" w:lineRule="auto"/>
        <w:jc w:val="right"/>
        <w:outlineLvl w:val="9"/>
        <w:rPr>
          <w:rFonts w:hint="eastAsia" w:cs="宋体"/>
          <w:color w:val="auto"/>
          <w:sz w:val="24"/>
          <w:szCs w:val="24"/>
        </w:rPr>
      </w:pP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38A13A0">
      <w:pPr>
        <w:rPr>
          <w:rFonts w:hint="eastAsia" w:ascii="宋体" w:hAnsi="宋体" w:eastAsia="宋体" w:cs="宋体"/>
          <w:b/>
          <w:bCs/>
          <w:color w:val="auto"/>
          <w:spacing w:val="-1"/>
          <w:sz w:val="30"/>
          <w:szCs w:val="30"/>
        </w:rPr>
      </w:pPr>
      <w:r>
        <w:rPr>
          <w:rFonts w:hint="eastAsia" w:ascii="宋体" w:hAnsi="宋体" w:eastAsia="宋体" w:cs="宋体"/>
          <w:b/>
          <w:bCs/>
          <w:color w:val="auto"/>
          <w:spacing w:val="-1"/>
          <w:sz w:val="30"/>
          <w:szCs w:val="30"/>
        </w:rPr>
        <w:br w:type="page"/>
      </w:r>
    </w:p>
    <w:p w14:paraId="6D20124A">
      <w:pPr>
        <w:numPr>
          <w:ilvl w:val="0"/>
          <w:numId w:val="6"/>
        </w:numPr>
        <w:spacing w:line="360" w:lineRule="auto"/>
        <w:ind w:left="0" w:leftChars="0" w:firstLine="0" w:firstLineChars="0"/>
        <w:jc w:val="center"/>
        <w:outlineLvl w:val="1"/>
        <w:rPr>
          <w:rFonts w:hint="eastAsia" w:ascii="宋体" w:hAnsi="宋体" w:eastAsia="宋体" w:cs="宋体"/>
          <w:b/>
          <w:bCs/>
          <w:color w:val="auto"/>
          <w:spacing w:val="-1"/>
          <w:sz w:val="30"/>
          <w:szCs w:val="30"/>
          <w:lang w:val="en-US" w:eastAsia="zh-CN"/>
        </w:rPr>
      </w:pPr>
      <w:bookmarkStart w:id="124" w:name="_Toc31345"/>
      <w:r>
        <w:rPr>
          <w:rFonts w:hint="eastAsia" w:ascii="宋体" w:hAnsi="宋体" w:eastAsia="宋体" w:cs="宋体"/>
          <w:b/>
          <w:bCs/>
          <w:color w:val="auto"/>
          <w:spacing w:val="-1"/>
          <w:sz w:val="30"/>
          <w:szCs w:val="30"/>
          <w:lang w:val="en-US" w:eastAsia="zh-CN"/>
        </w:rPr>
        <w:t>承诺书</w:t>
      </w:r>
      <w:bookmarkEnd w:id="124"/>
    </w:p>
    <w:p w14:paraId="37BFBD47">
      <w:pPr>
        <w:numPr>
          <w:ilvl w:val="0"/>
          <w:numId w:val="0"/>
        </w:numPr>
        <w:spacing w:line="360" w:lineRule="auto"/>
        <w:ind w:leftChars="0"/>
        <w:jc w:val="left"/>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w:t>
      </w:r>
    </w:p>
    <w:p w14:paraId="48E28BF9">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根据贵方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（项目编号） </w:t>
      </w:r>
      <w:r>
        <w:rPr>
          <w:rFonts w:hint="eastAsia" w:ascii="宋体" w:hAnsi="宋体" w:eastAsia="宋体" w:cs="宋体"/>
          <w:color w:val="auto"/>
          <w:sz w:val="24"/>
          <w:szCs w:val="24"/>
          <w:lang w:eastAsia="zh-CN"/>
        </w:rPr>
        <w:t>询比公告</w:t>
      </w:r>
      <w:r>
        <w:rPr>
          <w:rFonts w:hint="eastAsia" w:ascii="宋体" w:hAnsi="宋体" w:eastAsia="宋体" w:cs="宋体"/>
          <w:color w:val="auto"/>
          <w:sz w:val="24"/>
          <w:szCs w:val="24"/>
        </w:rPr>
        <w:t>，我们决定参加贵方组织的</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采购活动。在此承诺如下：</w:t>
      </w:r>
    </w:p>
    <w:p w14:paraId="55F69038">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1、我公司或其法定代表人或拟派项目负责人未被列入行贿犯罪档案；</w:t>
      </w:r>
    </w:p>
    <w:p w14:paraId="6E4BCDAC">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2、我公司已按</w:t>
      </w:r>
      <w:r>
        <w:rPr>
          <w:rFonts w:hint="eastAsia" w:ascii="宋体" w:hAnsi="宋体" w:eastAsia="宋体" w:cs="宋体"/>
          <w:color w:val="auto"/>
          <w:sz w:val="24"/>
          <w:szCs w:val="24"/>
          <w:lang w:eastAsia="zh-CN"/>
        </w:rPr>
        <w:t>询比公告</w:t>
      </w:r>
      <w:r>
        <w:rPr>
          <w:rFonts w:hint="eastAsia" w:ascii="宋体" w:hAnsi="宋体" w:eastAsia="宋体" w:cs="宋体"/>
          <w:color w:val="auto"/>
          <w:sz w:val="24"/>
          <w:szCs w:val="24"/>
        </w:rPr>
        <w:t>要求报名。</w:t>
      </w:r>
    </w:p>
    <w:p w14:paraId="6DE7F4FB">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我公司对上述承诺的真实性负责，如有虚假，将依法承担相应责任。 </w:t>
      </w:r>
    </w:p>
    <w:p w14:paraId="3ECD3076">
      <w:pPr>
        <w:spacing w:line="360" w:lineRule="auto"/>
        <w:ind w:firstLine="552" w:firstLineChars="23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特此承诺！ </w:t>
      </w:r>
    </w:p>
    <w:p w14:paraId="7BF282A8">
      <w:pPr>
        <w:pStyle w:val="20"/>
        <w:ind w:firstLine="280"/>
        <w:outlineLvl w:val="9"/>
        <w:rPr>
          <w:rFonts w:hint="eastAsia" w:ascii="宋体" w:hAnsi="宋体" w:eastAsia="宋体" w:cs="宋体"/>
          <w:color w:val="auto"/>
          <w:sz w:val="24"/>
          <w:szCs w:val="24"/>
        </w:rPr>
      </w:pPr>
    </w:p>
    <w:p w14:paraId="59D0F69D">
      <w:pPr>
        <w:spacing w:line="360" w:lineRule="auto"/>
        <w:ind w:firstLine="552" w:firstLineChars="230"/>
        <w:jc w:val="left"/>
        <w:outlineLvl w:val="9"/>
        <w:rPr>
          <w:rFonts w:hint="eastAsia" w:ascii="宋体" w:hAnsi="宋体" w:eastAsia="宋体" w:cs="宋体"/>
          <w:color w:val="auto"/>
          <w:sz w:val="24"/>
          <w:szCs w:val="24"/>
        </w:rPr>
      </w:pPr>
    </w:p>
    <w:p w14:paraId="5BA6FA6F">
      <w:pPr>
        <w:spacing w:line="360" w:lineRule="auto"/>
        <w:ind w:firstLine="552" w:firstLineChars="230"/>
        <w:jc w:val="left"/>
        <w:outlineLvl w:val="9"/>
        <w:rPr>
          <w:rFonts w:hint="eastAsia" w:ascii="宋体" w:hAnsi="宋体" w:eastAsia="宋体" w:cs="宋体"/>
          <w:color w:val="auto"/>
          <w:sz w:val="24"/>
          <w:szCs w:val="24"/>
        </w:rPr>
      </w:pPr>
    </w:p>
    <w:p w14:paraId="782CC819">
      <w:pPr>
        <w:spacing w:line="360" w:lineRule="auto"/>
        <w:ind w:firstLine="1200" w:firstLineChars="500"/>
        <w:outlineLvl w:val="9"/>
        <w:rPr>
          <w:rFonts w:hint="eastAsia" w:ascii="宋体" w:hAnsi="宋体" w:eastAsia="宋体" w:cs="宋体"/>
          <w:color w:val="auto"/>
          <w:sz w:val="24"/>
          <w:szCs w:val="24"/>
        </w:rPr>
      </w:pPr>
    </w:p>
    <w:p w14:paraId="122017E0">
      <w:pPr>
        <w:spacing w:line="360" w:lineRule="auto"/>
        <w:ind w:firstLine="1200" w:firstLineChars="500"/>
        <w:outlineLvl w:val="9"/>
        <w:rPr>
          <w:rFonts w:hint="eastAsia" w:ascii="宋体" w:hAnsi="宋体" w:eastAsia="宋体" w:cs="宋体"/>
          <w:color w:val="auto"/>
          <w:sz w:val="24"/>
          <w:szCs w:val="24"/>
        </w:rPr>
      </w:pPr>
    </w:p>
    <w:p w14:paraId="76AB901D">
      <w:pPr>
        <w:spacing w:line="360" w:lineRule="auto"/>
        <w:ind w:firstLine="1200" w:firstLineChars="5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（盖章）</w:t>
      </w:r>
    </w:p>
    <w:p w14:paraId="38FAD90C">
      <w:pPr>
        <w:spacing w:line="360" w:lineRule="auto"/>
        <w:ind w:firstLine="1200" w:firstLineChars="5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w:t>
      </w:r>
      <w:r>
        <w:rPr>
          <w:rFonts w:hint="eastAsia" w:ascii="宋体" w:hAnsi="宋体" w:eastAsia="宋体" w:cs="宋体"/>
          <w:color w:val="auto"/>
          <w:sz w:val="24"/>
          <w:szCs w:val="24"/>
          <w:u w:val="single"/>
        </w:rPr>
        <w:t xml:space="preserve">     （签字或盖章）</w:t>
      </w:r>
    </w:p>
    <w:p w14:paraId="14892D09">
      <w:pPr>
        <w:spacing w:line="360" w:lineRule="auto"/>
        <w:ind w:right="31" w:rightChars="15" w:firstLine="1200" w:firstLineChars="5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A278C59">
      <w:pPr>
        <w:rPr>
          <w:rFonts w:hint="eastAsia" w:ascii="宋体" w:hAnsi="宋体" w:eastAsia="宋体" w:cs="宋体"/>
          <w:b/>
          <w:bCs/>
          <w:color w:val="auto"/>
          <w:spacing w:val="-1"/>
          <w:sz w:val="30"/>
          <w:szCs w:val="30"/>
          <w:lang w:val="en-US" w:eastAsia="zh-CN"/>
        </w:rPr>
      </w:pPr>
      <w:r>
        <w:rPr>
          <w:rFonts w:hint="eastAsia" w:ascii="宋体" w:hAnsi="宋体" w:eastAsia="宋体" w:cs="宋体"/>
          <w:b/>
          <w:bCs/>
          <w:color w:val="auto"/>
          <w:spacing w:val="-1"/>
          <w:sz w:val="30"/>
          <w:szCs w:val="30"/>
          <w:lang w:val="en-US" w:eastAsia="zh-CN"/>
        </w:rPr>
        <w:br w:type="page"/>
      </w:r>
    </w:p>
    <w:p w14:paraId="3D8AE160">
      <w:pPr>
        <w:pStyle w:val="8"/>
        <w:numPr>
          <w:ilvl w:val="0"/>
          <w:numId w:val="0"/>
        </w:numPr>
        <w:spacing w:before="100" w:line="209" w:lineRule="auto"/>
        <w:ind w:leftChars="0"/>
        <w:jc w:val="center"/>
        <w:outlineLvl w:val="1"/>
        <w:rPr>
          <w:rFonts w:hint="eastAsia" w:ascii="宋体" w:hAnsi="宋体" w:eastAsia="宋体" w:cs="宋体"/>
          <w:color w:val="auto"/>
          <w:sz w:val="30"/>
          <w:szCs w:val="30"/>
          <w:lang w:eastAsia="zh-CN"/>
        </w:rPr>
      </w:pPr>
      <w:bookmarkStart w:id="125" w:name="_Toc20907"/>
      <w:r>
        <w:rPr>
          <w:rFonts w:hint="eastAsia" w:ascii="宋体" w:hAnsi="宋体" w:eastAsia="宋体" w:cs="宋体"/>
          <w:b/>
          <w:bCs/>
          <w:color w:val="auto"/>
          <w:spacing w:val="-1"/>
          <w:sz w:val="30"/>
          <w:szCs w:val="30"/>
          <w:lang w:val="en-US" w:eastAsia="zh-CN"/>
        </w:rPr>
        <w:t>十一、</w:t>
      </w:r>
      <w:r>
        <w:rPr>
          <w:rFonts w:hint="eastAsia" w:ascii="宋体" w:hAnsi="宋体" w:eastAsia="宋体" w:cs="宋体"/>
          <w:b/>
          <w:bCs/>
          <w:color w:val="auto"/>
          <w:spacing w:val="-1"/>
          <w:sz w:val="30"/>
          <w:szCs w:val="30"/>
        </w:rPr>
        <w:t>其他资料</w:t>
      </w:r>
      <w:bookmarkEnd w:id="125"/>
    </w:p>
    <w:p w14:paraId="1C70ED76">
      <w:pPr>
        <w:pStyle w:val="8"/>
        <w:spacing w:line="274" w:lineRule="auto"/>
        <w:outlineLvl w:val="9"/>
        <w:rPr>
          <w:rFonts w:hint="eastAsia" w:ascii="宋体" w:hAnsi="宋体" w:eastAsia="宋体" w:cs="宋体"/>
          <w:color w:val="auto"/>
          <w:sz w:val="22"/>
          <w:szCs w:val="22"/>
        </w:rPr>
      </w:pPr>
    </w:p>
    <w:p w14:paraId="3EE81816">
      <w:pPr>
        <w:spacing w:before="117" w:line="209" w:lineRule="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lang w:val="en-US" w:eastAsia="zh-CN"/>
        </w:rPr>
        <w:t>采购文件规定</w:t>
      </w:r>
      <w:r>
        <w:rPr>
          <w:rFonts w:hint="eastAsia" w:ascii="宋体" w:hAnsi="宋体" w:eastAsia="宋体" w:cs="宋体"/>
          <w:color w:val="auto"/>
          <w:spacing w:val="-5"/>
          <w:sz w:val="24"/>
          <w:szCs w:val="24"/>
        </w:rPr>
        <w:t>需提交的其他资料。</w:t>
      </w:r>
    </w:p>
    <w:p w14:paraId="74988FA5">
      <w:pPr>
        <w:spacing w:before="117" w:line="209" w:lineRule="auto"/>
        <w:ind w:left="755"/>
        <w:rPr>
          <w:rFonts w:hint="eastAsia" w:ascii="宋体" w:hAnsi="宋体" w:eastAsia="宋体" w:cs="宋体"/>
          <w:color w:val="auto"/>
          <w:spacing w:val="-5"/>
          <w:sz w:val="22"/>
          <w:szCs w:val="22"/>
        </w:rPr>
      </w:pPr>
    </w:p>
    <w:p w14:paraId="6D5A25E9">
      <w:pPr>
        <w:jc w:val="both"/>
        <w:rPr>
          <w:rFonts w:hint="eastAsia" w:ascii="宋体" w:hAnsi="宋体" w:eastAsia="宋体" w:cs="宋体"/>
          <w:b/>
          <w:bCs/>
          <w:color w:val="auto"/>
          <w:sz w:val="22"/>
          <w:szCs w:val="22"/>
        </w:rPr>
      </w:pPr>
    </w:p>
    <w:p w14:paraId="0D654488">
      <w:pPr>
        <w:numPr>
          <w:ilvl w:val="0"/>
          <w:numId w:val="0"/>
        </w:numPr>
        <w:jc w:val="center"/>
        <w:rPr>
          <w:rFonts w:hint="eastAsia" w:ascii="宋体" w:hAnsi="宋体" w:eastAsia="宋体" w:cs="宋体"/>
          <w:b/>
          <w:bCs/>
          <w:color w:val="auto"/>
          <w:kern w:val="2"/>
          <w:sz w:val="22"/>
          <w:szCs w:val="22"/>
          <w:highlight w:val="none"/>
          <w:lang w:val="en-US" w:eastAsia="zh-CN" w:bidi="ar-SA"/>
        </w:rPr>
      </w:pPr>
    </w:p>
    <w:p w14:paraId="705A48E0">
      <w:pPr>
        <w:numPr>
          <w:ilvl w:val="0"/>
          <w:numId w:val="0"/>
        </w:numPr>
        <w:jc w:val="center"/>
        <w:rPr>
          <w:rFonts w:hint="eastAsia" w:ascii="宋体" w:hAnsi="宋体" w:eastAsia="宋体" w:cs="宋体"/>
          <w:b/>
          <w:bCs/>
          <w:color w:val="auto"/>
          <w:kern w:val="2"/>
          <w:sz w:val="22"/>
          <w:szCs w:val="22"/>
          <w:highlight w:val="none"/>
          <w:lang w:val="en-US" w:eastAsia="zh-CN" w:bidi="ar-SA"/>
        </w:rPr>
      </w:pPr>
    </w:p>
    <w:p w14:paraId="2EE20EC7">
      <w:pPr>
        <w:numPr>
          <w:ilvl w:val="0"/>
          <w:numId w:val="0"/>
        </w:numPr>
        <w:jc w:val="center"/>
        <w:rPr>
          <w:rFonts w:hint="eastAsia" w:ascii="宋体" w:hAnsi="宋体" w:eastAsia="宋体" w:cs="宋体"/>
          <w:b/>
          <w:bCs/>
          <w:color w:val="auto"/>
          <w:kern w:val="2"/>
          <w:sz w:val="22"/>
          <w:szCs w:val="22"/>
          <w:highlight w:val="none"/>
          <w:lang w:val="en-US" w:eastAsia="zh-CN" w:bidi="ar-SA"/>
        </w:rPr>
      </w:pPr>
    </w:p>
    <w:p w14:paraId="415EE546">
      <w:pPr>
        <w:numPr>
          <w:ilvl w:val="0"/>
          <w:numId w:val="0"/>
        </w:numPr>
        <w:jc w:val="center"/>
        <w:rPr>
          <w:rFonts w:hint="eastAsia" w:ascii="宋体" w:hAnsi="宋体" w:eastAsia="宋体" w:cs="宋体"/>
          <w:b/>
          <w:bCs/>
          <w:color w:val="auto"/>
          <w:kern w:val="2"/>
          <w:sz w:val="22"/>
          <w:szCs w:val="22"/>
          <w:highlight w:val="none"/>
          <w:lang w:val="en-US" w:eastAsia="zh-CN" w:bidi="ar-SA"/>
        </w:rPr>
      </w:pPr>
    </w:p>
    <w:p w14:paraId="279F2E36">
      <w:pPr>
        <w:numPr>
          <w:ilvl w:val="0"/>
          <w:numId w:val="0"/>
        </w:numPr>
        <w:jc w:val="center"/>
        <w:rPr>
          <w:rFonts w:hint="eastAsia" w:ascii="宋体" w:hAnsi="宋体" w:eastAsia="宋体" w:cs="宋体"/>
          <w:b/>
          <w:bCs/>
          <w:color w:val="auto"/>
          <w:kern w:val="2"/>
          <w:sz w:val="22"/>
          <w:szCs w:val="22"/>
          <w:highlight w:val="none"/>
          <w:lang w:val="en-US" w:eastAsia="zh-CN" w:bidi="ar-SA"/>
        </w:rPr>
      </w:pPr>
    </w:p>
    <w:p w14:paraId="3A4C1B0D">
      <w:pPr>
        <w:numPr>
          <w:ilvl w:val="0"/>
          <w:numId w:val="0"/>
        </w:numPr>
        <w:jc w:val="center"/>
        <w:rPr>
          <w:rFonts w:hint="eastAsia" w:ascii="宋体" w:hAnsi="宋体" w:eastAsia="宋体" w:cs="宋体"/>
          <w:b/>
          <w:bCs/>
          <w:color w:val="auto"/>
          <w:kern w:val="2"/>
          <w:sz w:val="22"/>
          <w:szCs w:val="22"/>
          <w:highlight w:val="none"/>
          <w:lang w:val="en-US" w:eastAsia="zh-CN" w:bidi="ar-SA"/>
        </w:rPr>
      </w:pPr>
    </w:p>
    <w:p w14:paraId="1C767307">
      <w:pPr>
        <w:numPr>
          <w:ilvl w:val="0"/>
          <w:numId w:val="0"/>
        </w:numPr>
        <w:jc w:val="center"/>
        <w:rPr>
          <w:rFonts w:hint="eastAsia" w:ascii="宋体" w:hAnsi="宋体" w:eastAsia="宋体" w:cs="宋体"/>
          <w:b/>
          <w:bCs/>
          <w:color w:val="auto"/>
          <w:kern w:val="2"/>
          <w:sz w:val="22"/>
          <w:szCs w:val="22"/>
          <w:highlight w:val="none"/>
          <w:lang w:val="en-US" w:eastAsia="zh-CN" w:bidi="ar-SA"/>
        </w:rPr>
      </w:pPr>
    </w:p>
    <w:p w14:paraId="673E0697">
      <w:pPr>
        <w:numPr>
          <w:ilvl w:val="0"/>
          <w:numId w:val="0"/>
        </w:numPr>
        <w:jc w:val="center"/>
        <w:rPr>
          <w:rFonts w:hint="eastAsia" w:ascii="宋体" w:hAnsi="宋体" w:eastAsia="宋体" w:cs="宋体"/>
          <w:b/>
          <w:bCs/>
          <w:color w:val="auto"/>
          <w:kern w:val="2"/>
          <w:sz w:val="22"/>
          <w:szCs w:val="22"/>
          <w:highlight w:val="none"/>
          <w:lang w:val="en-US" w:eastAsia="zh-CN" w:bidi="ar-SA"/>
        </w:rPr>
      </w:pPr>
    </w:p>
    <w:p w14:paraId="23EF9ED4">
      <w:pPr>
        <w:numPr>
          <w:ilvl w:val="0"/>
          <w:numId w:val="0"/>
        </w:numPr>
        <w:jc w:val="center"/>
        <w:rPr>
          <w:rFonts w:hint="eastAsia" w:ascii="宋体" w:hAnsi="宋体" w:eastAsia="宋体" w:cs="宋体"/>
          <w:b/>
          <w:bCs/>
          <w:color w:val="auto"/>
          <w:kern w:val="2"/>
          <w:sz w:val="22"/>
          <w:szCs w:val="22"/>
          <w:highlight w:val="none"/>
          <w:lang w:val="en-US" w:eastAsia="zh-CN" w:bidi="ar-SA"/>
        </w:rPr>
      </w:pPr>
    </w:p>
    <w:p w14:paraId="6ABA8752">
      <w:pPr>
        <w:numPr>
          <w:ilvl w:val="0"/>
          <w:numId w:val="0"/>
        </w:numPr>
        <w:jc w:val="center"/>
        <w:rPr>
          <w:rFonts w:hint="eastAsia" w:ascii="宋体" w:hAnsi="宋体" w:eastAsia="宋体" w:cs="宋体"/>
          <w:b/>
          <w:bCs/>
          <w:color w:val="auto"/>
          <w:kern w:val="2"/>
          <w:sz w:val="22"/>
          <w:szCs w:val="22"/>
          <w:highlight w:val="none"/>
          <w:lang w:val="en-US" w:eastAsia="zh-CN" w:bidi="ar-SA"/>
        </w:rPr>
      </w:pPr>
    </w:p>
    <w:p w14:paraId="08DEB8CA">
      <w:pPr>
        <w:numPr>
          <w:ilvl w:val="0"/>
          <w:numId w:val="0"/>
        </w:numPr>
        <w:jc w:val="center"/>
        <w:rPr>
          <w:rFonts w:hint="eastAsia" w:ascii="宋体" w:hAnsi="宋体" w:eastAsia="宋体" w:cs="宋体"/>
          <w:b/>
          <w:bCs/>
          <w:color w:val="auto"/>
          <w:kern w:val="2"/>
          <w:sz w:val="22"/>
          <w:szCs w:val="22"/>
          <w:highlight w:val="none"/>
          <w:lang w:val="en-US" w:eastAsia="zh-CN" w:bidi="ar-SA"/>
        </w:rPr>
      </w:pPr>
    </w:p>
    <w:p w14:paraId="024A8664">
      <w:pP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br w:type="page"/>
      </w:r>
    </w:p>
    <w:p w14:paraId="2D509704">
      <w:pPr>
        <w:pStyle w:val="4"/>
        <w:keepNext/>
        <w:keepLines/>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1"/>
        <w:rPr>
          <w:rFonts w:hint="default" w:ascii="华文中宋" w:hAnsi="华文中宋" w:eastAsia="华文中宋" w:cs="华文中宋"/>
          <w:b w:val="0"/>
          <w:bCs w:val="0"/>
          <w:sz w:val="36"/>
          <w:szCs w:val="36"/>
          <w:lang w:val="en-US" w:eastAsia="zh-CN"/>
        </w:rPr>
      </w:pPr>
      <w:bookmarkStart w:id="126" w:name="_Toc25605"/>
      <w:r>
        <w:rPr>
          <w:rFonts w:hint="eastAsia" w:ascii="华文中宋" w:hAnsi="华文中宋" w:eastAsia="华文中宋" w:cs="华文中宋"/>
          <w:b w:val="0"/>
          <w:bCs w:val="0"/>
          <w:sz w:val="36"/>
          <w:szCs w:val="36"/>
          <w:lang w:val="en-US" w:eastAsia="zh-CN"/>
        </w:rPr>
        <w:t>十二、中小企业声明函（如有）</w:t>
      </w:r>
      <w:bookmarkEnd w:id="126"/>
    </w:p>
    <w:p w14:paraId="0044574D">
      <w:pPr>
        <w:keepNext/>
        <w:keepLines/>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9"/>
        <w:rPr>
          <w:rFonts w:hint="eastAsia" w:ascii="华文中宋" w:hAnsi="华文中宋" w:eastAsia="华文中宋" w:cs="华文中宋"/>
          <w:b w:val="0"/>
          <w:bCs w:val="0"/>
          <w:sz w:val="48"/>
          <w:szCs w:val="32"/>
        </w:rPr>
      </w:pPr>
      <w:r>
        <w:rPr>
          <w:rFonts w:hint="eastAsia" w:ascii="华文中宋" w:hAnsi="华文中宋" w:eastAsia="华文中宋" w:cs="华文中宋"/>
          <w:b w:val="0"/>
          <w:bCs w:val="0"/>
          <w:sz w:val="36"/>
          <w:szCs w:val="36"/>
        </w:rPr>
        <w:t>中小企业声明函（工程</w:t>
      </w:r>
      <w:r>
        <w:rPr>
          <w:rFonts w:hint="eastAsia" w:ascii="华文中宋" w:hAnsi="华文中宋" w:eastAsia="华文中宋" w:cs="华文中宋"/>
          <w:b w:val="0"/>
          <w:bCs w:val="0"/>
          <w:sz w:val="36"/>
          <w:szCs w:val="36"/>
          <w:lang w:eastAsia="zh-CN"/>
        </w:rPr>
        <w:t>、</w:t>
      </w:r>
      <w:r>
        <w:rPr>
          <w:rFonts w:hint="eastAsia" w:ascii="华文中宋" w:hAnsi="华文中宋" w:eastAsia="华文中宋" w:cs="华文中宋"/>
          <w:b w:val="0"/>
          <w:bCs w:val="0"/>
          <w:sz w:val="36"/>
          <w:szCs w:val="36"/>
          <w:lang w:val="en-US" w:eastAsia="zh-CN"/>
        </w:rPr>
        <w:t>服务</w:t>
      </w:r>
      <w:r>
        <w:rPr>
          <w:rFonts w:hint="eastAsia" w:ascii="华文中宋" w:hAnsi="华文中宋" w:eastAsia="华文中宋" w:cs="华文中宋"/>
          <w:b w:val="0"/>
          <w:bCs w:val="0"/>
          <w:sz w:val="36"/>
          <w:szCs w:val="36"/>
        </w:rPr>
        <w:t>）</w:t>
      </w:r>
    </w:p>
    <w:p w14:paraId="5692C305">
      <w:pPr>
        <w:pStyle w:val="8"/>
        <w:spacing w:line="302" w:lineRule="auto"/>
        <w:ind w:right="-94" w:rightChars="0" w:firstLine="640"/>
        <w:rPr>
          <w:rFonts w:hint="eastAsia" w:ascii="宋体" w:hAnsi="宋体" w:eastAsia="宋体" w:cs="宋体"/>
          <w:sz w:val="32"/>
          <w:szCs w:val="32"/>
        </w:rPr>
      </w:pPr>
      <w:r>
        <w:rPr>
          <w:rFonts w:hint="eastAsia" w:ascii="宋体" w:hAnsi="宋体" w:eastAsia="宋体" w:cs="宋体"/>
          <w:spacing w:val="-2"/>
          <w:sz w:val="32"/>
          <w:szCs w:val="32"/>
        </w:rPr>
        <w:t>本公司</w:t>
      </w:r>
      <w:r>
        <w:rPr>
          <w:rFonts w:hint="eastAsia" w:ascii="宋体" w:hAnsi="宋体" w:eastAsia="宋体" w:cs="宋体"/>
          <w:sz w:val="32"/>
          <w:szCs w:val="32"/>
        </w:rPr>
        <w:t>（联合体</w:t>
      </w:r>
      <w:r>
        <w:rPr>
          <w:rFonts w:hint="eastAsia" w:ascii="宋体" w:hAnsi="宋体" w:eastAsia="宋体" w:cs="宋体"/>
          <w:spacing w:val="-5"/>
          <w:sz w:val="32"/>
          <w:szCs w:val="32"/>
        </w:rPr>
        <w:t>）</w:t>
      </w:r>
      <w:r>
        <w:rPr>
          <w:rFonts w:hint="eastAsia" w:ascii="宋体" w:hAnsi="宋体" w:eastAsia="宋体" w:cs="宋体"/>
          <w:spacing w:val="-2"/>
          <w:sz w:val="32"/>
          <w:szCs w:val="32"/>
        </w:rPr>
        <w:t>郑重声明，根据《政府采购促进中小</w:t>
      </w:r>
      <w:r>
        <w:rPr>
          <w:rFonts w:hint="eastAsia" w:ascii="宋体" w:hAnsi="宋体" w:eastAsia="宋体" w:cs="宋体"/>
          <w:spacing w:val="-18"/>
          <w:sz w:val="32"/>
          <w:szCs w:val="32"/>
        </w:rPr>
        <w:t>企业发展管理办法》</w:t>
      </w:r>
      <w:r>
        <w:rPr>
          <w:rFonts w:hint="eastAsia" w:ascii="宋体" w:hAnsi="宋体" w:eastAsia="宋体" w:cs="宋体"/>
          <w:sz w:val="32"/>
          <w:szCs w:val="32"/>
        </w:rPr>
        <w:t>（</w:t>
      </w:r>
      <w:r>
        <w:rPr>
          <w:rFonts w:hint="eastAsia" w:ascii="宋体" w:hAnsi="宋体" w:eastAsia="宋体" w:cs="宋体"/>
          <w:spacing w:val="5"/>
          <w:sz w:val="32"/>
          <w:szCs w:val="32"/>
        </w:rPr>
        <w:t>财库</w:t>
      </w:r>
      <w:r>
        <w:rPr>
          <w:rFonts w:hint="eastAsia" w:ascii="宋体" w:hAnsi="宋体" w:eastAsia="宋体" w:cs="宋体"/>
          <w:sz w:val="32"/>
          <w:szCs w:val="32"/>
        </w:rPr>
        <w:t>﹝2020﹞46</w:t>
      </w:r>
      <w:r>
        <w:rPr>
          <w:rFonts w:hint="eastAsia" w:ascii="宋体" w:hAnsi="宋体" w:eastAsia="宋体" w:cs="宋体"/>
          <w:spacing w:val="-38"/>
          <w:sz w:val="32"/>
          <w:szCs w:val="32"/>
        </w:rPr>
        <w:t xml:space="preserve"> 号</w:t>
      </w:r>
      <w:r>
        <w:rPr>
          <w:rFonts w:hint="eastAsia" w:ascii="宋体" w:hAnsi="宋体" w:eastAsia="宋体" w:cs="宋体"/>
          <w:spacing w:val="5"/>
          <w:sz w:val="32"/>
          <w:szCs w:val="32"/>
        </w:rPr>
        <w:t>）</w:t>
      </w:r>
      <w:r>
        <w:rPr>
          <w:rFonts w:hint="eastAsia" w:ascii="宋体" w:hAnsi="宋体" w:eastAsia="宋体" w:cs="宋体"/>
          <w:sz w:val="32"/>
          <w:szCs w:val="32"/>
        </w:rPr>
        <w:t>的规定，本公司</w:t>
      </w:r>
    </w:p>
    <w:p w14:paraId="0A8B7BA1">
      <w:pPr>
        <w:pStyle w:val="8"/>
        <w:spacing w:line="304" w:lineRule="auto"/>
        <w:ind w:right="-94" w:rightChars="0"/>
        <w:rPr>
          <w:rFonts w:hint="eastAsia" w:ascii="宋体" w:hAnsi="宋体" w:eastAsia="宋体" w:cs="宋体"/>
          <w:sz w:val="32"/>
          <w:szCs w:val="32"/>
        </w:rPr>
      </w:pPr>
      <w:r>
        <w:rPr>
          <w:rFonts w:hint="eastAsia" w:ascii="宋体" w:hAnsi="宋体" w:eastAsia="宋体" w:cs="宋体"/>
          <w:sz w:val="32"/>
          <w:szCs w:val="32"/>
        </w:rPr>
        <w:t>（联合体）</w:t>
      </w:r>
      <w:r>
        <w:rPr>
          <w:rFonts w:hint="eastAsia" w:ascii="宋体" w:hAnsi="宋体" w:eastAsia="宋体" w:cs="宋体"/>
          <w:spacing w:val="-8"/>
          <w:sz w:val="32"/>
          <w:szCs w:val="32"/>
        </w:rPr>
        <w:t>参加</w:t>
      </w:r>
      <w:r>
        <w:rPr>
          <w:rFonts w:hint="eastAsia" w:ascii="宋体" w:hAnsi="宋体" w:eastAsia="宋体" w:cs="宋体"/>
          <w:sz w:val="32"/>
          <w:szCs w:val="32"/>
          <w:u w:val="single"/>
        </w:rPr>
        <w:t>（单位名称）</w:t>
      </w:r>
      <w:r>
        <w:rPr>
          <w:rFonts w:hint="eastAsia" w:ascii="宋体" w:hAnsi="宋体" w:eastAsia="宋体" w:cs="宋体"/>
          <w:sz w:val="32"/>
          <w:szCs w:val="32"/>
        </w:rPr>
        <w:t>的</w:t>
      </w:r>
      <w:r>
        <w:rPr>
          <w:rFonts w:hint="eastAsia" w:ascii="宋体" w:hAnsi="宋体" w:eastAsia="宋体" w:cs="宋体"/>
          <w:sz w:val="32"/>
          <w:szCs w:val="32"/>
          <w:u w:val="single"/>
        </w:rPr>
        <w:t>（项目名称）</w:t>
      </w:r>
      <w:r>
        <w:rPr>
          <w:rFonts w:hint="eastAsia" w:ascii="宋体" w:hAnsi="宋体" w:eastAsia="宋体" w:cs="宋体"/>
          <w:sz w:val="32"/>
          <w:szCs w:val="32"/>
        </w:rPr>
        <w:t>采</w:t>
      </w:r>
      <w:r>
        <w:rPr>
          <w:rFonts w:hint="eastAsia" w:ascii="宋体" w:hAnsi="宋体" w:eastAsia="宋体" w:cs="宋体"/>
          <w:spacing w:val="-1"/>
          <w:sz w:val="32"/>
          <w:szCs w:val="32"/>
        </w:rPr>
        <w:t>购活动，工</w:t>
      </w:r>
      <w:r>
        <w:rPr>
          <w:rFonts w:hint="eastAsia" w:ascii="宋体" w:hAnsi="宋体" w:eastAsia="宋体" w:cs="宋体"/>
          <w:spacing w:val="-2"/>
          <w:sz w:val="32"/>
          <w:szCs w:val="32"/>
        </w:rPr>
        <w:t>程的施工单位全部为符合政策要求的中小企业</w:t>
      </w:r>
      <w:r>
        <w:rPr>
          <w:rFonts w:hint="eastAsia" w:ascii="宋体" w:hAnsi="宋体" w:eastAsia="宋体" w:cs="宋体"/>
          <w:sz w:val="32"/>
          <w:szCs w:val="32"/>
        </w:rPr>
        <w:t>（</w:t>
      </w:r>
      <w:r>
        <w:rPr>
          <w:rFonts w:hint="eastAsia" w:ascii="宋体" w:hAnsi="宋体" w:eastAsia="宋体" w:cs="宋体"/>
          <w:spacing w:val="-3"/>
          <w:sz w:val="32"/>
          <w:szCs w:val="32"/>
        </w:rPr>
        <w:t>或者：服务</w:t>
      </w:r>
      <w:r>
        <w:rPr>
          <w:rFonts w:hint="eastAsia" w:ascii="宋体" w:hAnsi="宋体" w:eastAsia="宋体" w:cs="宋体"/>
          <w:spacing w:val="5"/>
          <w:w w:val="95"/>
          <w:sz w:val="32"/>
          <w:szCs w:val="32"/>
        </w:rPr>
        <w:t>全部由符合政策要求的中小企业承接</w:t>
      </w:r>
      <w:r>
        <w:rPr>
          <w:rFonts w:hint="eastAsia" w:ascii="宋体" w:hAnsi="宋体" w:eastAsia="宋体" w:cs="宋体"/>
          <w:spacing w:val="-154"/>
          <w:w w:val="95"/>
          <w:sz w:val="32"/>
          <w:szCs w:val="32"/>
        </w:rPr>
        <w:t>）</w:t>
      </w:r>
      <w:r>
        <w:rPr>
          <w:rFonts w:hint="eastAsia" w:ascii="宋体" w:hAnsi="宋体" w:eastAsia="宋体" w:cs="宋体"/>
          <w:spacing w:val="6"/>
          <w:w w:val="95"/>
          <w:sz w:val="32"/>
          <w:szCs w:val="32"/>
        </w:rPr>
        <w:t>。相关企业</w:t>
      </w:r>
      <w:r>
        <w:rPr>
          <w:rFonts w:hint="eastAsia" w:ascii="宋体" w:hAnsi="宋体" w:eastAsia="宋体" w:cs="宋体"/>
          <w:spacing w:val="7"/>
          <w:w w:val="95"/>
          <w:sz w:val="32"/>
          <w:szCs w:val="32"/>
        </w:rPr>
        <w:t>（</w:t>
      </w:r>
      <w:r>
        <w:rPr>
          <w:rFonts w:hint="eastAsia" w:ascii="宋体" w:hAnsi="宋体" w:eastAsia="宋体" w:cs="宋体"/>
          <w:spacing w:val="4"/>
          <w:w w:val="95"/>
          <w:sz w:val="32"/>
          <w:szCs w:val="32"/>
        </w:rPr>
        <w:t xml:space="preserve">含联合 </w:t>
      </w:r>
      <w:r>
        <w:rPr>
          <w:rFonts w:hint="eastAsia" w:ascii="宋体" w:hAnsi="宋体" w:eastAsia="宋体" w:cs="宋体"/>
          <w:sz w:val="32"/>
          <w:szCs w:val="32"/>
        </w:rPr>
        <w:t>体中的中小企业、签订分包意向协议的中小企业</w:t>
      </w:r>
      <w:r>
        <w:rPr>
          <w:rFonts w:hint="eastAsia" w:ascii="宋体" w:hAnsi="宋体" w:eastAsia="宋体" w:cs="宋体"/>
          <w:spacing w:val="-7"/>
          <w:sz w:val="32"/>
          <w:szCs w:val="32"/>
        </w:rPr>
        <w:t>）</w:t>
      </w:r>
      <w:r>
        <w:rPr>
          <w:rFonts w:hint="eastAsia" w:ascii="宋体" w:hAnsi="宋体" w:eastAsia="宋体" w:cs="宋体"/>
          <w:sz w:val="32"/>
          <w:szCs w:val="32"/>
        </w:rPr>
        <w:t>的具体情况如下：</w:t>
      </w:r>
    </w:p>
    <w:p w14:paraId="47451843">
      <w:pPr>
        <w:pStyle w:val="42"/>
        <w:tabs>
          <w:tab w:val="left" w:pos="1243"/>
        </w:tabs>
        <w:spacing w:line="402" w:lineRule="exact"/>
        <w:ind w:firstLine="0" w:firstLineChars="0"/>
        <w:rPr>
          <w:rFonts w:hint="eastAsia" w:ascii="宋体" w:hAnsi="宋体" w:eastAsia="宋体" w:cs="宋体"/>
          <w:sz w:val="32"/>
          <w:szCs w:val="22"/>
        </w:rPr>
      </w:pPr>
      <w:r>
        <w:rPr>
          <w:rFonts w:hint="eastAsia" w:ascii="宋体" w:hAnsi="宋体" w:eastAsia="宋体" w:cs="宋体"/>
          <w:spacing w:val="-46"/>
          <w:w w:val="96"/>
          <w:sz w:val="32"/>
          <w:szCs w:val="22"/>
          <w:u w:val="single"/>
        </w:rPr>
        <w:t xml:space="preserve">1. </w:t>
      </w:r>
      <w:r>
        <w:rPr>
          <w:rFonts w:hint="eastAsia" w:ascii="宋体" w:hAnsi="宋体" w:eastAsia="宋体" w:cs="宋体"/>
          <w:sz w:val="32"/>
          <w:szCs w:val="32"/>
          <w:u w:val="single" w:color="000000"/>
          <w:lang w:val="zh-CN" w:bidi="zh-CN"/>
        </w:rPr>
        <w:t>（标的名称 ）</w:t>
      </w:r>
      <w:r>
        <w:rPr>
          <w:rFonts w:hint="eastAsia" w:ascii="宋体" w:hAnsi="宋体" w:eastAsia="宋体" w:cs="宋体"/>
          <w:sz w:val="32"/>
          <w:szCs w:val="22"/>
        </w:rPr>
        <w:t xml:space="preserve"> </w:t>
      </w:r>
      <w:r>
        <w:rPr>
          <w:rFonts w:hint="eastAsia" w:ascii="宋体" w:hAnsi="宋体" w:eastAsia="宋体" w:cs="宋体"/>
          <w:spacing w:val="-60"/>
          <w:w w:val="99"/>
          <w:sz w:val="32"/>
          <w:szCs w:val="22"/>
        </w:rPr>
        <w:t>，属于</w:t>
      </w:r>
      <w:r>
        <w:rPr>
          <w:rFonts w:hint="eastAsia" w:ascii="宋体" w:hAnsi="宋体" w:eastAsia="宋体" w:cs="宋体"/>
          <w:sz w:val="32"/>
          <w:szCs w:val="32"/>
          <w:u w:val="single"/>
          <w:lang w:val="zh-CN" w:bidi="zh-CN"/>
        </w:rPr>
        <w:t>（采购文件中明确的所属行业）；</w:t>
      </w:r>
    </w:p>
    <w:p w14:paraId="51895982">
      <w:pPr>
        <w:tabs>
          <w:tab w:val="left" w:pos="1806"/>
          <w:tab w:val="left" w:pos="5005"/>
          <w:tab w:val="left" w:pos="7227"/>
          <w:tab w:val="left" w:pos="8200"/>
        </w:tabs>
        <w:spacing w:before="94" w:line="295" w:lineRule="auto"/>
        <w:ind w:left="205" w:right="326" w:rightChars="0" w:firstLine="14"/>
        <w:jc w:val="left"/>
        <w:rPr>
          <w:rFonts w:hint="eastAsia" w:ascii="宋体" w:hAnsi="宋体" w:eastAsia="宋体" w:cs="宋体"/>
          <w:sz w:val="32"/>
          <w:szCs w:val="22"/>
          <w:u w:val="single"/>
        </w:rPr>
      </w:pPr>
      <w:r>
        <w:rPr>
          <w:rFonts w:hint="eastAsia" w:ascii="宋体" w:hAnsi="宋体" w:eastAsia="宋体" w:cs="宋体"/>
          <w:spacing w:val="7"/>
          <w:w w:val="99"/>
          <w:sz w:val="32"/>
          <w:szCs w:val="22"/>
        </w:rPr>
        <w:t>承</w:t>
      </w:r>
      <w:r>
        <w:rPr>
          <w:rFonts w:hint="eastAsia" w:ascii="宋体" w:hAnsi="宋体" w:eastAsia="宋体" w:cs="宋体"/>
          <w:spacing w:val="5"/>
          <w:w w:val="99"/>
          <w:sz w:val="32"/>
          <w:szCs w:val="22"/>
        </w:rPr>
        <w:t>建</w:t>
      </w:r>
      <w:r>
        <w:rPr>
          <w:rFonts w:hint="eastAsia" w:ascii="宋体" w:hAnsi="宋体" w:eastAsia="宋体" w:cs="宋体"/>
          <w:spacing w:val="7"/>
          <w:w w:val="99"/>
          <w:sz w:val="32"/>
          <w:szCs w:val="22"/>
        </w:rPr>
        <w:t>（</w:t>
      </w:r>
      <w:r>
        <w:rPr>
          <w:rFonts w:hint="eastAsia" w:ascii="宋体" w:hAnsi="宋体" w:eastAsia="宋体" w:cs="宋体"/>
          <w:spacing w:val="5"/>
          <w:w w:val="99"/>
          <w:sz w:val="32"/>
          <w:szCs w:val="22"/>
        </w:rPr>
        <w:t>承</w:t>
      </w:r>
      <w:r>
        <w:rPr>
          <w:rFonts w:hint="eastAsia" w:ascii="宋体" w:hAnsi="宋体" w:eastAsia="宋体" w:cs="宋体"/>
          <w:spacing w:val="7"/>
          <w:w w:val="99"/>
          <w:sz w:val="32"/>
          <w:szCs w:val="22"/>
        </w:rPr>
        <w:t>接）</w:t>
      </w:r>
      <w:r>
        <w:rPr>
          <w:rFonts w:hint="eastAsia" w:ascii="宋体" w:hAnsi="宋体" w:eastAsia="宋体" w:cs="宋体"/>
          <w:spacing w:val="5"/>
          <w:w w:val="99"/>
          <w:sz w:val="32"/>
          <w:szCs w:val="22"/>
        </w:rPr>
        <w:t>企</w:t>
      </w:r>
      <w:r>
        <w:rPr>
          <w:rFonts w:hint="eastAsia" w:ascii="宋体" w:hAnsi="宋体" w:eastAsia="宋体" w:cs="宋体"/>
          <w:spacing w:val="7"/>
          <w:w w:val="99"/>
          <w:sz w:val="32"/>
          <w:szCs w:val="22"/>
        </w:rPr>
        <w:t>业</w:t>
      </w:r>
      <w:r>
        <w:rPr>
          <w:rFonts w:hint="eastAsia" w:ascii="宋体" w:hAnsi="宋体" w:eastAsia="宋体" w:cs="宋体"/>
          <w:spacing w:val="-10"/>
          <w:w w:val="99"/>
          <w:sz w:val="32"/>
          <w:szCs w:val="22"/>
        </w:rPr>
        <w:t>为</w:t>
      </w:r>
      <w:r>
        <w:rPr>
          <w:rFonts w:hint="eastAsia" w:ascii="宋体" w:hAnsi="宋体" w:eastAsia="宋体" w:cs="宋体"/>
          <w:spacing w:val="-95"/>
          <w:w w:val="96"/>
          <w:sz w:val="32"/>
          <w:szCs w:val="22"/>
          <w:u w:val="single"/>
        </w:rPr>
        <w:t>（</w:t>
      </w:r>
      <w:r>
        <w:rPr>
          <w:rFonts w:hint="eastAsia" w:ascii="宋体" w:hAnsi="宋体" w:eastAsia="宋体" w:cs="宋体"/>
          <w:sz w:val="32"/>
          <w:szCs w:val="32"/>
          <w:u w:val="single"/>
          <w:lang w:val="zh-CN" w:bidi="zh-CN"/>
        </w:rPr>
        <w:t>企业名称）</w:t>
      </w:r>
      <w:r>
        <w:rPr>
          <w:rFonts w:hint="eastAsia" w:ascii="宋体" w:hAnsi="宋体" w:eastAsia="宋体" w:cs="宋体"/>
          <w:sz w:val="32"/>
          <w:szCs w:val="32"/>
          <w:lang w:val="zh-CN" w:bidi="zh-CN"/>
        </w:rPr>
        <w:t>，</w:t>
      </w:r>
      <w:r>
        <w:rPr>
          <w:rFonts w:hint="eastAsia" w:ascii="宋体" w:hAnsi="宋体" w:eastAsia="宋体" w:cs="宋体"/>
          <w:spacing w:val="5"/>
          <w:w w:val="99"/>
          <w:sz w:val="32"/>
          <w:szCs w:val="22"/>
        </w:rPr>
        <w:t>从</w:t>
      </w:r>
      <w:r>
        <w:rPr>
          <w:rFonts w:hint="eastAsia" w:ascii="宋体" w:hAnsi="宋体" w:eastAsia="宋体" w:cs="宋体"/>
          <w:spacing w:val="7"/>
          <w:w w:val="99"/>
          <w:sz w:val="32"/>
          <w:szCs w:val="22"/>
        </w:rPr>
        <w:t>业</w:t>
      </w:r>
      <w:r>
        <w:rPr>
          <w:rFonts w:hint="eastAsia" w:ascii="宋体" w:hAnsi="宋体" w:eastAsia="宋体" w:cs="宋体"/>
          <w:spacing w:val="5"/>
          <w:w w:val="99"/>
          <w:sz w:val="32"/>
          <w:szCs w:val="22"/>
        </w:rPr>
        <w:t>人</w:t>
      </w:r>
      <w:r>
        <w:rPr>
          <w:rFonts w:hint="eastAsia" w:ascii="宋体" w:hAnsi="宋体" w:eastAsia="宋体" w:cs="宋体"/>
          <w:spacing w:val="7"/>
          <w:w w:val="99"/>
          <w:sz w:val="32"/>
          <w:szCs w:val="22"/>
        </w:rPr>
        <w:t>员</w:t>
      </w:r>
      <w:r>
        <w:rPr>
          <w:rFonts w:hint="eastAsia" w:ascii="宋体" w:hAnsi="宋体" w:eastAsia="宋体" w:cs="宋体"/>
          <w:w w:val="99"/>
          <w:sz w:val="32"/>
          <w:szCs w:val="22"/>
          <w:u w:val="single"/>
        </w:rPr>
        <w:t xml:space="preserve"> </w:t>
      </w:r>
      <w:r>
        <w:rPr>
          <w:rFonts w:hint="eastAsia" w:ascii="宋体" w:hAnsi="宋体" w:eastAsia="宋体" w:cs="宋体"/>
          <w:sz w:val="32"/>
          <w:szCs w:val="22"/>
          <w:u w:val="single"/>
        </w:rPr>
        <w:tab/>
      </w:r>
      <w:r>
        <w:rPr>
          <w:rFonts w:hint="eastAsia" w:ascii="宋体" w:hAnsi="宋体" w:eastAsia="宋体" w:cs="宋体"/>
          <w:spacing w:val="7"/>
          <w:w w:val="99"/>
          <w:sz w:val="32"/>
          <w:szCs w:val="22"/>
        </w:rPr>
        <w:t>人</w:t>
      </w:r>
      <w:r>
        <w:rPr>
          <w:rFonts w:hint="eastAsia" w:ascii="宋体" w:hAnsi="宋体" w:eastAsia="宋体" w:cs="宋体"/>
          <w:spacing w:val="5"/>
          <w:w w:val="99"/>
          <w:sz w:val="32"/>
          <w:szCs w:val="22"/>
        </w:rPr>
        <w:t>，</w:t>
      </w:r>
      <w:r>
        <w:rPr>
          <w:rFonts w:hint="eastAsia" w:ascii="宋体" w:hAnsi="宋体" w:eastAsia="宋体" w:cs="宋体"/>
          <w:spacing w:val="7"/>
          <w:w w:val="99"/>
          <w:sz w:val="32"/>
          <w:szCs w:val="22"/>
        </w:rPr>
        <w:t>营</w:t>
      </w:r>
      <w:r>
        <w:rPr>
          <w:rFonts w:hint="eastAsia" w:ascii="宋体" w:hAnsi="宋体" w:eastAsia="宋体" w:cs="宋体"/>
          <w:w w:val="99"/>
          <w:sz w:val="32"/>
          <w:szCs w:val="22"/>
        </w:rPr>
        <w:t>业</w:t>
      </w:r>
      <w:r>
        <w:rPr>
          <w:rFonts w:hint="eastAsia" w:ascii="宋体" w:hAnsi="宋体" w:eastAsia="宋体" w:cs="宋体"/>
          <w:sz w:val="32"/>
          <w:szCs w:val="22"/>
        </w:rPr>
        <w:t>收入为</w:t>
      </w:r>
      <w:r>
        <w:rPr>
          <w:rFonts w:hint="eastAsia" w:ascii="宋体" w:hAnsi="宋体" w:eastAsia="宋体" w:cs="宋体"/>
          <w:sz w:val="32"/>
          <w:szCs w:val="22"/>
          <w:u w:val="single"/>
        </w:rPr>
        <w:t xml:space="preserve"> </w:t>
      </w:r>
      <w:r>
        <w:rPr>
          <w:rFonts w:hint="eastAsia" w:ascii="宋体" w:hAnsi="宋体" w:eastAsia="宋体" w:cs="宋体"/>
          <w:sz w:val="32"/>
          <w:szCs w:val="22"/>
          <w:u w:val="single"/>
        </w:rPr>
        <w:tab/>
      </w:r>
      <w:r>
        <w:rPr>
          <w:rFonts w:hint="eastAsia" w:ascii="宋体" w:hAnsi="宋体" w:eastAsia="宋体" w:cs="宋体"/>
          <w:sz w:val="32"/>
          <w:szCs w:val="22"/>
        </w:rPr>
        <w:t>万元，资产总额为</w:t>
      </w:r>
      <w:r>
        <w:rPr>
          <w:rFonts w:hint="eastAsia" w:ascii="宋体" w:hAnsi="宋体" w:eastAsia="宋体" w:cs="宋体"/>
          <w:sz w:val="32"/>
          <w:szCs w:val="22"/>
          <w:u w:val="single"/>
        </w:rPr>
        <w:t xml:space="preserve"> </w:t>
      </w:r>
      <w:r>
        <w:rPr>
          <w:rFonts w:hint="eastAsia" w:ascii="宋体" w:hAnsi="宋体" w:eastAsia="宋体" w:cs="宋体"/>
          <w:sz w:val="32"/>
          <w:szCs w:val="22"/>
          <w:u w:val="single"/>
        </w:rPr>
        <w:tab/>
      </w:r>
    </w:p>
    <w:p w14:paraId="4ACA0A2A">
      <w:pPr>
        <w:tabs>
          <w:tab w:val="left" w:pos="1806"/>
          <w:tab w:val="left" w:pos="5005"/>
          <w:tab w:val="left" w:pos="7227"/>
          <w:tab w:val="left" w:pos="8200"/>
        </w:tabs>
        <w:spacing w:before="94" w:line="295" w:lineRule="auto"/>
        <w:ind w:left="205" w:right="326" w:rightChars="0" w:firstLine="14"/>
        <w:jc w:val="left"/>
        <w:rPr>
          <w:rFonts w:hint="eastAsia" w:ascii="宋体" w:hAnsi="宋体" w:eastAsia="宋体" w:cs="宋体"/>
          <w:sz w:val="32"/>
          <w:szCs w:val="32"/>
          <w:u w:val="single"/>
          <w:lang w:val="zh-CN" w:bidi="zh-CN"/>
        </w:rPr>
      </w:pPr>
      <w:r>
        <w:rPr>
          <w:rFonts w:hint="eastAsia" w:ascii="宋体" w:hAnsi="宋体" w:eastAsia="宋体" w:cs="宋体"/>
          <w:sz w:val="32"/>
          <w:szCs w:val="22"/>
        </w:rPr>
        <w:t>万元</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"_bookmark1" </w:instrText>
      </w:r>
      <w:r>
        <w:rPr>
          <w:rFonts w:hint="eastAsia" w:ascii="宋体" w:hAnsi="宋体" w:eastAsia="宋体" w:cs="宋体"/>
          <w:sz w:val="22"/>
          <w:szCs w:val="22"/>
        </w:rPr>
        <w:fldChar w:fldCharType="separate"/>
      </w:r>
      <w:r>
        <w:rPr>
          <w:rFonts w:hint="eastAsia" w:ascii="宋体" w:hAnsi="宋体" w:eastAsia="宋体" w:cs="宋体"/>
          <w:position w:val="16"/>
          <w:sz w:val="16"/>
          <w:szCs w:val="22"/>
        </w:rPr>
        <w:t>1</w:t>
      </w:r>
      <w:r>
        <w:rPr>
          <w:rFonts w:hint="eastAsia" w:ascii="宋体" w:hAnsi="宋体" w:eastAsia="宋体" w:cs="宋体"/>
          <w:position w:val="16"/>
          <w:sz w:val="16"/>
          <w:szCs w:val="22"/>
        </w:rPr>
        <w:fldChar w:fldCharType="end"/>
      </w:r>
      <w:r>
        <w:rPr>
          <w:rFonts w:hint="eastAsia" w:ascii="宋体" w:hAnsi="宋体" w:eastAsia="宋体" w:cs="宋体"/>
          <w:sz w:val="32"/>
          <w:szCs w:val="22"/>
        </w:rPr>
        <w:t>，属</w:t>
      </w:r>
      <w:r>
        <w:rPr>
          <w:rFonts w:hint="eastAsia" w:ascii="宋体" w:hAnsi="宋体" w:eastAsia="宋体" w:cs="宋体"/>
          <w:spacing w:val="-15"/>
          <w:sz w:val="32"/>
          <w:szCs w:val="22"/>
        </w:rPr>
        <w:t>于</w:t>
      </w:r>
      <w:r>
        <w:rPr>
          <w:rFonts w:hint="eastAsia" w:ascii="宋体" w:hAnsi="宋体" w:eastAsia="宋体" w:cs="宋体"/>
          <w:spacing w:val="-102"/>
          <w:sz w:val="32"/>
          <w:szCs w:val="22"/>
          <w:u w:val="single"/>
        </w:rPr>
        <w:t>（</w:t>
      </w:r>
      <w:r>
        <w:rPr>
          <w:rFonts w:hint="eastAsia" w:ascii="宋体" w:hAnsi="宋体" w:eastAsia="宋体" w:cs="宋体"/>
          <w:sz w:val="32"/>
          <w:szCs w:val="32"/>
          <w:u w:val="single"/>
          <w:lang w:val="zh-CN" w:bidi="zh-CN"/>
        </w:rPr>
        <w:t>中型企业、小型企业、微型企业）；</w:t>
      </w:r>
    </w:p>
    <w:p w14:paraId="2F421D83">
      <w:pPr>
        <w:pStyle w:val="42"/>
        <w:tabs>
          <w:tab w:val="left" w:pos="1243"/>
          <w:tab w:val="left" w:pos="1806"/>
          <w:tab w:val="left" w:pos="5005"/>
          <w:tab w:val="left" w:pos="7213"/>
        </w:tabs>
        <w:spacing w:line="295" w:lineRule="auto"/>
        <w:ind w:right="326" w:rightChars="0" w:firstLine="0" w:firstLineChars="0"/>
        <w:jc w:val="left"/>
        <w:rPr>
          <w:rFonts w:hint="eastAsia" w:ascii="宋体" w:hAnsi="宋体" w:eastAsia="宋体" w:cs="宋体"/>
          <w:sz w:val="32"/>
          <w:szCs w:val="22"/>
        </w:rPr>
      </w:pPr>
      <w:r>
        <w:rPr>
          <w:rFonts w:hint="eastAsia" w:ascii="宋体" w:hAnsi="宋体" w:eastAsia="宋体" w:cs="宋体"/>
          <w:sz w:val="32"/>
          <w:szCs w:val="32"/>
          <w:u w:val="single"/>
          <w:lang w:bidi="zh-CN"/>
        </w:rPr>
        <w:t>2.</w:t>
      </w:r>
      <w:r>
        <w:rPr>
          <w:rFonts w:hint="eastAsia" w:ascii="宋体" w:hAnsi="宋体" w:eastAsia="宋体" w:cs="宋体"/>
          <w:sz w:val="32"/>
          <w:szCs w:val="32"/>
          <w:u w:val="single"/>
          <w:lang w:val="zh-CN" w:bidi="zh-CN"/>
        </w:rPr>
        <w:t>（标的名称）</w:t>
      </w:r>
      <w:r>
        <w:rPr>
          <w:rFonts w:hint="eastAsia" w:ascii="宋体" w:hAnsi="宋体" w:eastAsia="宋体" w:cs="宋体"/>
          <w:spacing w:val="-84"/>
          <w:w w:val="99"/>
          <w:sz w:val="32"/>
          <w:szCs w:val="22"/>
        </w:rPr>
        <w:t>，</w:t>
      </w:r>
      <w:r>
        <w:rPr>
          <w:rFonts w:hint="eastAsia" w:ascii="宋体" w:hAnsi="宋体" w:eastAsia="宋体" w:cs="宋体"/>
          <w:w w:val="99"/>
          <w:sz w:val="32"/>
          <w:szCs w:val="22"/>
        </w:rPr>
        <w:t>属</w:t>
      </w:r>
      <w:r>
        <w:rPr>
          <w:rFonts w:hint="eastAsia" w:ascii="宋体" w:hAnsi="宋体" w:eastAsia="宋体" w:cs="宋体"/>
          <w:spacing w:val="-94"/>
          <w:w w:val="99"/>
          <w:sz w:val="32"/>
          <w:szCs w:val="22"/>
        </w:rPr>
        <w:t>于</w:t>
      </w:r>
      <w:r>
        <w:rPr>
          <w:rFonts w:hint="eastAsia" w:ascii="宋体" w:hAnsi="宋体" w:eastAsia="宋体" w:cs="宋体"/>
          <w:sz w:val="32"/>
          <w:szCs w:val="32"/>
          <w:u w:val="single"/>
          <w:lang w:val="zh-CN" w:bidi="zh-CN"/>
        </w:rPr>
        <w:t>（采购文件中明确的所属行业）；</w:t>
      </w:r>
      <w:r>
        <w:rPr>
          <w:rFonts w:hint="eastAsia" w:ascii="宋体" w:hAnsi="宋体" w:eastAsia="宋体" w:cs="宋体"/>
          <w:spacing w:val="7"/>
          <w:w w:val="99"/>
          <w:sz w:val="32"/>
          <w:szCs w:val="22"/>
        </w:rPr>
        <w:t xml:space="preserve">           承</w:t>
      </w:r>
      <w:r>
        <w:rPr>
          <w:rFonts w:hint="eastAsia" w:ascii="宋体" w:hAnsi="宋体" w:eastAsia="宋体" w:cs="宋体"/>
          <w:spacing w:val="5"/>
          <w:w w:val="99"/>
          <w:sz w:val="32"/>
          <w:szCs w:val="22"/>
        </w:rPr>
        <w:t>建</w:t>
      </w:r>
      <w:r>
        <w:rPr>
          <w:rFonts w:hint="eastAsia" w:ascii="宋体" w:hAnsi="宋体" w:eastAsia="宋体" w:cs="宋体"/>
          <w:spacing w:val="7"/>
          <w:w w:val="99"/>
          <w:sz w:val="32"/>
          <w:szCs w:val="22"/>
        </w:rPr>
        <w:t>（</w:t>
      </w:r>
      <w:r>
        <w:rPr>
          <w:rFonts w:hint="eastAsia" w:ascii="宋体" w:hAnsi="宋体" w:eastAsia="宋体" w:cs="宋体"/>
          <w:spacing w:val="5"/>
          <w:w w:val="99"/>
          <w:sz w:val="32"/>
          <w:szCs w:val="22"/>
        </w:rPr>
        <w:t>承</w:t>
      </w:r>
      <w:r>
        <w:rPr>
          <w:rFonts w:hint="eastAsia" w:ascii="宋体" w:hAnsi="宋体" w:eastAsia="宋体" w:cs="宋体"/>
          <w:spacing w:val="7"/>
          <w:w w:val="99"/>
          <w:sz w:val="32"/>
          <w:szCs w:val="22"/>
        </w:rPr>
        <w:t>接）</w:t>
      </w:r>
      <w:r>
        <w:rPr>
          <w:rFonts w:hint="eastAsia" w:ascii="宋体" w:hAnsi="宋体" w:eastAsia="宋体" w:cs="宋体"/>
          <w:spacing w:val="5"/>
          <w:w w:val="99"/>
          <w:sz w:val="32"/>
          <w:szCs w:val="22"/>
        </w:rPr>
        <w:t>企</w:t>
      </w:r>
      <w:r>
        <w:rPr>
          <w:rFonts w:hint="eastAsia" w:ascii="宋体" w:hAnsi="宋体" w:eastAsia="宋体" w:cs="宋体"/>
          <w:spacing w:val="7"/>
          <w:w w:val="99"/>
          <w:sz w:val="32"/>
          <w:szCs w:val="22"/>
        </w:rPr>
        <w:t>业</w:t>
      </w:r>
      <w:r>
        <w:rPr>
          <w:rFonts w:hint="eastAsia" w:ascii="宋体" w:hAnsi="宋体" w:eastAsia="宋体" w:cs="宋体"/>
          <w:spacing w:val="-10"/>
          <w:w w:val="99"/>
          <w:sz w:val="32"/>
          <w:szCs w:val="22"/>
        </w:rPr>
        <w:t>为</w:t>
      </w:r>
      <w:r>
        <w:rPr>
          <w:rFonts w:hint="eastAsia" w:ascii="宋体" w:hAnsi="宋体" w:eastAsia="宋体" w:cs="宋体"/>
          <w:sz w:val="32"/>
          <w:szCs w:val="32"/>
          <w:u w:val="single"/>
          <w:lang w:val="zh-CN" w:bidi="zh-CN"/>
        </w:rPr>
        <w:t>（企业名称）</w:t>
      </w:r>
      <w:r>
        <w:rPr>
          <w:rFonts w:hint="eastAsia" w:ascii="宋体" w:hAnsi="宋体" w:eastAsia="宋体" w:cs="宋体"/>
          <w:spacing w:val="7"/>
          <w:w w:val="99"/>
          <w:sz w:val="32"/>
          <w:szCs w:val="22"/>
        </w:rPr>
        <w:t>，</w:t>
      </w:r>
      <w:r>
        <w:rPr>
          <w:rFonts w:hint="eastAsia" w:ascii="宋体" w:hAnsi="宋体" w:eastAsia="宋体" w:cs="宋体"/>
          <w:spacing w:val="5"/>
          <w:w w:val="99"/>
          <w:sz w:val="32"/>
          <w:szCs w:val="22"/>
        </w:rPr>
        <w:t>从</w:t>
      </w:r>
      <w:r>
        <w:rPr>
          <w:rFonts w:hint="eastAsia" w:ascii="宋体" w:hAnsi="宋体" w:eastAsia="宋体" w:cs="宋体"/>
          <w:spacing w:val="7"/>
          <w:w w:val="99"/>
          <w:sz w:val="32"/>
          <w:szCs w:val="22"/>
        </w:rPr>
        <w:t>业</w:t>
      </w:r>
      <w:r>
        <w:rPr>
          <w:rFonts w:hint="eastAsia" w:ascii="宋体" w:hAnsi="宋体" w:eastAsia="宋体" w:cs="宋体"/>
          <w:spacing w:val="5"/>
          <w:w w:val="99"/>
          <w:sz w:val="32"/>
          <w:szCs w:val="22"/>
        </w:rPr>
        <w:t>人</w:t>
      </w:r>
      <w:r>
        <w:rPr>
          <w:rFonts w:hint="eastAsia" w:ascii="宋体" w:hAnsi="宋体" w:eastAsia="宋体" w:cs="宋体"/>
          <w:spacing w:val="7"/>
          <w:w w:val="99"/>
          <w:sz w:val="32"/>
          <w:szCs w:val="22"/>
        </w:rPr>
        <w:t>员</w:t>
      </w:r>
      <w:r>
        <w:rPr>
          <w:rFonts w:hint="eastAsia" w:ascii="宋体" w:hAnsi="宋体" w:eastAsia="宋体" w:cs="宋体"/>
          <w:w w:val="99"/>
          <w:sz w:val="32"/>
          <w:szCs w:val="22"/>
          <w:u w:val="single"/>
        </w:rPr>
        <w:t xml:space="preserve"> </w:t>
      </w:r>
      <w:r>
        <w:rPr>
          <w:rFonts w:hint="eastAsia" w:ascii="宋体" w:hAnsi="宋体" w:eastAsia="宋体" w:cs="宋体"/>
          <w:sz w:val="32"/>
          <w:szCs w:val="22"/>
          <w:u w:val="single"/>
        </w:rPr>
        <w:tab/>
      </w:r>
      <w:r>
        <w:rPr>
          <w:rFonts w:hint="eastAsia" w:ascii="宋体" w:hAnsi="宋体" w:eastAsia="宋体" w:cs="宋体"/>
          <w:spacing w:val="7"/>
          <w:w w:val="99"/>
          <w:sz w:val="32"/>
          <w:szCs w:val="22"/>
        </w:rPr>
        <w:t>人</w:t>
      </w:r>
      <w:r>
        <w:rPr>
          <w:rFonts w:hint="eastAsia" w:ascii="宋体" w:hAnsi="宋体" w:eastAsia="宋体" w:cs="宋体"/>
          <w:spacing w:val="5"/>
          <w:w w:val="99"/>
          <w:sz w:val="32"/>
          <w:szCs w:val="22"/>
        </w:rPr>
        <w:t>，</w:t>
      </w:r>
      <w:r>
        <w:rPr>
          <w:rFonts w:hint="eastAsia" w:ascii="宋体" w:hAnsi="宋体" w:eastAsia="宋体" w:cs="宋体"/>
          <w:spacing w:val="7"/>
          <w:w w:val="99"/>
          <w:sz w:val="32"/>
          <w:szCs w:val="22"/>
        </w:rPr>
        <w:t>营</w:t>
      </w:r>
      <w:r>
        <w:rPr>
          <w:rFonts w:hint="eastAsia" w:ascii="宋体" w:hAnsi="宋体" w:eastAsia="宋体" w:cs="宋体"/>
          <w:w w:val="99"/>
          <w:sz w:val="32"/>
          <w:szCs w:val="22"/>
        </w:rPr>
        <w:t>业</w:t>
      </w:r>
      <w:r>
        <w:rPr>
          <w:rFonts w:hint="eastAsia" w:ascii="宋体" w:hAnsi="宋体" w:eastAsia="宋体" w:cs="宋体"/>
          <w:sz w:val="32"/>
          <w:szCs w:val="22"/>
        </w:rPr>
        <w:t>收入为</w:t>
      </w:r>
      <w:r>
        <w:rPr>
          <w:rFonts w:hint="eastAsia" w:ascii="宋体" w:hAnsi="宋体" w:eastAsia="宋体" w:cs="宋体"/>
          <w:sz w:val="32"/>
          <w:szCs w:val="22"/>
          <w:u w:val="single"/>
        </w:rPr>
        <w:t xml:space="preserve"> </w:t>
      </w:r>
      <w:r>
        <w:rPr>
          <w:rFonts w:hint="eastAsia" w:ascii="宋体" w:hAnsi="宋体" w:eastAsia="宋体" w:cs="宋体"/>
          <w:sz w:val="32"/>
          <w:szCs w:val="22"/>
          <w:u w:val="single"/>
        </w:rPr>
        <w:tab/>
      </w:r>
      <w:r>
        <w:rPr>
          <w:rFonts w:hint="eastAsia" w:ascii="宋体" w:hAnsi="宋体" w:eastAsia="宋体" w:cs="宋体"/>
          <w:sz w:val="32"/>
          <w:szCs w:val="22"/>
        </w:rPr>
        <w:t>万元，资产总额为</w:t>
      </w:r>
      <w:r>
        <w:rPr>
          <w:rFonts w:hint="eastAsia" w:ascii="宋体" w:hAnsi="宋体" w:eastAsia="宋体" w:cs="宋体"/>
          <w:sz w:val="32"/>
          <w:szCs w:val="22"/>
          <w:u w:val="single"/>
        </w:rPr>
        <w:t xml:space="preserve"> </w:t>
      </w:r>
      <w:r>
        <w:rPr>
          <w:rFonts w:hint="eastAsia" w:ascii="宋体" w:hAnsi="宋体" w:eastAsia="宋体" w:cs="宋体"/>
          <w:sz w:val="32"/>
          <w:szCs w:val="22"/>
          <w:u w:val="single"/>
        </w:rPr>
        <w:tab/>
      </w:r>
      <w:r>
        <w:rPr>
          <w:rFonts w:hint="eastAsia" w:ascii="宋体" w:hAnsi="宋体" w:eastAsia="宋体" w:cs="宋体"/>
          <w:sz w:val="32"/>
          <w:szCs w:val="22"/>
        </w:rPr>
        <w:t>万元，属</w:t>
      </w:r>
      <w:r>
        <w:rPr>
          <w:rFonts w:hint="eastAsia" w:ascii="宋体" w:hAnsi="宋体" w:eastAsia="宋体" w:cs="宋体"/>
          <w:spacing w:val="-12"/>
          <w:sz w:val="32"/>
          <w:szCs w:val="22"/>
        </w:rPr>
        <w:t>于</w:t>
      </w:r>
      <w:r>
        <w:rPr>
          <w:rFonts w:hint="eastAsia" w:ascii="宋体" w:hAnsi="宋体" w:eastAsia="宋体" w:cs="宋体"/>
          <w:sz w:val="32"/>
          <w:szCs w:val="32"/>
          <w:u w:val="single"/>
          <w:lang w:val="zh-CN" w:bidi="zh-CN"/>
        </w:rPr>
        <w:t>（中型企业、小型企业、微型企业）；</w:t>
      </w:r>
    </w:p>
    <w:p w14:paraId="108606C6">
      <w:pPr>
        <w:pStyle w:val="8"/>
        <w:spacing w:before="11"/>
        <w:ind w:left="860"/>
        <w:rPr>
          <w:rFonts w:hint="eastAsia" w:ascii="宋体" w:hAnsi="宋体" w:eastAsia="宋体" w:cs="宋体"/>
          <w:sz w:val="32"/>
          <w:szCs w:val="32"/>
        </w:rPr>
      </w:pPr>
      <w:r>
        <w:rPr>
          <w:rFonts w:hint="eastAsia" w:ascii="宋体" w:hAnsi="宋体" w:eastAsia="宋体" w:cs="宋体"/>
          <w:sz w:val="32"/>
          <w:szCs w:val="32"/>
        </w:rPr>
        <w:t>……</w:t>
      </w:r>
    </w:p>
    <w:p w14:paraId="25D8AAD3">
      <w:pPr>
        <w:pStyle w:val="8"/>
        <w:spacing w:before="108" w:line="304" w:lineRule="auto"/>
        <w:ind w:right="-94" w:rightChars="0" w:firstLine="645"/>
        <w:rPr>
          <w:rFonts w:hint="eastAsia" w:ascii="宋体" w:hAnsi="宋体" w:eastAsia="宋体" w:cs="宋体"/>
          <w:sz w:val="32"/>
          <w:szCs w:val="32"/>
        </w:rPr>
      </w:pPr>
      <w:r>
        <w:rPr>
          <w:rFonts w:hint="eastAsia" w:ascii="宋体" w:hAnsi="宋体" w:eastAsia="宋体" w:cs="宋体"/>
          <w:spacing w:val="-3"/>
          <w:sz w:val="32"/>
          <w:szCs w:val="32"/>
        </w:rPr>
        <w:t>以上企业，不属于大企业的分支机构，不存在控股股东</w:t>
      </w:r>
      <w:r>
        <w:rPr>
          <w:rFonts w:hint="eastAsia" w:ascii="宋体" w:hAnsi="宋体" w:eastAsia="宋体" w:cs="宋体"/>
          <w:spacing w:val="-5"/>
          <w:sz w:val="32"/>
          <w:szCs w:val="32"/>
        </w:rPr>
        <w:t>为大企业的情形，也不存在与大企业的负责人为同一人的情形。</w:t>
      </w:r>
    </w:p>
    <w:p w14:paraId="309E8C93">
      <w:pPr>
        <w:pStyle w:val="8"/>
        <w:spacing w:line="304" w:lineRule="auto"/>
        <w:ind w:right="106" w:rightChars="0" w:firstLine="640"/>
        <w:rPr>
          <w:rFonts w:hint="eastAsia" w:ascii="宋体" w:hAnsi="宋体" w:eastAsia="宋体" w:cs="宋体"/>
          <w:sz w:val="32"/>
          <w:szCs w:val="32"/>
        </w:rPr>
      </w:pPr>
      <w:r>
        <w:rPr>
          <w:rFonts w:hint="eastAsia" w:ascii="宋体" w:hAnsi="宋体" w:eastAsia="宋体" w:cs="宋体"/>
          <w:sz w:val="32"/>
          <w:szCs w:val="32"/>
        </w:rPr>
        <w:t>本企业对上述声明内容的真实性负责。如有虚假，将依法承担相应责任。</w:t>
      </w:r>
    </w:p>
    <w:p w14:paraId="4BA858BD">
      <w:pPr>
        <w:numPr>
          <w:ilvl w:val="0"/>
          <w:numId w:val="0"/>
        </w:numPr>
        <w:jc w:val="right"/>
        <w:rPr>
          <w:rFonts w:hint="eastAsia" w:ascii="宋体" w:hAnsi="宋体" w:eastAsia="宋体" w:cs="宋体"/>
          <w:spacing w:val="-8"/>
          <w:w w:val="99"/>
          <w:sz w:val="32"/>
          <w:szCs w:val="32"/>
        </w:rPr>
      </w:pPr>
      <w:r>
        <w:rPr>
          <w:rFonts w:hint="eastAsia" w:ascii="宋体" w:hAnsi="宋体" w:eastAsia="宋体" w:cs="宋体"/>
          <w:w w:val="99"/>
          <w:sz w:val="32"/>
          <w:szCs w:val="32"/>
        </w:rPr>
        <w:t>企业名称</w:t>
      </w:r>
      <w:r>
        <w:rPr>
          <w:rFonts w:hint="eastAsia" w:ascii="宋体" w:hAnsi="宋体" w:eastAsia="宋体" w:cs="宋体"/>
          <w:spacing w:val="2"/>
          <w:w w:val="99"/>
          <w:sz w:val="32"/>
          <w:szCs w:val="32"/>
        </w:rPr>
        <w:t>（</w:t>
      </w:r>
      <w:r>
        <w:rPr>
          <w:rFonts w:hint="eastAsia" w:ascii="宋体" w:hAnsi="宋体" w:eastAsia="宋体" w:cs="宋体"/>
          <w:w w:val="99"/>
          <w:sz w:val="32"/>
          <w:szCs w:val="32"/>
        </w:rPr>
        <w:t>盖章</w:t>
      </w:r>
      <w:r>
        <w:rPr>
          <w:rFonts w:hint="eastAsia" w:ascii="宋体" w:hAnsi="宋体" w:eastAsia="宋体" w:cs="宋体"/>
          <w:spacing w:val="-167"/>
          <w:w w:val="99"/>
          <w:sz w:val="32"/>
          <w:szCs w:val="32"/>
        </w:rPr>
        <w:t>）</w:t>
      </w:r>
      <w:r>
        <w:rPr>
          <w:rFonts w:hint="eastAsia" w:ascii="宋体" w:hAnsi="宋体" w:eastAsia="宋体" w:cs="宋体"/>
          <w:spacing w:val="-8"/>
          <w:w w:val="99"/>
          <w:sz w:val="32"/>
          <w:szCs w:val="32"/>
        </w:rPr>
        <w:t>：</w:t>
      </w:r>
    </w:p>
    <w:p w14:paraId="2333EB16">
      <w:pPr>
        <w:numPr>
          <w:ilvl w:val="0"/>
          <w:numId w:val="0"/>
        </w:numPr>
        <w:jc w:val="righ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spacing w:val="24"/>
          <w:sz w:val="32"/>
          <w:szCs w:val="32"/>
        </w:rPr>
        <w:t>日期：</w:t>
      </w:r>
    </w:p>
    <w:sectPr>
      <w:footerReference r:id="rId10" w:type="default"/>
      <w:pgSz w:w="11906" w:h="16838"/>
      <w:pgMar w:top="1440" w:right="1486" w:bottom="1440" w:left="1380" w:header="0" w:footer="170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6FE0BEC-8AD1-4350-90C3-F122E49D549D}"/>
  </w:font>
  <w:font w:name="黑体">
    <w:panose1 w:val="02010609060101010101"/>
    <w:charset w:val="86"/>
    <w:family w:val="auto"/>
    <w:pitch w:val="default"/>
    <w:sig w:usb0="800002BF" w:usb1="38CF7CFA" w:usb2="00000016" w:usb3="00000000" w:csb0="00040001" w:csb1="00000000"/>
    <w:embedRegular r:id="rId2" w:fontKey="{FC3EB2E5-D03E-4629-AA30-E77DC1B1C0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C8AA0E7-78F8-45BE-BDCD-61D0D76EA4A5}"/>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A4E836EC-2943-4AAD-9732-55CD7FBBF584}"/>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5" w:fontKey="{545EF106-36AC-4B37-9CA3-9968C2FB552C}"/>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BE6FE">
    <w:pPr>
      <w:spacing w:line="176" w:lineRule="auto"/>
      <w:ind w:left="6192"/>
      <w:rPr>
        <w:rFonts w:ascii="幼圆" w:hAnsi="幼圆" w:eastAsia="幼圆" w:cs="幼圆"/>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posOffset>2736850</wp:posOffset>
              </wp:positionH>
              <wp:positionV relativeFrom="paragraph">
                <wp:posOffset>-635</wp:posOffset>
              </wp:positionV>
              <wp:extent cx="535940" cy="1765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5940" cy="176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F19D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5.5pt;margin-top:-0.05pt;height:13.9pt;width:42.2pt;mso-position-horizontal-relative:margin;z-index:251660288;mso-width-relative:page;mso-height-relative:page;" filled="f" stroked="f" coordsize="21600,21600" o:gfxdata="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rp2nNcAAAAIAQAADwAAAAAAAAABACAAAAAiAAAAZHJzL2Rvd25yZXYu&#10;eG1sUEsBAhQAFAAAAAgAh07iQPH1BD41AgAAYQQAAA4AAAAAAAAAAQAgAAAAJgEAAGRycy9lMm9E&#10;b2MueG1sUEsFBgAAAAAGAAYAWQEAAM0FAAAAAA==&#10;">
              <v:fill on="f" focussize="0,0"/>
              <v:stroke on="f" weight="0.5pt"/>
              <v:imagedata o:title=""/>
              <o:lock v:ext="edit" aspectratio="f"/>
              <v:textbox inset="0mm,0mm,0mm,0mm">
                <w:txbxContent>
                  <w:p w14:paraId="77EF19D6">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451C">
    <w:pPr>
      <w:pStyle w:val="8"/>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33278">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033278">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24D29">
    <w:pPr>
      <w:spacing w:before="1" w:line="176" w:lineRule="auto"/>
      <w:ind w:left="6124"/>
      <w:rPr>
        <w:rFonts w:ascii="幼圆" w:hAnsi="幼圆" w:eastAsia="幼圆" w:cs="幼圆"/>
        <w:sz w:val="29"/>
        <w:szCs w:val="29"/>
      </w:rPr>
    </w:pPr>
    <w:r>
      <w:rPr>
        <w:sz w:val="2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820F4">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9820F4">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EBDF">
    <w:pPr>
      <w:spacing w:before="1" w:line="176" w:lineRule="auto"/>
      <w:ind w:left="6130"/>
      <w:rPr>
        <w:rFonts w:ascii="幼圆" w:hAnsi="幼圆" w:eastAsia="幼圆" w:cs="幼圆"/>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FA6CF">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1FA6CF">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39CFE">
    <w:pPr>
      <w:spacing w:before="1" w:line="176" w:lineRule="auto"/>
      <w:ind w:left="6130"/>
      <w:rPr>
        <w:rFonts w:ascii="幼圆" w:hAnsi="幼圆" w:eastAsia="幼圆" w:cs="幼圆"/>
        <w:sz w:val="29"/>
        <w:szCs w:val="29"/>
      </w:rPr>
    </w:pPr>
    <w:r>
      <w:rPr>
        <w:sz w:val="2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84FE2">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184FE2">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4AF05">
    <w:pPr>
      <w:pStyle w:val="14"/>
    </w:pPr>
    <w:r>
      <w:rPr>
        <w:sz w:val="18"/>
      </w:rPr>
      <mc:AlternateContent>
        <mc:Choice Requires="wps">
          <w:drawing>
            <wp:anchor distT="0" distB="0" distL="114300" distR="114300" simplePos="0" relativeHeight="251664384" behindDoc="0" locked="0" layoutInCell="1" allowOverlap="1">
              <wp:simplePos x="0" y="0"/>
              <wp:positionH relativeFrom="margin">
                <wp:posOffset>2803525</wp:posOffset>
              </wp:positionH>
              <wp:positionV relativeFrom="paragraph">
                <wp:posOffset>0</wp:posOffset>
              </wp:positionV>
              <wp:extent cx="25654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654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5A684">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0.75pt;margin-top:0pt;height:10.85pt;width:20.2pt;mso-position-horizontal-relative:margin;z-index:251664384;mso-width-relative:page;mso-height-relative:page;" filled="f" stroked="f" coordsize="21600,21600" o:gfxdata="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FJ4HrWAAAABwEAAA8AAAAAAAAAAQAgAAAAIgAAAGRycy9kb3ducmV2&#10;LnhtbFBLAQIUABQAAAAIAIdO4kCDaR/8NwIAAGEEAAAOAAAAAAAAAAEAIAAAACUBAABkcnMvZTJv&#10;RG9jLnhtbFBLBQYAAAAABgAGAFkBAADOBQAAAAA=&#10;">
              <v:fill on="f" focussize="0,0"/>
              <v:stroke on="f" weight="0.5pt"/>
              <v:imagedata o:title=""/>
              <o:lock v:ext="edit" aspectratio="f"/>
              <v:textbox inset="0mm,0mm,0mm,0mm">
                <w:txbxContent>
                  <w:p w14:paraId="7E65A684">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15655"/>
    <w:multiLevelType w:val="singleLevel"/>
    <w:tmpl w:val="8B415655"/>
    <w:lvl w:ilvl="0" w:tentative="0">
      <w:start w:val="1"/>
      <w:numFmt w:val="decimal"/>
      <w:lvlText w:val="%1"/>
      <w:lvlJc w:val="left"/>
      <w:pPr>
        <w:tabs>
          <w:tab w:val="left" w:pos="420"/>
        </w:tabs>
        <w:ind w:left="425" w:leftChars="0" w:hanging="425" w:firstLineChars="0"/>
      </w:pPr>
      <w:rPr>
        <w:rFonts w:hint="default"/>
      </w:rPr>
    </w:lvl>
  </w:abstractNum>
  <w:abstractNum w:abstractNumId="1">
    <w:nsid w:val="BC12571E"/>
    <w:multiLevelType w:val="singleLevel"/>
    <w:tmpl w:val="BC12571E"/>
    <w:lvl w:ilvl="0" w:tentative="0">
      <w:start w:val="9"/>
      <w:numFmt w:val="chineseCounting"/>
      <w:suff w:val="nothing"/>
      <w:lvlText w:val="%1、"/>
      <w:lvlJc w:val="left"/>
      <w:rPr>
        <w:rFonts w:hint="eastAsia"/>
      </w:rPr>
    </w:lvl>
  </w:abstractNum>
  <w:abstractNum w:abstractNumId="2">
    <w:nsid w:val="CBBEA7A1"/>
    <w:multiLevelType w:val="singleLevel"/>
    <w:tmpl w:val="CBBEA7A1"/>
    <w:lvl w:ilvl="0" w:tentative="0">
      <w:start w:val="1"/>
      <w:numFmt w:val="chineseCounting"/>
      <w:suff w:val="nothing"/>
      <w:lvlText w:val="%1、"/>
      <w:lvlJc w:val="left"/>
      <w:rPr>
        <w:rFonts w:hint="eastAsia"/>
      </w:rPr>
    </w:lvl>
  </w:abstractNum>
  <w:abstractNum w:abstractNumId="3">
    <w:nsid w:val="CFE2B2F1"/>
    <w:multiLevelType w:val="singleLevel"/>
    <w:tmpl w:val="CFE2B2F1"/>
    <w:lvl w:ilvl="0" w:tentative="0">
      <w:start w:val="1"/>
      <w:numFmt w:val="chineseCounting"/>
      <w:suff w:val="nothing"/>
      <w:lvlText w:val="%1、"/>
      <w:lvlJc w:val="left"/>
      <w:pPr>
        <w:ind w:left="105" w:firstLine="0"/>
      </w:pPr>
      <w:rPr>
        <w:rFonts w:hint="eastAsia"/>
      </w:rPr>
    </w:lvl>
  </w:abstractNum>
  <w:abstractNum w:abstractNumId="4">
    <w:nsid w:val="02BEC3FF"/>
    <w:multiLevelType w:val="singleLevel"/>
    <w:tmpl w:val="02BEC3FF"/>
    <w:lvl w:ilvl="0" w:tentative="0">
      <w:start w:val="1"/>
      <w:numFmt w:val="chineseCounting"/>
      <w:suff w:val="nothing"/>
      <w:lvlText w:val="%1、"/>
      <w:lvlJc w:val="left"/>
      <w:rPr>
        <w:rFonts w:hint="eastAsia"/>
      </w:rPr>
    </w:lvl>
  </w:abstractNum>
  <w:abstractNum w:abstractNumId="5">
    <w:nsid w:val="7B680A4B"/>
    <w:multiLevelType w:val="singleLevel"/>
    <w:tmpl w:val="7B680A4B"/>
    <w:lvl w:ilvl="0" w:tentative="0">
      <w:start w:val="2"/>
      <w:numFmt w:val="chineseCounting"/>
      <w:suff w:val="nothing"/>
      <w:lvlText w:val="（%1）"/>
      <w:lvlJc w:val="left"/>
      <w:rPr>
        <w:rFonts w:hint="eastAsia"/>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rawingGridHorizontalSpacing w:val="210"/>
  <w:drawingGridVerticalSpacing w:val="1"/>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Q1M2NmYmY0ZTU4ZDY1OTY4NTI1ZGFkNTkwNGVjZDYifQ=="/>
  </w:docVars>
  <w:rsids>
    <w:rsidRoot w:val="00000000"/>
    <w:rsid w:val="0027349C"/>
    <w:rsid w:val="002E4401"/>
    <w:rsid w:val="00675481"/>
    <w:rsid w:val="009F675E"/>
    <w:rsid w:val="00A91365"/>
    <w:rsid w:val="00C528D4"/>
    <w:rsid w:val="00D77659"/>
    <w:rsid w:val="01600513"/>
    <w:rsid w:val="01657C13"/>
    <w:rsid w:val="018F6A3E"/>
    <w:rsid w:val="01B4106A"/>
    <w:rsid w:val="01B701A0"/>
    <w:rsid w:val="01BE4D0C"/>
    <w:rsid w:val="01C56903"/>
    <w:rsid w:val="01F9035B"/>
    <w:rsid w:val="027125E7"/>
    <w:rsid w:val="028C723F"/>
    <w:rsid w:val="029773A8"/>
    <w:rsid w:val="029F7154"/>
    <w:rsid w:val="02BE185D"/>
    <w:rsid w:val="02D21B2C"/>
    <w:rsid w:val="03011BBD"/>
    <w:rsid w:val="038F0F77"/>
    <w:rsid w:val="03DE01CA"/>
    <w:rsid w:val="040348E8"/>
    <w:rsid w:val="04141A49"/>
    <w:rsid w:val="042D4231"/>
    <w:rsid w:val="042E24FA"/>
    <w:rsid w:val="04800661"/>
    <w:rsid w:val="048767D9"/>
    <w:rsid w:val="0518619C"/>
    <w:rsid w:val="05202E3A"/>
    <w:rsid w:val="054D733B"/>
    <w:rsid w:val="05987A6B"/>
    <w:rsid w:val="05A46F9F"/>
    <w:rsid w:val="05DC0951"/>
    <w:rsid w:val="06231E4A"/>
    <w:rsid w:val="062527B2"/>
    <w:rsid w:val="06334642"/>
    <w:rsid w:val="066279F2"/>
    <w:rsid w:val="06791E9A"/>
    <w:rsid w:val="067B3A34"/>
    <w:rsid w:val="06E47D7B"/>
    <w:rsid w:val="06F15AA5"/>
    <w:rsid w:val="074D1EB9"/>
    <w:rsid w:val="074E2EF7"/>
    <w:rsid w:val="077C5CB6"/>
    <w:rsid w:val="079F2CCA"/>
    <w:rsid w:val="08055CAB"/>
    <w:rsid w:val="084542FA"/>
    <w:rsid w:val="087F5A58"/>
    <w:rsid w:val="093C00DB"/>
    <w:rsid w:val="095347F5"/>
    <w:rsid w:val="09B2431D"/>
    <w:rsid w:val="09EC5D48"/>
    <w:rsid w:val="0A8D0EB6"/>
    <w:rsid w:val="0A9D21CB"/>
    <w:rsid w:val="0A9E3ECA"/>
    <w:rsid w:val="0AA64F28"/>
    <w:rsid w:val="0ACF0F4D"/>
    <w:rsid w:val="0BB05F2E"/>
    <w:rsid w:val="0BCC076D"/>
    <w:rsid w:val="0BF75AF7"/>
    <w:rsid w:val="0CAE0DA9"/>
    <w:rsid w:val="0CBE1664"/>
    <w:rsid w:val="0CC17E6B"/>
    <w:rsid w:val="0CC41D6A"/>
    <w:rsid w:val="0D0E5916"/>
    <w:rsid w:val="0D532E09"/>
    <w:rsid w:val="0D97478D"/>
    <w:rsid w:val="0E7F6C60"/>
    <w:rsid w:val="0F102FA9"/>
    <w:rsid w:val="0F3D5130"/>
    <w:rsid w:val="0F41676A"/>
    <w:rsid w:val="0FCE1306"/>
    <w:rsid w:val="100D7DF3"/>
    <w:rsid w:val="10414385"/>
    <w:rsid w:val="106D2B6E"/>
    <w:rsid w:val="10865C7F"/>
    <w:rsid w:val="10AE35A2"/>
    <w:rsid w:val="11130616"/>
    <w:rsid w:val="11226ACD"/>
    <w:rsid w:val="11276C93"/>
    <w:rsid w:val="11307C67"/>
    <w:rsid w:val="114F425F"/>
    <w:rsid w:val="115A0E16"/>
    <w:rsid w:val="117D68B3"/>
    <w:rsid w:val="12085A31"/>
    <w:rsid w:val="120E1C01"/>
    <w:rsid w:val="122158CD"/>
    <w:rsid w:val="126805E3"/>
    <w:rsid w:val="12AA36D7"/>
    <w:rsid w:val="130D010A"/>
    <w:rsid w:val="13114810"/>
    <w:rsid w:val="13381E1D"/>
    <w:rsid w:val="139F4E2A"/>
    <w:rsid w:val="1463409F"/>
    <w:rsid w:val="14863CD0"/>
    <w:rsid w:val="14E631DF"/>
    <w:rsid w:val="14F670A8"/>
    <w:rsid w:val="1524402C"/>
    <w:rsid w:val="15265387"/>
    <w:rsid w:val="15756071"/>
    <w:rsid w:val="15826591"/>
    <w:rsid w:val="158A0E25"/>
    <w:rsid w:val="15AA7A35"/>
    <w:rsid w:val="15D849FF"/>
    <w:rsid w:val="16094BB9"/>
    <w:rsid w:val="168E3260"/>
    <w:rsid w:val="169326D4"/>
    <w:rsid w:val="169A3A63"/>
    <w:rsid w:val="16B44444"/>
    <w:rsid w:val="16DA0303"/>
    <w:rsid w:val="1732013F"/>
    <w:rsid w:val="175E3FFB"/>
    <w:rsid w:val="178F10EE"/>
    <w:rsid w:val="17AC6144"/>
    <w:rsid w:val="17D2493A"/>
    <w:rsid w:val="18675140"/>
    <w:rsid w:val="18863CFA"/>
    <w:rsid w:val="189866C8"/>
    <w:rsid w:val="18D45952"/>
    <w:rsid w:val="19157D18"/>
    <w:rsid w:val="194F322A"/>
    <w:rsid w:val="19A40389"/>
    <w:rsid w:val="19C73298"/>
    <w:rsid w:val="19CA465F"/>
    <w:rsid w:val="19E815E6"/>
    <w:rsid w:val="1A295829"/>
    <w:rsid w:val="1A3B7D69"/>
    <w:rsid w:val="1ACC4407"/>
    <w:rsid w:val="1AF076EF"/>
    <w:rsid w:val="1B094BBF"/>
    <w:rsid w:val="1BA76E29"/>
    <w:rsid w:val="1BD35FF7"/>
    <w:rsid w:val="1BEB6633"/>
    <w:rsid w:val="1BF652AB"/>
    <w:rsid w:val="1C0E117B"/>
    <w:rsid w:val="1C3C0773"/>
    <w:rsid w:val="1C737230"/>
    <w:rsid w:val="1C765D5A"/>
    <w:rsid w:val="1C7A6810"/>
    <w:rsid w:val="1CA876A1"/>
    <w:rsid w:val="1D232A04"/>
    <w:rsid w:val="1D6E4CCA"/>
    <w:rsid w:val="1D9D53D1"/>
    <w:rsid w:val="1E25455A"/>
    <w:rsid w:val="1E894AFB"/>
    <w:rsid w:val="1F431B17"/>
    <w:rsid w:val="1F572E39"/>
    <w:rsid w:val="1FD9525B"/>
    <w:rsid w:val="203942EC"/>
    <w:rsid w:val="20D4043E"/>
    <w:rsid w:val="20F12E19"/>
    <w:rsid w:val="21233480"/>
    <w:rsid w:val="214967B1"/>
    <w:rsid w:val="21922E2A"/>
    <w:rsid w:val="21A351BA"/>
    <w:rsid w:val="21DE0CA7"/>
    <w:rsid w:val="223C63CB"/>
    <w:rsid w:val="22415BBC"/>
    <w:rsid w:val="2277259E"/>
    <w:rsid w:val="228610D7"/>
    <w:rsid w:val="228E62B2"/>
    <w:rsid w:val="22B81625"/>
    <w:rsid w:val="22DB11FE"/>
    <w:rsid w:val="22E81F27"/>
    <w:rsid w:val="22F4634C"/>
    <w:rsid w:val="234B4A63"/>
    <w:rsid w:val="23B02631"/>
    <w:rsid w:val="23DC7306"/>
    <w:rsid w:val="23DD4B84"/>
    <w:rsid w:val="23FE0618"/>
    <w:rsid w:val="240D2928"/>
    <w:rsid w:val="246A4052"/>
    <w:rsid w:val="24C0764C"/>
    <w:rsid w:val="250C7BDD"/>
    <w:rsid w:val="251E0DC7"/>
    <w:rsid w:val="25D7082F"/>
    <w:rsid w:val="25EB7E37"/>
    <w:rsid w:val="26053D88"/>
    <w:rsid w:val="271433BD"/>
    <w:rsid w:val="273B4DEE"/>
    <w:rsid w:val="27441EF5"/>
    <w:rsid w:val="2783567B"/>
    <w:rsid w:val="27B8715C"/>
    <w:rsid w:val="27E51136"/>
    <w:rsid w:val="27F4193C"/>
    <w:rsid w:val="282A64F2"/>
    <w:rsid w:val="285B7160"/>
    <w:rsid w:val="28B71491"/>
    <w:rsid w:val="28BE3817"/>
    <w:rsid w:val="290F6532"/>
    <w:rsid w:val="292D2D61"/>
    <w:rsid w:val="2940049A"/>
    <w:rsid w:val="294837F2"/>
    <w:rsid w:val="296C310E"/>
    <w:rsid w:val="297B7724"/>
    <w:rsid w:val="299713BC"/>
    <w:rsid w:val="29B30FEE"/>
    <w:rsid w:val="29F85218"/>
    <w:rsid w:val="2AE72708"/>
    <w:rsid w:val="2AE775C9"/>
    <w:rsid w:val="2AF754D0"/>
    <w:rsid w:val="2B345DDC"/>
    <w:rsid w:val="2B3D6352"/>
    <w:rsid w:val="2B623B75"/>
    <w:rsid w:val="2B6C37C8"/>
    <w:rsid w:val="2BB21C62"/>
    <w:rsid w:val="2BC0102D"/>
    <w:rsid w:val="2BD51BDA"/>
    <w:rsid w:val="2C167BD8"/>
    <w:rsid w:val="2C942335"/>
    <w:rsid w:val="2CBD0053"/>
    <w:rsid w:val="2D71156A"/>
    <w:rsid w:val="2D917516"/>
    <w:rsid w:val="2DCC6A09"/>
    <w:rsid w:val="2DE14C54"/>
    <w:rsid w:val="2E0128D2"/>
    <w:rsid w:val="2E0E4AD5"/>
    <w:rsid w:val="2E402CEA"/>
    <w:rsid w:val="2E90617C"/>
    <w:rsid w:val="2EA25753"/>
    <w:rsid w:val="2EAD52AF"/>
    <w:rsid w:val="2EB37960"/>
    <w:rsid w:val="2EE45D6B"/>
    <w:rsid w:val="2F3320DE"/>
    <w:rsid w:val="2F836C9F"/>
    <w:rsid w:val="2FBC25A1"/>
    <w:rsid w:val="2FC71915"/>
    <w:rsid w:val="2FE7755C"/>
    <w:rsid w:val="2FF63F3A"/>
    <w:rsid w:val="300E30A0"/>
    <w:rsid w:val="300F6E18"/>
    <w:rsid w:val="30BB36F9"/>
    <w:rsid w:val="31010E56"/>
    <w:rsid w:val="312B7C81"/>
    <w:rsid w:val="31600614"/>
    <w:rsid w:val="3164321B"/>
    <w:rsid w:val="317A4765"/>
    <w:rsid w:val="3183186B"/>
    <w:rsid w:val="318C15C2"/>
    <w:rsid w:val="31970564"/>
    <w:rsid w:val="31A02E56"/>
    <w:rsid w:val="31C3610C"/>
    <w:rsid w:val="32285F6F"/>
    <w:rsid w:val="322873BD"/>
    <w:rsid w:val="32430FFB"/>
    <w:rsid w:val="324809DF"/>
    <w:rsid w:val="325A6A70"/>
    <w:rsid w:val="327C2602"/>
    <w:rsid w:val="33394A1D"/>
    <w:rsid w:val="33613E2E"/>
    <w:rsid w:val="33675E73"/>
    <w:rsid w:val="33AF4B9A"/>
    <w:rsid w:val="34131B96"/>
    <w:rsid w:val="34AE1A0D"/>
    <w:rsid w:val="34D32B0A"/>
    <w:rsid w:val="35000202"/>
    <w:rsid w:val="3521297D"/>
    <w:rsid w:val="35616DB9"/>
    <w:rsid w:val="35664834"/>
    <w:rsid w:val="358D4A67"/>
    <w:rsid w:val="35B645A9"/>
    <w:rsid w:val="35C10BB4"/>
    <w:rsid w:val="35D3227C"/>
    <w:rsid w:val="35F61B3D"/>
    <w:rsid w:val="360E3C43"/>
    <w:rsid w:val="362B4280"/>
    <w:rsid w:val="36356EAC"/>
    <w:rsid w:val="366F6862"/>
    <w:rsid w:val="36BA5D2F"/>
    <w:rsid w:val="36DB3A64"/>
    <w:rsid w:val="36E526CF"/>
    <w:rsid w:val="36EB413B"/>
    <w:rsid w:val="36F13DB9"/>
    <w:rsid w:val="3702468C"/>
    <w:rsid w:val="370C326E"/>
    <w:rsid w:val="376D75FB"/>
    <w:rsid w:val="377368F7"/>
    <w:rsid w:val="378D6694"/>
    <w:rsid w:val="3790548B"/>
    <w:rsid w:val="37B31DDD"/>
    <w:rsid w:val="37DD476B"/>
    <w:rsid w:val="37EF4766"/>
    <w:rsid w:val="37FE2F7C"/>
    <w:rsid w:val="38115F0A"/>
    <w:rsid w:val="38361E37"/>
    <w:rsid w:val="38472D48"/>
    <w:rsid w:val="38683569"/>
    <w:rsid w:val="38875CDC"/>
    <w:rsid w:val="38BF26EB"/>
    <w:rsid w:val="38C86720"/>
    <w:rsid w:val="38E26A3B"/>
    <w:rsid w:val="3920702D"/>
    <w:rsid w:val="3929719C"/>
    <w:rsid w:val="3A391794"/>
    <w:rsid w:val="3A6854CC"/>
    <w:rsid w:val="3A766288"/>
    <w:rsid w:val="3AA34ACA"/>
    <w:rsid w:val="3AB3217D"/>
    <w:rsid w:val="3B677E26"/>
    <w:rsid w:val="3B720A04"/>
    <w:rsid w:val="3B832916"/>
    <w:rsid w:val="3C3B53EC"/>
    <w:rsid w:val="3C4E057F"/>
    <w:rsid w:val="3C65673D"/>
    <w:rsid w:val="3C6978B0"/>
    <w:rsid w:val="3C763002"/>
    <w:rsid w:val="3C90253B"/>
    <w:rsid w:val="3C9708C1"/>
    <w:rsid w:val="3D0C0967"/>
    <w:rsid w:val="3DBA6615"/>
    <w:rsid w:val="3DBF1E7D"/>
    <w:rsid w:val="3DC616D3"/>
    <w:rsid w:val="3DC9235A"/>
    <w:rsid w:val="3DE03BA2"/>
    <w:rsid w:val="3DF4287B"/>
    <w:rsid w:val="3DF44CC0"/>
    <w:rsid w:val="3E577856"/>
    <w:rsid w:val="3E7F05B5"/>
    <w:rsid w:val="3E860BED"/>
    <w:rsid w:val="3E977E7B"/>
    <w:rsid w:val="3EC05EAD"/>
    <w:rsid w:val="3EC7548D"/>
    <w:rsid w:val="3F182351"/>
    <w:rsid w:val="3F4F080C"/>
    <w:rsid w:val="3F6F1E30"/>
    <w:rsid w:val="3F744EE9"/>
    <w:rsid w:val="3FB663B8"/>
    <w:rsid w:val="3FF04570"/>
    <w:rsid w:val="40022D7E"/>
    <w:rsid w:val="407F268F"/>
    <w:rsid w:val="4081166C"/>
    <w:rsid w:val="40A70086"/>
    <w:rsid w:val="40D43E92"/>
    <w:rsid w:val="40F55BB6"/>
    <w:rsid w:val="40FD52C0"/>
    <w:rsid w:val="41014921"/>
    <w:rsid w:val="41073AD4"/>
    <w:rsid w:val="415C79E3"/>
    <w:rsid w:val="41A4563A"/>
    <w:rsid w:val="42B44C7C"/>
    <w:rsid w:val="42B45D29"/>
    <w:rsid w:val="42F56341"/>
    <w:rsid w:val="43244531"/>
    <w:rsid w:val="43A55FB4"/>
    <w:rsid w:val="43FA2577"/>
    <w:rsid w:val="442C3025"/>
    <w:rsid w:val="44A75419"/>
    <w:rsid w:val="44B674C0"/>
    <w:rsid w:val="45102FBE"/>
    <w:rsid w:val="45404F48"/>
    <w:rsid w:val="45541CEF"/>
    <w:rsid w:val="45794A8F"/>
    <w:rsid w:val="460D5750"/>
    <w:rsid w:val="467B090B"/>
    <w:rsid w:val="46902E16"/>
    <w:rsid w:val="46F3447D"/>
    <w:rsid w:val="470B1C8F"/>
    <w:rsid w:val="47352FA0"/>
    <w:rsid w:val="47823C69"/>
    <w:rsid w:val="47DC187E"/>
    <w:rsid w:val="47E616F9"/>
    <w:rsid w:val="47FE17F4"/>
    <w:rsid w:val="48276F9D"/>
    <w:rsid w:val="48877A3B"/>
    <w:rsid w:val="49033F5C"/>
    <w:rsid w:val="491017DF"/>
    <w:rsid w:val="4916491B"/>
    <w:rsid w:val="49595E62"/>
    <w:rsid w:val="496930A0"/>
    <w:rsid w:val="49920C6C"/>
    <w:rsid w:val="4A0112AD"/>
    <w:rsid w:val="4A1C2405"/>
    <w:rsid w:val="4A235817"/>
    <w:rsid w:val="4A9A27AA"/>
    <w:rsid w:val="4AAE5276"/>
    <w:rsid w:val="4AEC002A"/>
    <w:rsid w:val="4B142F47"/>
    <w:rsid w:val="4B3D2633"/>
    <w:rsid w:val="4B663938"/>
    <w:rsid w:val="4BA84747"/>
    <w:rsid w:val="4C310FBB"/>
    <w:rsid w:val="4CC669AF"/>
    <w:rsid w:val="4CDB30E2"/>
    <w:rsid w:val="4CF36A99"/>
    <w:rsid w:val="4D0F5359"/>
    <w:rsid w:val="4D402587"/>
    <w:rsid w:val="4D5123C6"/>
    <w:rsid w:val="4D9D560B"/>
    <w:rsid w:val="4DFC7B4E"/>
    <w:rsid w:val="4E102090"/>
    <w:rsid w:val="4E7B3B9E"/>
    <w:rsid w:val="4E881E17"/>
    <w:rsid w:val="4E926F5E"/>
    <w:rsid w:val="4EB05174"/>
    <w:rsid w:val="4EC217CD"/>
    <w:rsid w:val="4F6C6998"/>
    <w:rsid w:val="4F7B197C"/>
    <w:rsid w:val="4FA7451F"/>
    <w:rsid w:val="4FB37368"/>
    <w:rsid w:val="4FDC241B"/>
    <w:rsid w:val="50362B19"/>
    <w:rsid w:val="50575F45"/>
    <w:rsid w:val="50610D4A"/>
    <w:rsid w:val="50666188"/>
    <w:rsid w:val="50734DEF"/>
    <w:rsid w:val="50845C1D"/>
    <w:rsid w:val="50BB7B1D"/>
    <w:rsid w:val="50C37168"/>
    <w:rsid w:val="50DB374F"/>
    <w:rsid w:val="50F74B58"/>
    <w:rsid w:val="512F7091"/>
    <w:rsid w:val="51961E12"/>
    <w:rsid w:val="51BC5445"/>
    <w:rsid w:val="51C23892"/>
    <w:rsid w:val="51F223CA"/>
    <w:rsid w:val="52263E21"/>
    <w:rsid w:val="52DA2B85"/>
    <w:rsid w:val="53A96AB8"/>
    <w:rsid w:val="5445537F"/>
    <w:rsid w:val="545329F6"/>
    <w:rsid w:val="54632D44"/>
    <w:rsid w:val="54656DB3"/>
    <w:rsid w:val="54EF1054"/>
    <w:rsid w:val="551D5836"/>
    <w:rsid w:val="55422B9C"/>
    <w:rsid w:val="55B858D1"/>
    <w:rsid w:val="55CA29D2"/>
    <w:rsid w:val="56186177"/>
    <w:rsid w:val="561B6FF9"/>
    <w:rsid w:val="56404E40"/>
    <w:rsid w:val="56824BF3"/>
    <w:rsid w:val="56AF3C56"/>
    <w:rsid w:val="56EF2162"/>
    <w:rsid w:val="5737262D"/>
    <w:rsid w:val="576B0E9C"/>
    <w:rsid w:val="576C4BAD"/>
    <w:rsid w:val="57913BB1"/>
    <w:rsid w:val="579A3366"/>
    <w:rsid w:val="57CF2865"/>
    <w:rsid w:val="58290668"/>
    <w:rsid w:val="58647451"/>
    <w:rsid w:val="58C24D8B"/>
    <w:rsid w:val="58FD7E6D"/>
    <w:rsid w:val="59476B94"/>
    <w:rsid w:val="599062A5"/>
    <w:rsid w:val="59DE5DB6"/>
    <w:rsid w:val="5A1D1FAE"/>
    <w:rsid w:val="5A2309DB"/>
    <w:rsid w:val="5A3A2B60"/>
    <w:rsid w:val="5A3D1AAB"/>
    <w:rsid w:val="5A496A32"/>
    <w:rsid w:val="5A4A2677"/>
    <w:rsid w:val="5A506FFE"/>
    <w:rsid w:val="5A8D2322"/>
    <w:rsid w:val="5AE900E2"/>
    <w:rsid w:val="5B5B76AB"/>
    <w:rsid w:val="5B681BD3"/>
    <w:rsid w:val="5B867DD7"/>
    <w:rsid w:val="5BA3383C"/>
    <w:rsid w:val="5BB22BCA"/>
    <w:rsid w:val="5C0A6562"/>
    <w:rsid w:val="5C471CC1"/>
    <w:rsid w:val="5C6E5C8E"/>
    <w:rsid w:val="5C8816B4"/>
    <w:rsid w:val="5CAA1761"/>
    <w:rsid w:val="5CC32DF4"/>
    <w:rsid w:val="5CC87102"/>
    <w:rsid w:val="5D1234E5"/>
    <w:rsid w:val="5D325D70"/>
    <w:rsid w:val="5DA30A1C"/>
    <w:rsid w:val="5E337FF2"/>
    <w:rsid w:val="5E3C457C"/>
    <w:rsid w:val="5E9B16F3"/>
    <w:rsid w:val="5F6C76F4"/>
    <w:rsid w:val="5F8E6F69"/>
    <w:rsid w:val="5FB50BFD"/>
    <w:rsid w:val="600871C3"/>
    <w:rsid w:val="60457B68"/>
    <w:rsid w:val="606D11AA"/>
    <w:rsid w:val="61080CB6"/>
    <w:rsid w:val="610B0E9F"/>
    <w:rsid w:val="61412A26"/>
    <w:rsid w:val="61BF7E77"/>
    <w:rsid w:val="622E6349"/>
    <w:rsid w:val="623F0D34"/>
    <w:rsid w:val="62610F56"/>
    <w:rsid w:val="62BB6808"/>
    <w:rsid w:val="62E95063"/>
    <w:rsid w:val="62EE098B"/>
    <w:rsid w:val="62F85366"/>
    <w:rsid w:val="63233258"/>
    <w:rsid w:val="63D61AC1"/>
    <w:rsid w:val="642D453E"/>
    <w:rsid w:val="644A378A"/>
    <w:rsid w:val="651D7306"/>
    <w:rsid w:val="654B3155"/>
    <w:rsid w:val="655315CA"/>
    <w:rsid w:val="65697D0C"/>
    <w:rsid w:val="662E0238"/>
    <w:rsid w:val="662E109F"/>
    <w:rsid w:val="665E7BD6"/>
    <w:rsid w:val="66986AAD"/>
    <w:rsid w:val="669F502F"/>
    <w:rsid w:val="66BC0585"/>
    <w:rsid w:val="66C0263F"/>
    <w:rsid w:val="66C6479D"/>
    <w:rsid w:val="675C250A"/>
    <w:rsid w:val="67833E18"/>
    <w:rsid w:val="68102AC5"/>
    <w:rsid w:val="684745A5"/>
    <w:rsid w:val="686A0AB4"/>
    <w:rsid w:val="688D68DB"/>
    <w:rsid w:val="68F371AB"/>
    <w:rsid w:val="69126A56"/>
    <w:rsid w:val="69207B6A"/>
    <w:rsid w:val="69825667"/>
    <w:rsid w:val="699C510E"/>
    <w:rsid w:val="69D02B99"/>
    <w:rsid w:val="69E06B54"/>
    <w:rsid w:val="69E613ED"/>
    <w:rsid w:val="6A2A7F89"/>
    <w:rsid w:val="6AB50656"/>
    <w:rsid w:val="6AE508C6"/>
    <w:rsid w:val="6BB64B7C"/>
    <w:rsid w:val="6BEC17E0"/>
    <w:rsid w:val="6C1D5F81"/>
    <w:rsid w:val="6C581BE2"/>
    <w:rsid w:val="6C5D1D29"/>
    <w:rsid w:val="6CB14708"/>
    <w:rsid w:val="6CEE4B95"/>
    <w:rsid w:val="6D042B59"/>
    <w:rsid w:val="6D6F2D26"/>
    <w:rsid w:val="6DAF2A8F"/>
    <w:rsid w:val="6DCA3DA3"/>
    <w:rsid w:val="6E0D77D5"/>
    <w:rsid w:val="6E25722B"/>
    <w:rsid w:val="6E641556"/>
    <w:rsid w:val="6E830E74"/>
    <w:rsid w:val="6EB15DA1"/>
    <w:rsid w:val="6F1654F2"/>
    <w:rsid w:val="6F1E3D3D"/>
    <w:rsid w:val="6F347726"/>
    <w:rsid w:val="70127EF9"/>
    <w:rsid w:val="70626515"/>
    <w:rsid w:val="70B7714F"/>
    <w:rsid w:val="70D429B5"/>
    <w:rsid w:val="70FC02D9"/>
    <w:rsid w:val="710B2FBE"/>
    <w:rsid w:val="713F19C8"/>
    <w:rsid w:val="71565292"/>
    <w:rsid w:val="71766CA3"/>
    <w:rsid w:val="717E78F7"/>
    <w:rsid w:val="71881FAB"/>
    <w:rsid w:val="718C50AB"/>
    <w:rsid w:val="71B479B2"/>
    <w:rsid w:val="71B86566"/>
    <w:rsid w:val="71C31235"/>
    <w:rsid w:val="72970BC0"/>
    <w:rsid w:val="729F135A"/>
    <w:rsid w:val="73605CCB"/>
    <w:rsid w:val="736B3932"/>
    <w:rsid w:val="73744646"/>
    <w:rsid w:val="737C64A3"/>
    <w:rsid w:val="73AF2E6B"/>
    <w:rsid w:val="73E71BBA"/>
    <w:rsid w:val="744C72C0"/>
    <w:rsid w:val="74512B28"/>
    <w:rsid w:val="7476433D"/>
    <w:rsid w:val="747A5B84"/>
    <w:rsid w:val="748D1686"/>
    <w:rsid w:val="74A25132"/>
    <w:rsid w:val="74CE4179"/>
    <w:rsid w:val="74E734F9"/>
    <w:rsid w:val="7507768A"/>
    <w:rsid w:val="751A5610"/>
    <w:rsid w:val="751E18AC"/>
    <w:rsid w:val="75B05A3E"/>
    <w:rsid w:val="76143E0D"/>
    <w:rsid w:val="76283D5C"/>
    <w:rsid w:val="762B24BE"/>
    <w:rsid w:val="766C1E9B"/>
    <w:rsid w:val="76D161A2"/>
    <w:rsid w:val="772067E2"/>
    <w:rsid w:val="774A4C13"/>
    <w:rsid w:val="778C58E7"/>
    <w:rsid w:val="779C40BA"/>
    <w:rsid w:val="77A460F8"/>
    <w:rsid w:val="77F5785B"/>
    <w:rsid w:val="78076539"/>
    <w:rsid w:val="785E75C1"/>
    <w:rsid w:val="78AA4E2A"/>
    <w:rsid w:val="78BE1364"/>
    <w:rsid w:val="78DC699B"/>
    <w:rsid w:val="79075EAB"/>
    <w:rsid w:val="791800B8"/>
    <w:rsid w:val="79B25E17"/>
    <w:rsid w:val="79E667DE"/>
    <w:rsid w:val="79FD47FB"/>
    <w:rsid w:val="79FD523D"/>
    <w:rsid w:val="7A0917AF"/>
    <w:rsid w:val="7A601D17"/>
    <w:rsid w:val="7A6D61E2"/>
    <w:rsid w:val="7A982B15"/>
    <w:rsid w:val="7AE069B4"/>
    <w:rsid w:val="7AE31DA6"/>
    <w:rsid w:val="7B582284"/>
    <w:rsid w:val="7B585393"/>
    <w:rsid w:val="7C556F2D"/>
    <w:rsid w:val="7C8949A7"/>
    <w:rsid w:val="7CB11429"/>
    <w:rsid w:val="7CE107C1"/>
    <w:rsid w:val="7CF17FFD"/>
    <w:rsid w:val="7D6E64F9"/>
    <w:rsid w:val="7DB21766"/>
    <w:rsid w:val="7DBB005E"/>
    <w:rsid w:val="7DDF73F6"/>
    <w:rsid w:val="7E6B6EDC"/>
    <w:rsid w:val="7E715839"/>
    <w:rsid w:val="7F8244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line="415" w:lineRule="auto"/>
      <w:outlineLvl w:val="1"/>
    </w:pPr>
    <w:rPr>
      <w:rFonts w:ascii="Arial" w:hAnsi="Arial" w:cs="Arial"/>
      <w:b/>
      <w:bCs/>
    </w:rPr>
  </w:style>
  <w:style w:type="paragraph" w:styleId="5">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paragraph" w:styleId="2">
    <w:name w:val="heading 4"/>
    <w:basedOn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1"/>
    <w:pPr>
      <w:ind w:left="802"/>
      <w:outlineLvl w:val="4"/>
    </w:pPr>
    <w:rPr>
      <w:b/>
      <w:bCs/>
      <w:sz w:val="21"/>
      <w:szCs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Normal Indent"/>
    <w:basedOn w:val="1"/>
    <w:unhideWhenUsed/>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Body Text Indent"/>
    <w:basedOn w:val="1"/>
    <w:next w:val="10"/>
    <w:qFormat/>
    <w:uiPriority w:val="0"/>
    <w:pPr>
      <w:ind w:firstLine="645"/>
    </w:pPr>
    <w:rPr>
      <w:rFonts w:ascii="楷体_GB2312" w:hAnsi="Times New Roman" w:eastAsia="楷体_GB2312"/>
      <w:sz w:val="32"/>
      <w:szCs w:val="20"/>
    </w:rPr>
  </w:style>
  <w:style w:type="paragraph" w:styleId="10">
    <w:name w:val="envelope return"/>
    <w:basedOn w:val="1"/>
    <w:qFormat/>
    <w:uiPriority w:val="0"/>
    <w:pPr>
      <w:snapToGrid w:val="0"/>
    </w:pPr>
    <w:rPr>
      <w:rFonts w:ascii="Arial" w:hAnsi="Arial" w:cs="Arial"/>
      <w:sz w:val="21"/>
      <w:szCs w:val="24"/>
    </w:rPr>
  </w:style>
  <w:style w:type="paragraph" w:styleId="11">
    <w:name w:val="Plain Text"/>
    <w:basedOn w:val="1"/>
    <w:qFormat/>
    <w:uiPriority w:val="0"/>
    <w:rPr>
      <w:rFonts w:ascii="宋体" w:hAnsi="Courier New" w:eastAsia="宋体" w:cs="Times New Roman"/>
      <w:szCs w:val="22"/>
    </w:rPr>
  </w:style>
  <w:style w:type="paragraph" w:styleId="12">
    <w:name w:val="Date"/>
    <w:basedOn w:val="1"/>
    <w:next w:val="1"/>
    <w:qFormat/>
    <w:uiPriority w:val="0"/>
    <w:rPr>
      <w:rFonts w:ascii="Times New Roman" w:hAnsi="Times New Roman"/>
      <w:b/>
      <w:sz w:val="28"/>
      <w:szCs w:val="20"/>
    </w:rPr>
  </w:style>
  <w:style w:type="paragraph" w:styleId="13">
    <w:name w:val="Body Text Indent 2"/>
    <w:basedOn w:val="1"/>
    <w:qFormat/>
    <w:uiPriority w:val="0"/>
    <w:pPr>
      <w:ind w:left="630" w:firstLine="645"/>
    </w:pPr>
    <w:rPr>
      <w:rFonts w:ascii="Arial" w:hAnsi="Arial" w:eastAsia="仿宋_GB2312"/>
      <w:sz w:val="32"/>
      <w:szCs w:val="20"/>
    </w:rPr>
  </w:style>
  <w:style w:type="paragraph" w:styleId="14">
    <w:name w:val="footer"/>
    <w:basedOn w:val="1"/>
    <w:unhideWhenUsed/>
    <w:qFormat/>
    <w:uiPriority w:val="0"/>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uiPriority w:val="0"/>
    <w:pPr>
      <w:ind w:left="420" w:leftChars="200"/>
    </w:p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index 1"/>
    <w:basedOn w:val="1"/>
    <w:next w:val="1"/>
    <w:qFormat/>
    <w:uiPriority w:val="0"/>
    <w:rPr>
      <w:rFonts w:ascii="宋体" w:hAnsi="宋体"/>
      <w:b/>
      <w:bCs/>
    </w:rPr>
  </w:style>
  <w:style w:type="paragraph" w:styleId="20">
    <w:name w:val="Body Text First Indent"/>
    <w:basedOn w:val="8"/>
    <w:qFormat/>
    <w:uiPriority w:val="0"/>
    <w:pPr>
      <w:adjustRightInd w:val="0"/>
      <w:spacing w:line="360" w:lineRule="auto"/>
      <w:ind w:right="-24" w:rightChars="-10" w:firstLine="425" w:firstLineChars="225"/>
    </w:pPr>
    <w:rPr>
      <w:rFonts w:ascii="Arial" w:hAnsi="Arial" w:eastAsia="仿宋_GB2312" w:cs="Arial"/>
      <w:sz w:val="24"/>
      <w:szCs w:val="32"/>
    </w:rPr>
  </w:style>
  <w:style w:type="paragraph" w:styleId="21">
    <w:name w:val="Body Text First Indent 2"/>
    <w:basedOn w:val="9"/>
    <w:qFormat/>
    <w:uiPriority w:val="0"/>
    <w:pPr>
      <w:spacing w:after="120" w:afterLines="0" w:line="240" w:lineRule="auto"/>
      <w:ind w:left="420" w:leftChars="200"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333333"/>
      <w:u w:val="none"/>
    </w:rPr>
  </w:style>
  <w:style w:type="character" w:styleId="26">
    <w:name w:val="HTML Definition"/>
    <w:basedOn w:val="24"/>
    <w:qFormat/>
    <w:uiPriority w:val="0"/>
  </w:style>
  <w:style w:type="character" w:styleId="27">
    <w:name w:val="HTML Typewriter"/>
    <w:basedOn w:val="24"/>
    <w:qFormat/>
    <w:uiPriority w:val="0"/>
    <w:rPr>
      <w:rFonts w:ascii="monospace" w:hAnsi="monospace" w:eastAsia="monospace" w:cs="monospace"/>
      <w:sz w:val="20"/>
    </w:rPr>
  </w:style>
  <w:style w:type="character" w:styleId="28">
    <w:name w:val="HTML Acronym"/>
    <w:basedOn w:val="24"/>
    <w:qFormat/>
    <w:uiPriority w:val="0"/>
  </w:style>
  <w:style w:type="character" w:styleId="29">
    <w:name w:val="HTML Variable"/>
    <w:basedOn w:val="24"/>
    <w:qFormat/>
    <w:uiPriority w:val="0"/>
  </w:style>
  <w:style w:type="character" w:styleId="30">
    <w:name w:val="Hyperlink"/>
    <w:basedOn w:val="24"/>
    <w:qFormat/>
    <w:uiPriority w:val="0"/>
    <w:rPr>
      <w:color w:val="333333"/>
      <w:u w:val="none"/>
    </w:rPr>
  </w:style>
  <w:style w:type="character" w:styleId="31">
    <w:name w:val="HTML Code"/>
    <w:basedOn w:val="24"/>
    <w:qFormat/>
    <w:uiPriority w:val="0"/>
    <w:rPr>
      <w:rFonts w:hint="default" w:ascii="monospace" w:hAnsi="monospace" w:eastAsia="monospace" w:cs="monospace"/>
      <w:sz w:val="20"/>
    </w:rPr>
  </w:style>
  <w:style w:type="character" w:styleId="32">
    <w:name w:val="HTML Cite"/>
    <w:basedOn w:val="24"/>
    <w:qFormat/>
    <w:uiPriority w:val="0"/>
  </w:style>
  <w:style w:type="character" w:styleId="33">
    <w:name w:val="HTML Keyboard"/>
    <w:basedOn w:val="24"/>
    <w:qFormat/>
    <w:uiPriority w:val="0"/>
    <w:rPr>
      <w:rFonts w:hint="default" w:ascii="monospace" w:hAnsi="monospace" w:eastAsia="monospace" w:cs="monospace"/>
      <w:sz w:val="20"/>
    </w:rPr>
  </w:style>
  <w:style w:type="character" w:styleId="34">
    <w:name w:val="HTML Sample"/>
    <w:basedOn w:val="24"/>
    <w:qFormat/>
    <w:uiPriority w:val="0"/>
    <w:rPr>
      <w:rFonts w:hint="default" w:ascii="monospace" w:hAnsi="monospace" w:eastAsia="monospace" w:cs="monospace"/>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Table Text"/>
    <w:basedOn w:val="1"/>
    <w:semiHidden/>
    <w:qFormat/>
    <w:uiPriority w:val="0"/>
    <w:rPr>
      <w:rFonts w:ascii="宋体" w:hAnsi="宋体" w:eastAsia="宋体" w:cs="宋体"/>
      <w:sz w:val="36"/>
      <w:szCs w:val="36"/>
      <w:lang w:val="en-US" w:eastAsia="en-US" w:bidi="ar-SA"/>
    </w:rPr>
  </w:style>
  <w:style w:type="paragraph" w:customStyle="1" w:styleId="37">
    <w:name w:val="p0"/>
    <w:basedOn w:val="1"/>
    <w:qFormat/>
    <w:uiPriority w:val="0"/>
    <w:pPr>
      <w:widowControl/>
    </w:pPr>
    <w:rPr>
      <w:rFonts w:ascii="Times New Roman" w:hAnsi="Times New Roman"/>
      <w:kern w:val="0"/>
      <w:szCs w:val="21"/>
    </w:rPr>
  </w:style>
  <w:style w:type="paragraph" w:customStyle="1" w:styleId="38">
    <w:name w:val="H2"/>
    <w:basedOn w:val="5"/>
    <w:next w:val="1"/>
    <w:qFormat/>
    <w:uiPriority w:val="0"/>
    <w:pPr>
      <w:keepNext w:val="0"/>
      <w:keepLines w:val="0"/>
      <w:spacing w:before="0" w:after="0" w:line="360" w:lineRule="auto"/>
      <w:jc w:val="center"/>
    </w:pPr>
    <w:rPr>
      <w:rFonts w:ascii="宋体" w:hAnsi="宋体" w:eastAsia="宋体" w:cs="Arial"/>
      <w:color w:val="000000"/>
      <w:sz w:val="21"/>
      <w:szCs w:val="21"/>
    </w:rPr>
  </w:style>
  <w:style w:type="paragraph" w:customStyle="1" w:styleId="39">
    <w:name w:val="GW-正文"/>
    <w:basedOn w:val="1"/>
    <w:qFormat/>
    <w:uiPriority w:val="0"/>
    <w:pPr>
      <w:spacing w:line="360" w:lineRule="auto"/>
      <w:ind w:firstLine="200" w:firstLineChars="200"/>
      <w:contextualSpacing/>
    </w:pPr>
    <w:rPr>
      <w:rFonts w:ascii="Calibri" w:hAnsi="Calibri" w:eastAsia="宋体" w:cs="Times New Roman"/>
      <w:szCs w:val="24"/>
      <w:lang w:val="zh-CN" w:eastAsia="zh-CN"/>
    </w:rPr>
  </w:style>
  <w:style w:type="paragraph" w:customStyle="1" w:styleId="40">
    <w:name w:val="WPSOffice手动目录 1"/>
    <w:qFormat/>
    <w:uiPriority w:val="0"/>
    <w:pPr>
      <w:ind w:leftChars="0"/>
    </w:pPr>
    <w:rPr>
      <w:rFonts w:ascii="Arial" w:hAnsi="Arial" w:eastAsia="Arial" w:cs="Arial"/>
      <w:sz w:val="20"/>
      <w:szCs w:val="20"/>
    </w:rPr>
  </w:style>
  <w:style w:type="paragraph" w:customStyle="1" w:styleId="41">
    <w:name w:val="H1"/>
    <w:basedOn w:val="4"/>
    <w:next w:val="1"/>
    <w:qFormat/>
    <w:uiPriority w:val="0"/>
    <w:pPr>
      <w:spacing w:line="600" w:lineRule="exact"/>
      <w:jc w:val="center"/>
    </w:pPr>
    <w:rPr>
      <w:rFonts w:ascii="宋体" w:hAnsi="宋体" w:eastAsia="黑体" w:cs="宋体"/>
      <w:color w:val="000000"/>
      <w:sz w:val="32"/>
      <w:szCs w:val="32"/>
    </w:rPr>
  </w:style>
  <w:style w:type="paragraph" w:styleId="42">
    <w:name w:val="List Paragraph"/>
    <w:basedOn w:val="1"/>
    <w:qFormat/>
    <w:uiPriority w:val="34"/>
    <w:pPr>
      <w:ind w:firstLine="420" w:firstLineChars="200"/>
    </w:pPr>
  </w:style>
  <w:style w:type="paragraph" w:customStyle="1" w:styleId="43">
    <w:name w:val="Table Paragraph"/>
    <w:basedOn w:val="1"/>
    <w:qFormat/>
    <w:uiPriority w:val="1"/>
    <w:rPr>
      <w:rFonts w:ascii="宋体" w:hAnsi="宋体" w:eastAsia="宋体" w:cs="宋体"/>
      <w:lang w:val="zh-CN" w:eastAsia="zh-CN" w:bidi="zh-CN"/>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font01"/>
    <w:basedOn w:val="24"/>
    <w:qFormat/>
    <w:uiPriority w:val="0"/>
    <w:rPr>
      <w:rFonts w:ascii="Arial" w:hAnsi="Arial" w:cs="Arial"/>
      <w:color w:val="000000"/>
      <w:sz w:val="22"/>
      <w:szCs w:val="22"/>
      <w:u w:val="none"/>
    </w:rPr>
  </w:style>
  <w:style w:type="character" w:customStyle="1" w:styleId="46">
    <w:name w:val="font21"/>
    <w:basedOn w:val="24"/>
    <w:qFormat/>
    <w:uiPriority w:val="0"/>
    <w:rPr>
      <w:rFonts w:ascii="宋体" w:hAnsi="宋体" w:eastAsia="宋体" w:cs="宋体"/>
      <w:color w:val="000000"/>
      <w:sz w:val="14"/>
      <w:szCs w:val="14"/>
      <w:u w:val="none"/>
    </w:rPr>
  </w:style>
  <w:style w:type="character" w:customStyle="1" w:styleId="47">
    <w:name w:val="font41"/>
    <w:basedOn w:val="24"/>
    <w:qFormat/>
    <w:uiPriority w:val="0"/>
    <w:rPr>
      <w:rFonts w:ascii="宋体" w:hAnsi="宋体" w:eastAsia="宋体" w:cs="宋体"/>
      <w:color w:val="0017AB"/>
      <w:sz w:val="14"/>
      <w:szCs w:val="14"/>
      <w:u w:val="none"/>
    </w:rPr>
  </w:style>
  <w:style w:type="paragraph" w:customStyle="1" w:styleId="48">
    <w:name w:val="_Style 2"/>
    <w:basedOn w:val="3"/>
    <w:unhideWhenUsed/>
    <w:qFormat/>
    <w:uiPriority w:val="39"/>
    <w:pPr>
      <w:keepNext/>
      <w:keepLines/>
      <w:spacing w:before="240" w:beforeAutospacing="0" w:after="0" w:afterAutospacing="0" w:line="259" w:lineRule="auto"/>
      <w:outlineLvl w:val="9"/>
    </w:pPr>
    <w:rPr>
      <w:rFonts w:ascii="Calibri Light" w:hAnsi="Calibri Light" w:eastAsia="宋体" w:cs="Times New Roman"/>
      <w:b w:val="0"/>
      <w:bCs w:val="0"/>
      <w:color w:val="2E74B5"/>
      <w:kern w:val="0"/>
      <w:sz w:val="32"/>
      <w:szCs w:val="32"/>
    </w:rPr>
  </w:style>
  <w:style w:type="paragraph" w:customStyle="1" w:styleId="49">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50">
    <w:name w:val="last-child2"/>
    <w:basedOn w:val="24"/>
    <w:qFormat/>
    <w:uiPriority w:val="0"/>
  </w:style>
  <w:style w:type="character" w:customStyle="1" w:styleId="51">
    <w:name w:val="hover14"/>
    <w:basedOn w:val="24"/>
    <w:qFormat/>
    <w:uiPriority w:val="0"/>
    <w:rPr>
      <w:color w:val="5FB878"/>
    </w:rPr>
  </w:style>
  <w:style w:type="character" w:customStyle="1" w:styleId="52">
    <w:name w:val="hover15"/>
    <w:basedOn w:val="24"/>
    <w:qFormat/>
    <w:uiPriority w:val="0"/>
    <w:rPr>
      <w:color w:val="5FB878"/>
    </w:rPr>
  </w:style>
  <w:style w:type="character" w:customStyle="1" w:styleId="53">
    <w:name w:val="hover16"/>
    <w:basedOn w:val="24"/>
    <w:qFormat/>
    <w:uiPriority w:val="0"/>
    <w:rPr>
      <w:color w:val="FFFFFF"/>
    </w:rPr>
  </w:style>
  <w:style w:type="character" w:customStyle="1" w:styleId="54">
    <w:name w:val="layui-laydate-preview"/>
    <w:basedOn w:val="24"/>
    <w:qFormat/>
    <w:uiPriority w:val="0"/>
  </w:style>
  <w:style w:type="character" w:customStyle="1" w:styleId="55">
    <w:name w:val="layui-this4"/>
    <w:basedOn w:val="24"/>
    <w:qFormat/>
    <w:uiPriority w:val="0"/>
    <w:rPr>
      <w:bdr w:val="single" w:color="EEEEEE" w:sz="6" w:space="0"/>
      <w:shd w:val="clear" w:fill="FFFFFF"/>
    </w:rPr>
  </w:style>
  <w:style w:type="character" w:customStyle="1" w:styleId="56">
    <w:name w:val="layui-laypage-curr"/>
    <w:basedOn w:val="24"/>
    <w:qFormat/>
    <w:uiPriority w:val="0"/>
  </w:style>
  <w:style w:type="character" w:customStyle="1" w:styleId="57">
    <w:name w:val="first-child1"/>
    <w:basedOn w:val="24"/>
    <w:qFormat/>
    <w:uiPriority w:val="0"/>
  </w:style>
  <w:style w:type="character" w:customStyle="1" w:styleId="58">
    <w:name w:val="last-child"/>
    <w:basedOn w:val="24"/>
    <w:qFormat/>
    <w:uiPriority w:val="0"/>
  </w:style>
  <w:style w:type="paragraph" w:customStyle="1" w:styleId="59">
    <w:name w:val="无间隔1"/>
    <w:basedOn w:val="1"/>
    <w:qFormat/>
    <w:uiPriority w:val="99"/>
    <w:pPr>
      <w:spacing w:line="400" w:lineRule="exact"/>
    </w:pPr>
  </w:style>
  <w:style w:type="character" w:customStyle="1" w:styleId="60">
    <w:name w:val="font31"/>
    <w:basedOn w:val="24"/>
    <w:qFormat/>
    <w:uiPriority w:val="0"/>
    <w:rPr>
      <w:rFonts w:hint="eastAsia" w:ascii="宋体" w:hAnsi="宋体" w:eastAsia="宋体" w:cs="宋体"/>
      <w:color w:val="000000"/>
      <w:sz w:val="22"/>
      <w:szCs w:val="22"/>
      <w:u w:val="single"/>
    </w:rPr>
  </w:style>
  <w:style w:type="paragraph" w:customStyle="1" w:styleId="61">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12371</Words>
  <Characters>13209</Characters>
  <TotalTime>47</TotalTime>
  <ScaleCrop>false</ScaleCrop>
  <LinksUpToDate>false</LinksUpToDate>
  <CharactersWithSpaces>13864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2022-05-05T15:53:00Z</dcterms:created>
  <dc:creator>asus</dc:creator>
  <cp:lastModifiedBy>W</cp:lastModifiedBy>
  <cp:lastPrinted>2024-12-13T06:41:00Z</cp:lastPrinted>
  <dcterms:modified xsi:type="dcterms:W3CDTF">2025-04-30T01:51:06Z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2024-06-13T11:23:48Z</vt:filetime>
  </property>
  <property fmtid="{D5CDD505-2E9C-101B-9397-08002B2CF9AE}" pid="4" name="KSOProductBuildVer">
    <vt:lpwstr>2052-12.1.0.20784</vt:lpwstr>
  </property>
  <property fmtid="{D5CDD505-2E9C-101B-9397-08002B2CF9AE}" pid="5" name="ICV">
    <vt:lpwstr>04F18D3956D745019431369B4F0F1A6A_13</vt:lpwstr>
  </property>
  <property fmtid="{D5CDD505-2E9C-101B-9397-08002B2CF9AE}" pid="6" name="KSOTemplateDocerSaveRecord">
    <vt:lpwstr>eyJoZGlkIjoiMzY5MjQwZWRmN2NiYjQ4Mzc4M2RlYjdhNjdkY2YyODYiLCJ1c2VySWQiOiIxMzQyNDUzNTg4In0=</vt:lpwstr>
  </property>
</Properties>
</file>