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1C96">
      <w:pPr>
        <w:spacing w:line="80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皖北卫生职业学院分类、普高招生宣传采购项目</w:t>
      </w:r>
      <w:r>
        <w:rPr>
          <w:rFonts w:hint="eastAsia" w:ascii="宋体" w:hAnsi="宋体" w:cs="宋体"/>
          <w:b/>
          <w:bCs/>
          <w:color w:val="000000" w:themeColor="text1"/>
          <w:sz w:val="36"/>
          <w:szCs w:val="36"/>
          <w:lang w:eastAsia="zh-CN"/>
          <w14:textFill>
            <w14:solidFill>
              <w14:schemeClr w14:val="tx1"/>
            </w14:solidFill>
          </w14:textFill>
        </w:rPr>
        <w:t>（二次）</w:t>
      </w:r>
    </w:p>
    <w:p w14:paraId="6700FDAA">
      <w:pPr>
        <w:spacing w:line="800" w:lineRule="exact"/>
        <w:jc w:val="center"/>
        <w:rPr>
          <w:rFonts w:ascii="宋体" w:hAnsi="宋体" w:cs="宋体"/>
          <w:b/>
          <w:bCs/>
          <w:color w:val="000000" w:themeColor="text1"/>
          <w:sz w:val="36"/>
          <w:szCs w:val="36"/>
          <w14:textFill>
            <w14:solidFill>
              <w14:schemeClr w14:val="tx1"/>
            </w14:solidFill>
          </w14:textFill>
        </w:rPr>
      </w:pPr>
    </w:p>
    <w:p w14:paraId="4DB7AC4C">
      <w:pPr>
        <w:spacing w:line="800" w:lineRule="exact"/>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项目编号：</w:t>
      </w:r>
      <w:r>
        <w:rPr>
          <w:rFonts w:hint="eastAsia" w:ascii="宋体" w:hAnsi="宋体" w:cs="宋体"/>
          <w:b/>
          <w:bCs/>
          <w:color w:val="000000" w:themeColor="text1"/>
          <w:sz w:val="36"/>
          <w:szCs w:val="36"/>
          <w:lang w:val="en-US" w:eastAsia="zh-CN"/>
          <w14:textFill>
            <w14:solidFill>
              <w14:schemeClr w14:val="tx1"/>
            </w14:solidFill>
          </w14:textFill>
        </w:rPr>
        <w:t>DZSJ2025-001重1</w:t>
      </w:r>
    </w:p>
    <w:p w14:paraId="2C683A24">
      <w:pPr>
        <w:spacing w:line="800" w:lineRule="exact"/>
        <w:jc w:val="center"/>
        <w:rPr>
          <w:rFonts w:ascii="黑体" w:eastAsia="黑体"/>
          <w:b/>
          <w:bCs/>
          <w:color w:val="000000" w:themeColor="text1"/>
          <w:sz w:val="52"/>
          <w:szCs w:val="52"/>
          <w14:textFill>
            <w14:solidFill>
              <w14:schemeClr w14:val="tx1"/>
            </w14:solidFill>
          </w14:textFill>
        </w:rPr>
      </w:pPr>
    </w:p>
    <w:p w14:paraId="51ACC079">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竞</w:t>
      </w:r>
    </w:p>
    <w:p w14:paraId="1C790CBC">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争</w:t>
      </w:r>
    </w:p>
    <w:p w14:paraId="371FB46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性</w:t>
      </w:r>
    </w:p>
    <w:p w14:paraId="67798F0A">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磋</w:t>
      </w:r>
    </w:p>
    <w:p w14:paraId="1CBAC58E">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商</w:t>
      </w:r>
    </w:p>
    <w:p w14:paraId="54EEC88F">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文</w:t>
      </w:r>
    </w:p>
    <w:p w14:paraId="78436742">
      <w:pPr>
        <w:spacing w:line="800" w:lineRule="exact"/>
        <w:jc w:val="center"/>
        <w:rPr>
          <w:rFonts w:ascii="黑体" w:eastAsia="黑体"/>
          <w:b/>
          <w:bCs/>
          <w:color w:val="000000" w:themeColor="text1"/>
          <w:sz w:val="52"/>
          <w:szCs w:val="52"/>
          <w14:textFill>
            <w14:solidFill>
              <w14:schemeClr w14:val="tx1"/>
            </w14:solidFill>
          </w14:textFill>
        </w:rPr>
      </w:pPr>
      <w:r>
        <w:rPr>
          <w:rFonts w:hint="eastAsia" w:ascii="黑体" w:eastAsia="黑体"/>
          <w:b/>
          <w:bCs/>
          <w:color w:val="000000" w:themeColor="text1"/>
          <w:sz w:val="52"/>
          <w:szCs w:val="52"/>
          <w14:textFill>
            <w14:solidFill>
              <w14:schemeClr w14:val="tx1"/>
            </w14:solidFill>
          </w14:textFill>
        </w:rPr>
        <w:t>件</w:t>
      </w:r>
    </w:p>
    <w:p w14:paraId="3F6E8F3C">
      <w:pPr>
        <w:pStyle w:val="2"/>
        <w:ind w:firstLine="560"/>
        <w:rPr>
          <w:rFonts w:ascii="宋体" w:hAnsi="宋体" w:eastAsia="宋体" w:cs="宋体"/>
          <w:color w:val="000000" w:themeColor="text1"/>
          <w14:textFill>
            <w14:solidFill>
              <w14:schemeClr w14:val="tx1"/>
            </w14:solidFill>
          </w14:textFill>
        </w:rPr>
      </w:pPr>
    </w:p>
    <w:p w14:paraId="698130BC">
      <w:pPr>
        <w:jc w:val="center"/>
        <w:rPr>
          <w:rFonts w:ascii="宋体" w:hAnsi="宋体" w:cs="宋体"/>
          <w:color w:val="000000" w:themeColor="text1"/>
          <w:sz w:val="24"/>
          <w:szCs w:val="24"/>
          <w14:textFill>
            <w14:solidFill>
              <w14:schemeClr w14:val="tx1"/>
            </w14:solidFill>
          </w14:textFill>
        </w:rPr>
      </w:pPr>
    </w:p>
    <w:p w14:paraId="662321FD">
      <w:pPr>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采购人：皖北卫生职业学院（盖章）</w:t>
      </w:r>
    </w:p>
    <w:p w14:paraId="2A6ECFFE">
      <w:pPr>
        <w:ind w:firstLine="843" w:firstLineChars="300"/>
        <w:rPr>
          <w:rFonts w:ascii="宋体" w:hAnsi="宋体" w:cs="宋体"/>
          <w:b/>
          <w:bCs/>
          <w:color w:val="000000" w:themeColor="text1"/>
          <w:sz w:val="28"/>
          <w:szCs w:val="28"/>
          <w14:textFill>
            <w14:solidFill>
              <w14:schemeClr w14:val="tx1"/>
            </w14:solidFill>
          </w14:textFill>
        </w:rPr>
      </w:pPr>
    </w:p>
    <w:p w14:paraId="4D1896C4">
      <w:pPr>
        <w:ind w:firstLine="843" w:firstLineChars="300"/>
        <w:rPr>
          <w:rFonts w:ascii="宋体" w:hAnsi="宋体" w:cs="宋体"/>
          <w:b/>
          <w:bCs/>
          <w:color w:val="000000" w:themeColor="text1"/>
          <w:sz w:val="28"/>
          <w:szCs w:val="28"/>
          <w14:textFill>
            <w14:solidFill>
              <w14:schemeClr w14:val="tx1"/>
            </w14:solidFill>
          </w14:textFill>
        </w:rPr>
      </w:pPr>
    </w:p>
    <w:p w14:paraId="6B3EF91B">
      <w:pPr>
        <w:ind w:firstLine="1968" w:firstLineChars="7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代理机构：</w:t>
      </w:r>
      <w:r>
        <w:rPr>
          <w:rFonts w:hint="eastAsia" w:ascii="宋体" w:hAnsi="宋体" w:cs="宋体"/>
          <w:b/>
          <w:bCs/>
          <w:color w:val="000000" w:themeColor="text1"/>
          <w:sz w:val="28"/>
          <w:szCs w:val="28"/>
          <w:lang w:val="en-US" w:eastAsia="zh-CN"/>
          <w14:textFill>
            <w14:solidFill>
              <w14:schemeClr w14:val="tx1"/>
            </w14:solidFill>
          </w14:textFill>
        </w:rPr>
        <w:t>大洲设计咨询集团有限公司</w:t>
      </w:r>
      <w:r>
        <w:rPr>
          <w:rFonts w:hint="eastAsia" w:ascii="宋体" w:hAnsi="宋体" w:cs="宋体"/>
          <w:b/>
          <w:bCs/>
          <w:color w:val="000000" w:themeColor="text1"/>
          <w:sz w:val="28"/>
          <w:szCs w:val="28"/>
          <w14:textFill>
            <w14:solidFill>
              <w14:schemeClr w14:val="tx1"/>
            </w14:solidFill>
          </w14:textFill>
        </w:rPr>
        <w:t>（盖章）</w:t>
      </w:r>
    </w:p>
    <w:p w14:paraId="13DDB81D">
      <w:pPr>
        <w:pStyle w:val="2"/>
        <w:ind w:firstLine="640"/>
        <w:rPr>
          <w:b/>
          <w:bCs/>
          <w:color w:val="000000" w:themeColor="text1"/>
          <w:sz w:val="32"/>
          <w:szCs w:val="22"/>
          <w14:textFill>
            <w14:solidFill>
              <w14:schemeClr w14:val="tx1"/>
            </w14:solidFill>
          </w14:textFill>
        </w:rPr>
      </w:pPr>
    </w:p>
    <w:p w14:paraId="2AEDBE73">
      <w:pPr>
        <w:spacing w:line="360" w:lineRule="auto"/>
        <w:ind w:right="42" w:rightChars="2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w:t>
      </w:r>
      <w:r>
        <w:rPr>
          <w:rFonts w:hint="eastAsia" w:ascii="宋体" w:hAnsi="宋体" w:cs="宋体"/>
          <w:b/>
          <w:bCs/>
          <w:color w:val="000000" w:themeColor="text1"/>
          <w:sz w:val="32"/>
          <w:szCs w:val="32"/>
          <w:lang w:val="en-US" w:eastAsia="zh-CN"/>
          <w14:textFill>
            <w14:solidFill>
              <w14:schemeClr w14:val="tx1"/>
            </w14:solidFill>
          </w14:textFill>
        </w:rPr>
        <w:t>25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02</w:t>
      </w:r>
      <w:r>
        <w:rPr>
          <w:rFonts w:hint="eastAsia" w:ascii="宋体" w:hAnsi="宋体" w:cs="宋体"/>
          <w:b/>
          <w:bCs/>
          <w:color w:val="000000" w:themeColor="text1"/>
          <w:sz w:val="32"/>
          <w:szCs w:val="32"/>
          <w14:textFill>
            <w14:solidFill>
              <w14:schemeClr w14:val="tx1"/>
            </w14:solidFill>
          </w14:textFill>
        </w:rPr>
        <w:t>月</w:t>
      </w:r>
    </w:p>
    <w:p w14:paraId="4A3EB792">
      <w:pPr>
        <w:spacing w:line="360" w:lineRule="exact"/>
        <w:ind w:firstLine="803" w:firstLineChars="200"/>
        <w:jc w:val="center"/>
        <w:rPr>
          <w:rFonts w:ascii="黑体" w:hAnsi="黑体" w:eastAsia="黑体"/>
          <w:b/>
          <w:bCs/>
          <w:color w:val="000000" w:themeColor="text1"/>
          <w:sz w:val="40"/>
          <w:szCs w:val="40"/>
          <w14:textFill>
            <w14:solidFill>
              <w14:schemeClr w14:val="tx1"/>
            </w14:solidFill>
          </w14:textFill>
        </w:rPr>
        <w:sectPr>
          <w:footerReference r:id="rId3" w:type="default"/>
          <w:pgSz w:w="11910" w:h="16850"/>
          <w:pgMar w:top="1380" w:right="900" w:bottom="1480" w:left="1440" w:header="1046" w:footer="1218" w:gutter="0"/>
          <w:cols w:space="720" w:num="1"/>
        </w:sectPr>
      </w:pPr>
      <w:bookmarkStart w:id="0" w:name="_Toc511899286"/>
      <w:bookmarkEnd w:id="0"/>
      <w:bookmarkStart w:id="1" w:name="_Toc272218544"/>
    </w:p>
    <w:p w14:paraId="6773686C">
      <w:pPr>
        <w:spacing w:line="360" w:lineRule="exact"/>
        <w:ind w:firstLine="723" w:firstLineChars="200"/>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  录</w:t>
      </w:r>
    </w:p>
    <w:p w14:paraId="7DF2461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fldChar w:fldCharType="begin"/>
      </w:r>
      <w:r>
        <w:rPr>
          <w:rFonts w:hint="eastAsia" w:ascii="宋体" w:hAnsi="宋体" w:eastAsia="宋体" w:cs="宋体"/>
          <w:color w:val="000000" w:themeColor="text1"/>
          <w:lang w:val="zh-CN"/>
          <w14:textFill>
            <w14:solidFill>
              <w14:schemeClr w14:val="tx1"/>
            </w14:solidFill>
          </w14:textFill>
        </w:rPr>
        <w:instrText xml:space="preserve"> TOC \o "1-3" \h \z \u </w:instrText>
      </w:r>
      <w:r>
        <w:rPr>
          <w:rFonts w:hint="eastAsia" w:ascii="宋体" w:hAnsi="宋体" w:eastAsia="宋体" w:cs="宋体"/>
          <w:color w:val="000000" w:themeColor="text1"/>
          <w:lang w:val="zh-CN"/>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"_Toc9403"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第一章 竞争性磋商公告</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_Toc9403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8B76D09">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"_Toc31011"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第二章 供应商须知前附表</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_Toc31011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7DA8DDB2">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"_Toc18529"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第三章 采购需求</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_Toc18529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6</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29F64C5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"_Toc55"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第四章 实质性响应审查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_Toc55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8</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15D92D1C">
      <w:pPr>
        <w:pStyle w:val="19"/>
        <w:tabs>
          <w:tab w:val="right" w:leader="dot" w:pos="9570"/>
        </w:tabs>
        <w:ind w:left="420"/>
        <w:rPr>
          <w:rFonts w:hint="eastAsia" w:ascii="宋体" w:hAnsi="宋体" w:eastAsia="宋体" w:cs="宋体"/>
          <w:b w:val="0"/>
          <w:bCs w:val="0"/>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第五章 评分办法</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lang w:val="en-US" w:eastAsia="zh-CN"/>
          <w14:textFill>
            <w14:solidFill>
              <w14:schemeClr w14:val="tx1"/>
            </w14:solidFill>
          </w14:textFill>
        </w:rPr>
        <w:t>1</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lang w:val="en-US" w:eastAsia="zh-CN"/>
          <w14:textFill>
            <w14:solidFill>
              <w14:schemeClr w14:val="tx1"/>
            </w14:solidFill>
          </w14:textFill>
        </w:rPr>
        <w:t>1</w:t>
      </w:r>
    </w:p>
    <w:p w14:paraId="114BD30D">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"_Toc17460"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第六章 供应商须知</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_Toc17460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14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C0C7C76">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"_Toc16784"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szCs w:val="32"/>
          <w14:textFill>
            <w14:solidFill>
              <w14:schemeClr w14:val="tx1"/>
            </w14:solidFill>
          </w14:textFill>
        </w:rPr>
        <w:t>第七章 合同条款及格式</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_Toc16784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3FA7FB00">
      <w:pPr>
        <w:pStyle w:val="19"/>
        <w:tabs>
          <w:tab w:val="right" w:leader="dot" w:pos="9570"/>
        </w:tabs>
        <w:ind w:left="420"/>
        <w:rPr>
          <w:rFonts w:ascii="宋体" w:hAnsi="宋体" w:eastAsia="宋体" w:cs="宋体"/>
          <w:b w:val="0"/>
          <w:bCs w:val="0"/>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"_Toc1671" </w:instrText>
      </w:r>
      <w:r>
        <w:rPr>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第八章 磋商响应文件</w:t>
      </w:r>
      <w:r>
        <w:rPr>
          <w:rFonts w:hint="eastAsia" w:ascii="宋体" w:hAnsi="宋体" w:eastAsia="宋体" w:cs="宋体"/>
          <w:b w:val="0"/>
          <w:bCs w:val="0"/>
          <w:color w:val="000000" w:themeColor="text1"/>
          <w14:textFill>
            <w14:solidFill>
              <w14:schemeClr w14:val="tx1"/>
            </w14:solidFill>
          </w14:textFill>
        </w:rPr>
        <w:tab/>
      </w:r>
      <w:r>
        <w:rPr>
          <w:rFonts w:hint="eastAsia" w:ascii="宋体" w:hAnsi="宋体" w:eastAsia="宋体" w:cs="宋体"/>
          <w:b w:val="0"/>
          <w:bCs w:val="0"/>
          <w:color w:val="000000" w:themeColor="text1"/>
          <w14:textFill>
            <w14:solidFill>
              <w14:schemeClr w14:val="tx1"/>
            </w14:solidFill>
          </w14:textFill>
        </w:rPr>
        <w:fldChar w:fldCharType="begin"/>
      </w:r>
      <w:r>
        <w:rPr>
          <w:rFonts w:hint="eastAsia" w:ascii="宋体" w:hAnsi="宋体" w:eastAsia="宋体" w:cs="宋体"/>
          <w:b w:val="0"/>
          <w:bCs w:val="0"/>
          <w:color w:val="000000" w:themeColor="text1"/>
          <w14:textFill>
            <w14:solidFill>
              <w14:schemeClr w14:val="tx1"/>
            </w14:solidFill>
          </w14:textFill>
        </w:rPr>
        <w:instrText xml:space="preserve"> PAGEREF _Toc1671 </w:instrText>
      </w:r>
      <w:r>
        <w:rPr>
          <w:rFonts w:hint="eastAsia" w:ascii="宋体" w:hAnsi="宋体" w:eastAsia="宋体" w:cs="宋体"/>
          <w:b w:val="0"/>
          <w:bCs w:val="0"/>
          <w:color w:val="000000" w:themeColor="text1"/>
          <w14:textFill>
            <w14:solidFill>
              <w14:schemeClr w14:val="tx1"/>
            </w14:solidFill>
          </w14:textFill>
        </w:rPr>
        <w:fldChar w:fldCharType="separate"/>
      </w:r>
      <w:r>
        <w:rPr>
          <w:rFonts w:hint="eastAsia" w:ascii="宋体" w:hAnsi="宋体" w:eastAsia="宋体" w:cs="宋体"/>
          <w:b w:val="0"/>
          <w:bCs w:val="0"/>
          <w:color w:val="000000" w:themeColor="text1"/>
          <w14:textFill>
            <w14:solidFill>
              <w14:schemeClr w14:val="tx1"/>
            </w14:solidFill>
          </w14:textFill>
        </w:rPr>
        <w:t>24</w:t>
      </w:r>
      <w:r>
        <w:rPr>
          <w:rFonts w:hint="eastAsia" w:ascii="宋体" w:hAnsi="宋体" w:eastAsia="宋体" w:cs="宋体"/>
          <w:b w:val="0"/>
          <w:bCs w:val="0"/>
          <w:color w:val="000000" w:themeColor="text1"/>
          <w14:textFill>
            <w14:solidFill>
              <w14:schemeClr w14:val="tx1"/>
            </w14:solidFill>
          </w14:textFill>
        </w:rPr>
        <w:fldChar w:fldCharType="end"/>
      </w:r>
      <w:r>
        <w:rPr>
          <w:rFonts w:hint="eastAsia" w:ascii="宋体" w:hAnsi="宋体" w:eastAsia="宋体" w:cs="宋体"/>
          <w:b w:val="0"/>
          <w:bCs w:val="0"/>
          <w:color w:val="000000" w:themeColor="text1"/>
          <w14:textFill>
            <w14:solidFill>
              <w14:schemeClr w14:val="tx1"/>
            </w14:solidFill>
          </w14:textFill>
        </w:rPr>
        <w:fldChar w:fldCharType="end"/>
      </w:r>
    </w:p>
    <w:p w14:paraId="010C32DA">
      <w:pPr>
        <w:pStyle w:val="12"/>
        <w:tabs>
          <w:tab w:val="right" w:leader="dot" w:pos="9570"/>
        </w:tabs>
        <w:ind w:left="840"/>
        <w:rPr>
          <w:rFonts w:ascii="宋体" w:hAnsi="宋体" w:cs="宋体"/>
          <w:color w:val="000000" w:themeColor="text1"/>
          <w14:textFill>
            <w14:solidFill>
              <w14:schemeClr w14:val="tx1"/>
            </w14:solidFill>
          </w14:textFill>
        </w:rPr>
      </w:pPr>
    </w:p>
    <w:p w14:paraId="4380E6DD">
      <w:pPr>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fldChar w:fldCharType="end"/>
      </w:r>
    </w:p>
    <w:p w14:paraId="5301D251">
      <w:pPr>
        <w:pStyle w:val="31"/>
        <w:spacing w:line="440" w:lineRule="exact"/>
        <w:rPr>
          <w:rFonts w:eastAsia="宋体"/>
          <w:color w:val="000000" w:themeColor="text1"/>
          <w14:textFill>
            <w14:solidFill>
              <w14:schemeClr w14:val="tx1"/>
            </w14:solidFill>
          </w14:textFill>
        </w:rPr>
        <w:sectPr>
          <w:footerReference r:id="rId4" w:type="default"/>
          <w:pgSz w:w="11910" w:h="16850"/>
          <w:pgMar w:top="1380" w:right="900" w:bottom="1480" w:left="1440" w:header="1046" w:footer="1218" w:gutter="0"/>
          <w:pgNumType w:start="1"/>
          <w:cols w:space="720" w:num="1"/>
        </w:sectPr>
      </w:pPr>
    </w:p>
    <w:p w14:paraId="7585947D">
      <w:pPr>
        <w:pStyle w:val="31"/>
        <w:spacing w:line="440" w:lineRule="exact"/>
        <w:rPr>
          <w:rFonts w:eastAsia="宋体"/>
          <w:color w:val="auto"/>
        </w:rPr>
      </w:pPr>
      <w:bookmarkStart w:id="2" w:name="_Toc9403"/>
      <w:r>
        <w:rPr>
          <w:rFonts w:hint="eastAsia" w:eastAsia="宋体"/>
          <w:color w:val="auto"/>
        </w:rPr>
        <w:t>第一章 竞争性磋商公告</w:t>
      </w:r>
      <w:bookmarkEnd w:id="1"/>
      <w:bookmarkEnd w:id="2"/>
    </w:p>
    <w:p w14:paraId="26C28B6E">
      <w:pPr>
        <w:spacing w:line="440" w:lineRule="exact"/>
        <w:ind w:firstLine="422" w:firstLineChars="200"/>
        <w:rPr>
          <w:rFonts w:ascii="宋体" w:hAnsi="宋体" w:cs="宋体"/>
          <w:color w:val="auto"/>
        </w:rPr>
      </w:pPr>
      <w:r>
        <w:rPr>
          <w:rFonts w:hint="eastAsia" w:ascii="宋体" w:hAnsi="宋体" w:cs="宋体"/>
          <w:b/>
          <w:bCs/>
          <w:color w:val="auto"/>
          <w:u w:val="single"/>
          <w:lang w:val="en-US" w:eastAsia="zh-CN"/>
        </w:rPr>
        <w:t>大洲设计咨询集团有限公司</w:t>
      </w:r>
      <w:r>
        <w:rPr>
          <w:rFonts w:hint="eastAsia" w:ascii="宋体" w:hAnsi="宋体" w:cs="宋体"/>
          <w:color w:val="auto"/>
        </w:rPr>
        <w:t>受</w:t>
      </w:r>
      <w:r>
        <w:rPr>
          <w:rFonts w:hint="eastAsia" w:ascii="宋体" w:hAnsi="宋体" w:cs="宋体"/>
          <w:b/>
          <w:bCs/>
          <w:color w:val="auto"/>
          <w:u w:val="single"/>
        </w:rPr>
        <w:t>皖北卫生职业学院</w:t>
      </w:r>
      <w:r>
        <w:rPr>
          <w:rFonts w:hint="eastAsia" w:ascii="宋体" w:hAnsi="宋体" w:cs="宋体"/>
          <w:color w:val="auto"/>
        </w:rPr>
        <w:t>的委托，现对</w:t>
      </w:r>
      <w:r>
        <w:rPr>
          <w:rFonts w:hint="eastAsia" w:ascii="宋体" w:hAnsi="宋体" w:cs="宋体"/>
          <w:b/>
          <w:bCs/>
          <w:color w:val="auto"/>
          <w:u w:val="single"/>
        </w:rPr>
        <w:t>皖北卫生职业学院分类、普高招生宣传采购项目</w:t>
      </w:r>
      <w:r>
        <w:rPr>
          <w:rFonts w:hint="eastAsia" w:ascii="宋体" w:hAnsi="宋体" w:cs="宋体"/>
          <w:b/>
          <w:bCs/>
          <w:color w:val="auto"/>
          <w:u w:val="single"/>
          <w:lang w:eastAsia="zh-CN"/>
        </w:rPr>
        <w:t>（二次）</w:t>
      </w:r>
      <w:r>
        <w:rPr>
          <w:rFonts w:hint="eastAsia" w:ascii="宋体" w:hAnsi="宋体" w:cs="宋体"/>
          <w:color w:val="auto"/>
        </w:rPr>
        <w:t>进行竞争性磋商，欢迎具备条件的国内供应商参加磋商。</w:t>
      </w:r>
    </w:p>
    <w:p w14:paraId="554A9EB6">
      <w:pPr>
        <w:pStyle w:val="33"/>
        <w:jc w:val="left"/>
        <w:rPr>
          <w:rFonts w:cs="宋体"/>
          <w:color w:val="auto"/>
        </w:rPr>
      </w:pPr>
      <w:bookmarkStart w:id="3" w:name="_Toc511899287"/>
      <w:bookmarkEnd w:id="3"/>
      <w:bookmarkStart w:id="4" w:name="_Toc11370"/>
      <w:bookmarkStart w:id="5" w:name="_Toc26736"/>
      <w:r>
        <w:rPr>
          <w:rFonts w:hint="eastAsia" w:cs="宋体"/>
          <w:color w:val="auto"/>
        </w:rPr>
        <w:t>一、项目名称及内容</w:t>
      </w:r>
      <w:bookmarkEnd w:id="4"/>
      <w:bookmarkEnd w:id="5"/>
    </w:p>
    <w:p w14:paraId="33880AB3">
      <w:pPr>
        <w:spacing w:line="360" w:lineRule="auto"/>
        <w:ind w:firstLine="210" w:firstLineChars="100"/>
        <w:rPr>
          <w:rFonts w:hint="default" w:ascii="宋体" w:hAnsi="宋体" w:eastAsia="宋体" w:cs="宋体"/>
          <w:color w:val="auto"/>
          <w:lang w:val="en-US" w:eastAsia="zh-CN"/>
        </w:rPr>
      </w:pPr>
      <w:r>
        <w:rPr>
          <w:rFonts w:hint="eastAsia"/>
          <w:color w:val="auto"/>
        </w:rPr>
        <w:t>1、项</w:t>
      </w:r>
      <w:r>
        <w:rPr>
          <w:rFonts w:hint="eastAsia" w:ascii="宋体" w:hAnsi="宋体" w:cs="宋体"/>
          <w:color w:val="auto"/>
        </w:rPr>
        <w:t>目编号：DZSJ2025-001</w:t>
      </w:r>
      <w:r>
        <w:rPr>
          <w:rFonts w:hint="eastAsia" w:ascii="宋体" w:hAnsi="宋体" w:cs="宋体"/>
          <w:color w:val="auto"/>
          <w:lang w:eastAsia="zh-CN"/>
        </w:rPr>
        <w:t>重</w:t>
      </w:r>
      <w:r>
        <w:rPr>
          <w:rFonts w:hint="eastAsia" w:ascii="宋体" w:hAnsi="宋体" w:cs="宋体"/>
          <w:color w:val="auto"/>
          <w:lang w:val="en-US" w:eastAsia="zh-CN"/>
        </w:rPr>
        <w:t>1</w:t>
      </w:r>
    </w:p>
    <w:p w14:paraId="526FCA68">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rPr>
        <w:t>2、项目名称：皖北卫生职业学院分类、普高招生宣传采购项目</w:t>
      </w:r>
      <w:r>
        <w:rPr>
          <w:rFonts w:hint="eastAsia" w:ascii="宋体" w:hAnsi="宋体" w:cs="宋体"/>
          <w:color w:val="auto"/>
          <w:lang w:eastAsia="zh-CN"/>
        </w:rPr>
        <w:t>（二次）</w:t>
      </w:r>
    </w:p>
    <w:p w14:paraId="75464837">
      <w:pPr>
        <w:spacing w:line="360" w:lineRule="auto"/>
        <w:ind w:firstLine="210" w:firstLineChars="100"/>
        <w:rPr>
          <w:rFonts w:hint="eastAsia" w:ascii="宋体" w:hAnsi="宋体" w:cs="宋体"/>
          <w:color w:val="auto"/>
        </w:rPr>
      </w:pPr>
      <w:r>
        <w:rPr>
          <w:rFonts w:hint="eastAsia" w:ascii="宋体" w:hAnsi="宋体" w:cs="宋体"/>
          <w:color w:val="auto"/>
        </w:rPr>
        <w:t>3、采购人：皖北卫生职业学院；</w:t>
      </w:r>
    </w:p>
    <w:p w14:paraId="5CFF87C7">
      <w:pPr>
        <w:spacing w:line="360" w:lineRule="auto"/>
        <w:ind w:firstLine="210" w:firstLineChars="100"/>
        <w:rPr>
          <w:rFonts w:hint="eastAsia" w:ascii="宋体" w:hAnsi="宋体" w:cs="宋体"/>
          <w:color w:val="auto"/>
        </w:rPr>
      </w:pPr>
      <w:r>
        <w:rPr>
          <w:rFonts w:hint="eastAsia" w:ascii="宋体" w:hAnsi="宋体" w:cs="宋体"/>
          <w:color w:val="auto"/>
        </w:rPr>
        <w:t>4、资金来源：自筹资金；</w:t>
      </w:r>
    </w:p>
    <w:p w14:paraId="4ECDD3F8">
      <w:pPr>
        <w:spacing w:line="360" w:lineRule="auto"/>
        <w:ind w:firstLine="210" w:firstLineChars="100"/>
        <w:rPr>
          <w:rFonts w:hint="eastAsia" w:ascii="宋体" w:hAnsi="宋体" w:eastAsia="宋体" w:cs="宋体"/>
          <w:color w:val="auto"/>
          <w:lang w:val="en-US" w:eastAsia="zh-CN"/>
        </w:rPr>
      </w:pPr>
      <w:r>
        <w:rPr>
          <w:rFonts w:hint="eastAsia" w:ascii="宋体" w:hAnsi="宋体" w:cs="宋体"/>
          <w:color w:val="auto"/>
        </w:rPr>
        <w:t>5、</w:t>
      </w:r>
      <w:r>
        <w:rPr>
          <w:rFonts w:hint="eastAsia" w:ascii="宋体" w:hAnsi="宋体" w:cs="宋体"/>
          <w:color w:val="auto"/>
          <w:lang w:val="en-US" w:eastAsia="zh-CN"/>
        </w:rPr>
        <w:t>最高限价</w:t>
      </w:r>
      <w:r>
        <w:rPr>
          <w:rFonts w:hint="eastAsia" w:ascii="宋体" w:hAnsi="宋体" w:cs="宋体"/>
          <w:color w:val="auto"/>
        </w:rPr>
        <w:t>：</w:t>
      </w: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r>
        <w:rPr>
          <w:rFonts w:hint="eastAsia" w:ascii="宋体" w:hAnsi="宋体" w:cs="宋体"/>
          <w:color w:val="auto"/>
          <w:lang w:val="en-US" w:eastAsia="zh-CN"/>
        </w:rPr>
        <w:t>元</w:t>
      </w:r>
    </w:p>
    <w:p w14:paraId="3987329E">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6、服务期：</w:t>
      </w: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p w14:paraId="176E9D5A">
      <w:pPr>
        <w:spacing w:line="360" w:lineRule="auto"/>
        <w:ind w:firstLine="210" w:firstLineChars="100"/>
        <w:rPr>
          <w:rFonts w:hint="eastAsia" w:ascii="宋体" w:hAnsi="宋体" w:cs="宋体"/>
          <w:color w:val="auto"/>
          <w:lang w:val="en-US" w:eastAsia="zh-CN"/>
        </w:rPr>
      </w:pPr>
      <w:r>
        <w:rPr>
          <w:rFonts w:hint="eastAsia" w:ascii="宋体" w:hAnsi="宋体" w:cs="宋体"/>
          <w:color w:val="auto"/>
        </w:rPr>
        <w:t>7、采购需求</w:t>
      </w:r>
      <w:r>
        <w:rPr>
          <w:rFonts w:hint="eastAsia" w:ascii="宋体" w:hAnsi="宋体" w:cs="宋体"/>
          <w:color w:val="auto"/>
          <w:lang w:val="en-US" w:eastAsia="zh-CN"/>
        </w:rPr>
        <w:t>：</w:t>
      </w:r>
      <w:r>
        <w:rPr>
          <w:rFonts w:hint="eastAsia" w:ascii="宋体" w:hAnsi="宋体" w:cs="宋体"/>
          <w:color w:val="auto"/>
        </w:rPr>
        <w:t>1</w:t>
      </w:r>
      <w:r>
        <w:rPr>
          <w:rFonts w:hint="eastAsia" w:ascii="宋体" w:hAnsi="宋体" w:cs="宋体"/>
          <w:b w:val="0"/>
          <w:bCs w:val="0"/>
          <w:color w:val="auto"/>
          <w:u w:val="none"/>
        </w:rPr>
        <w:t>、</w:t>
      </w:r>
      <w:r>
        <w:rPr>
          <w:rFonts w:hint="eastAsia" w:ascii="宋体" w:hAnsi="宋体" w:cs="宋体"/>
          <w:color w:val="auto"/>
          <w:lang w:val="en-US" w:eastAsia="zh-CN"/>
        </w:rPr>
        <w:t>线路宣传；2、线上宣传；具体详见采购文件。</w:t>
      </w:r>
    </w:p>
    <w:p w14:paraId="59CA2CC6">
      <w:pPr>
        <w:spacing w:line="360" w:lineRule="auto"/>
        <w:ind w:firstLine="211" w:firstLineChars="100"/>
        <w:rPr>
          <w:rFonts w:hint="eastAsia" w:ascii="宋体" w:hAnsi="宋体" w:cs="宋体"/>
          <w:b/>
          <w:bCs/>
          <w:color w:val="000000" w:themeColor="text1"/>
          <w14:textFill>
            <w14:solidFill>
              <w14:schemeClr w14:val="tx1"/>
            </w14:solidFill>
          </w14:textFill>
        </w:rPr>
      </w:pPr>
      <w:bookmarkStart w:id="6" w:name="_Toc7601"/>
      <w:bookmarkStart w:id="7" w:name="_Toc23771"/>
      <w:r>
        <w:rPr>
          <w:rFonts w:hint="eastAsia" w:ascii="宋体" w:hAnsi="宋体" w:cs="宋体"/>
          <w:b/>
          <w:bCs/>
          <w:color w:val="000000" w:themeColor="text1"/>
          <w14:textFill>
            <w14:solidFill>
              <w14:schemeClr w14:val="tx1"/>
            </w14:solidFill>
          </w14:textFill>
        </w:rPr>
        <w:t>二、供应商资格</w:t>
      </w:r>
      <w:bookmarkEnd w:id="6"/>
      <w:bookmarkEnd w:id="7"/>
    </w:p>
    <w:p w14:paraId="7CDCA00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8" w:name="_Toc511898260"/>
      <w:bookmarkEnd w:id="8"/>
      <w:bookmarkStart w:id="9" w:name="_Toc511828355"/>
      <w:bookmarkEnd w:id="9"/>
      <w:bookmarkStart w:id="10" w:name="_Toc30594"/>
      <w:bookmarkStart w:id="11" w:name="_Toc29577"/>
      <w:bookmarkStart w:id="12" w:name="_Toc511899289"/>
      <w:r>
        <w:rPr>
          <w:rFonts w:hint="eastAsia" w:ascii="宋体" w:hAnsi="宋体" w:eastAsia="宋体" w:cs="宋体"/>
          <w:color w:val="000000" w:themeColor="text1"/>
          <w:kern w:val="2"/>
          <w:sz w:val="21"/>
          <w:szCs w:val="21"/>
          <w:lang w:val="en-US" w:eastAsia="zh-CN" w:bidi="ar-SA"/>
          <w14:textFill>
            <w14:solidFill>
              <w14:schemeClr w14:val="tx1"/>
            </w14:solidFill>
          </w14:textFill>
        </w:rPr>
        <w:t>1、符合《中华人民共和国政府采购法》第二十二条规定；</w:t>
      </w:r>
    </w:p>
    <w:p w14:paraId="7BA02B20">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2、本项目不接受联合体磋商；</w:t>
      </w:r>
    </w:p>
    <w:p w14:paraId="3882E4A3">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3、供应商（含不具有独立法人资格的分公司、不含具备独立法人资格的子公司）存在以下不良信用记录情形之一,不得推荐为成交候选人，不得确定为成交供应商:</w:t>
      </w:r>
    </w:p>
    <w:p w14:paraId="59F564AC">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（1）供应商被人民法院列入失信被执行人的；</w:t>
      </w:r>
    </w:p>
    <w:p w14:paraId="4E39753D">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（2）供应商或其法定代表人或拟派项目经理（项目负责人）被列入行贿犯罪档案的；</w:t>
      </w:r>
    </w:p>
    <w:p w14:paraId="05CB3E8B">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（3）供应商被工商行政管理部门列入企业经营异常名录的；</w:t>
      </w:r>
    </w:p>
    <w:p w14:paraId="5DF946E6">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（4）供应商被税务部门列入重大税收违法案件当事人名单的；</w:t>
      </w:r>
    </w:p>
    <w:p w14:paraId="2EB9E119">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（5）供应商被政府采购监管部门列入政府采购严重违法失信行为记录名单的。</w:t>
      </w:r>
    </w:p>
    <w:p w14:paraId="61A35CEF">
      <w:pPr>
        <w:pStyle w:val="23"/>
        <w:ind w:left="0" w:right="-21"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磋商截止时间。</w:t>
      </w:r>
    </w:p>
    <w:p w14:paraId="1AA4B245">
      <w:pPr>
        <w:pStyle w:val="23"/>
        <w:ind w:left="0" w:right="-21" w:firstLine="422" w:firstLineChars="200"/>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情形（2）由供应商提供无行贿犯罪记录承诺函。</w:t>
      </w:r>
    </w:p>
    <w:p w14:paraId="6E005D76">
      <w:pPr>
        <w:pStyle w:val="23"/>
        <w:ind w:left="0" w:right="-21" w:firstLine="422" w:firstLineChars="200"/>
        <w:rPr>
          <w:rFonts w:ascii="宋体" w:eastAsia="宋体" w:cs="宋体"/>
          <w:b/>
          <w:bCs/>
          <w:color w:val="000000" w:themeColor="text1"/>
          <w:kern w:val="2"/>
          <w:sz w:val="21"/>
          <w:szCs w:val="21"/>
          <w:lang w:val="en-US" w:bidi="ar-SA"/>
          <w14:textFill>
            <w14:solidFill>
              <w14:schemeClr w14:val="tx1"/>
            </w14:solidFill>
          </w14:textFill>
        </w:rPr>
      </w:pPr>
      <w:r>
        <w:rPr>
          <w:rFonts w:hint="eastAsia" w:ascii="宋体" w:eastAsia="宋体" w:cs="宋体"/>
          <w:b/>
          <w:bCs/>
          <w:color w:val="000000" w:themeColor="text1"/>
          <w:kern w:val="2"/>
          <w:sz w:val="21"/>
          <w:szCs w:val="21"/>
          <w:lang w:val="en-US" w:eastAsia="zh-CN" w:bidi="ar-SA"/>
          <w14:textFill>
            <w14:solidFill>
              <w14:schemeClr w14:val="tx1"/>
            </w14:solidFill>
          </w14:textFill>
        </w:rPr>
        <w:t>4</w:t>
      </w:r>
      <w:r>
        <w:rPr>
          <w:rFonts w:hint="eastAsia" w:ascii="宋体" w:eastAsia="宋体" w:cs="宋体"/>
          <w:b/>
          <w:bCs/>
          <w:color w:val="000000" w:themeColor="text1"/>
          <w:kern w:val="2"/>
          <w:sz w:val="21"/>
          <w:szCs w:val="21"/>
          <w:lang w:val="en-US" w:bidi="ar-SA"/>
          <w14:textFill>
            <w14:solidFill>
              <w14:schemeClr w14:val="tx1"/>
            </w14:solidFill>
          </w14:textFill>
        </w:rPr>
        <w:t>、已登记报名并获取本项目招标文件。</w:t>
      </w:r>
    </w:p>
    <w:bookmarkEnd w:id="10"/>
    <w:bookmarkEnd w:id="11"/>
    <w:bookmarkEnd w:id="12"/>
    <w:p w14:paraId="3B96351A">
      <w:pPr>
        <w:spacing w:line="360" w:lineRule="auto"/>
        <w:rPr>
          <w:rFonts w:ascii="宋体" w:hAnsi="宋体" w:cs="宋体"/>
          <w:b/>
          <w:bCs/>
          <w:color w:val="000000" w:themeColor="text1"/>
          <w14:textFill>
            <w14:solidFill>
              <w14:schemeClr w14:val="tx1"/>
            </w14:solidFill>
          </w14:textFill>
        </w:rPr>
      </w:pPr>
      <w:bookmarkStart w:id="13" w:name="_Toc31011"/>
      <w:r>
        <w:rPr>
          <w:rFonts w:hint="eastAsia" w:ascii="宋体" w:hAnsi="宋体" w:cs="宋体"/>
          <w:b/>
          <w:bCs/>
          <w:color w:val="000000" w:themeColor="text1"/>
          <w14:textFill>
            <w14:solidFill>
              <w14:schemeClr w14:val="tx1"/>
            </w14:solidFill>
          </w14:textFill>
        </w:rPr>
        <w:t>三、报名及招标文件获取方式</w:t>
      </w:r>
    </w:p>
    <w:p w14:paraId="59156DBD">
      <w:pPr>
        <w:spacing w:line="360" w:lineRule="auto"/>
        <w:ind w:firstLine="210" w:firstLineChars="100"/>
        <w:rPr>
          <w:rFonts w:hint="eastAsia" w:ascii="宋体" w:hAnsi="宋体" w:cs="宋体"/>
          <w:color w:val="auto"/>
          <w:u w:val="single"/>
          <w:shd w:val="clear" w:color="auto" w:fill="auto"/>
        </w:rPr>
      </w:pPr>
      <w:r>
        <w:rPr>
          <w:rFonts w:hint="eastAsia" w:ascii="宋体" w:hAnsi="宋体" w:cs="宋体"/>
          <w:color w:val="auto"/>
          <w:u w:val="none"/>
          <w:shd w:val="clear" w:color="auto" w:fill="auto"/>
        </w:rPr>
        <w:t>1.报名时间：</w:t>
      </w:r>
      <w:r>
        <w:rPr>
          <w:rFonts w:hint="eastAsia" w:ascii="宋体" w:hAnsi="宋体" w:cs="宋体"/>
          <w:color w:val="auto"/>
          <w:u w:val="single"/>
          <w:shd w:val="clear" w:color="auto" w:fill="auto"/>
        </w:rPr>
        <w:t>至</w:t>
      </w:r>
      <w:r>
        <w:rPr>
          <w:rFonts w:hint="eastAsia" w:ascii="宋体" w:hAnsi="宋体" w:cs="宋体"/>
          <w:color w:val="auto"/>
          <w:u w:val="single"/>
          <w:shd w:val="clear" w:color="auto" w:fill="auto"/>
          <w:lang w:eastAsia="zh-CN"/>
        </w:rPr>
        <w:t>202</w:t>
      </w:r>
      <w:r>
        <w:rPr>
          <w:rFonts w:hint="eastAsia" w:ascii="宋体" w:hAnsi="宋体" w:cs="宋体"/>
          <w:color w:val="auto"/>
          <w:u w:val="single"/>
          <w:shd w:val="clear" w:color="auto" w:fill="auto"/>
          <w:lang w:val="en-US" w:eastAsia="zh-CN"/>
        </w:rPr>
        <w:t>5</w:t>
      </w:r>
      <w:r>
        <w:rPr>
          <w:rFonts w:hint="eastAsia" w:ascii="宋体" w:hAnsi="宋体" w:cs="宋体"/>
          <w:color w:val="auto"/>
          <w:u w:val="single"/>
          <w:shd w:val="clear" w:color="auto" w:fill="auto"/>
        </w:rPr>
        <w:t>年</w:t>
      </w:r>
      <w:r>
        <w:rPr>
          <w:rFonts w:hint="eastAsia" w:ascii="宋体" w:hAnsi="宋体" w:cs="宋体"/>
          <w:color w:val="auto"/>
          <w:u w:val="single"/>
          <w:shd w:val="clear" w:color="auto" w:fill="auto"/>
          <w:lang w:val="en-US" w:eastAsia="zh-CN"/>
        </w:rPr>
        <w:t>02</w:t>
      </w:r>
      <w:r>
        <w:rPr>
          <w:rFonts w:hint="eastAsia" w:ascii="宋体" w:hAnsi="宋体" w:cs="宋体"/>
          <w:color w:val="auto"/>
          <w:u w:val="single"/>
          <w:shd w:val="clear" w:color="auto" w:fill="auto"/>
        </w:rPr>
        <w:t>月</w:t>
      </w:r>
      <w:r>
        <w:rPr>
          <w:rFonts w:hint="eastAsia" w:ascii="宋体" w:hAnsi="宋体" w:cs="宋体"/>
          <w:color w:val="auto"/>
          <w:u w:val="single"/>
          <w:shd w:val="clear" w:color="auto" w:fill="auto"/>
          <w:lang w:val="en-US" w:eastAsia="zh-CN"/>
        </w:rPr>
        <w:t>13</w:t>
      </w:r>
      <w:r>
        <w:rPr>
          <w:rFonts w:hint="eastAsia" w:ascii="宋体" w:hAnsi="宋体" w:cs="宋体"/>
          <w:color w:val="auto"/>
          <w:u w:val="single"/>
          <w:shd w:val="clear" w:color="auto" w:fill="auto"/>
        </w:rPr>
        <w:t>日17时00分；</w:t>
      </w:r>
    </w:p>
    <w:p w14:paraId="12EC1AA9">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2.招标文件获取方式：皖北卫生职业学院官网自行下载获取招标文件。</w:t>
      </w:r>
    </w:p>
    <w:p w14:paraId="4FB4B33E">
      <w:p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3.报名所需资质材料：</w:t>
      </w:r>
    </w:p>
    <w:p w14:paraId="4A88C5F0">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3.1投标人有效的社会组织或企业[具备社会团体法人登记证书、民办非企业单位登记证书、公益性非营利社会组织、工商（营业执照、组织机构代码、税务登记证）、三证合一的营业执照等证明文件；</w:t>
      </w:r>
    </w:p>
    <w:p w14:paraId="1E3F270F">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3.2法定代表人授权委托书；</w:t>
      </w:r>
    </w:p>
    <w:p w14:paraId="1680A654">
      <w:pPr>
        <w:spacing w:line="360" w:lineRule="auto"/>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3.3被授权人身份证(正面、反面）；</w:t>
      </w:r>
    </w:p>
    <w:p w14:paraId="79999888">
      <w:pPr>
        <w:spacing w:line="360" w:lineRule="auto"/>
        <w:ind w:firstLine="210" w:firstLineChars="100"/>
        <w:rPr>
          <w:rFonts w:ascii="宋体" w:hAnsi="宋体" w:cs="宋体"/>
          <w:color w:val="auto"/>
          <w:u w:val="single"/>
        </w:rPr>
      </w:pPr>
      <w:r>
        <w:rPr>
          <w:rFonts w:hint="eastAsia" w:ascii="宋体" w:hAnsi="宋体" w:cs="宋体"/>
          <w:color w:val="auto"/>
        </w:rPr>
        <w:fldChar w:fldCharType="begin"/>
      </w:r>
      <w:r>
        <w:rPr>
          <w:rFonts w:hint="eastAsia" w:ascii="宋体" w:hAnsi="宋体" w:cs="宋体"/>
          <w:color w:val="auto"/>
        </w:rPr>
        <w:instrText xml:space="preserve"> HYPERLINK "mailto:（1）凡有意参加投标者，投标人将企业营业执照复印件、法定代表人身份证明或法定代表人授权委托书（含有项目名称、委托代理人联系电话、邮箱）加盖单位公章发送至邮箱365656427@qq.com，并在获取时间内电话告知代理公司工作人员接收，进行报名并购买询比文件；报名成功后代理机构将询比文件电子版发送至投标人指定邮箱。" </w:instrText>
      </w:r>
      <w:r>
        <w:rPr>
          <w:rFonts w:hint="eastAsia" w:ascii="宋体" w:hAnsi="宋体" w:cs="宋体"/>
          <w:color w:val="auto"/>
        </w:rPr>
        <w:fldChar w:fldCharType="separate"/>
      </w:r>
      <w:r>
        <w:rPr>
          <w:rFonts w:hint="eastAsia" w:ascii="宋体" w:hAnsi="宋体" w:cs="宋体"/>
          <w:color w:val="auto"/>
          <w:lang w:val="zh-CN"/>
        </w:rPr>
        <w:t>（1）凡有意参加投标者，投标人将</w:t>
      </w:r>
      <w:r>
        <w:rPr>
          <w:rFonts w:hint="eastAsia" w:ascii="宋体" w:hAnsi="宋体" w:cs="宋体"/>
          <w:color w:val="auto"/>
        </w:rPr>
        <w:t>企业营业执照、资质证书扫描件（加盖公章、</w:t>
      </w:r>
      <w:r>
        <w:rPr>
          <w:rFonts w:hint="eastAsia" w:ascii="宋体" w:hAnsi="宋体" w:cs="宋体"/>
          <w:color w:val="auto"/>
          <w:lang w:val="zh-CN"/>
        </w:rPr>
        <w:t>法定代表人（</w:t>
      </w:r>
      <w:r>
        <w:rPr>
          <w:rFonts w:hint="eastAsia" w:ascii="宋体" w:hAnsi="宋体" w:cs="宋体"/>
          <w:color w:val="auto"/>
        </w:rPr>
        <w:t>负责人</w:t>
      </w:r>
      <w:r>
        <w:rPr>
          <w:rFonts w:hint="eastAsia" w:ascii="宋体" w:hAnsi="宋体" w:cs="宋体"/>
          <w:color w:val="auto"/>
          <w:lang w:val="zh-CN"/>
        </w:rPr>
        <w:t>）身份证明或法定代表人（</w:t>
      </w:r>
      <w:r>
        <w:rPr>
          <w:rFonts w:hint="eastAsia" w:ascii="宋体" w:hAnsi="宋体" w:cs="宋体"/>
          <w:color w:val="auto"/>
        </w:rPr>
        <w:t>负责人</w:t>
      </w:r>
      <w:r>
        <w:rPr>
          <w:rFonts w:hint="eastAsia" w:ascii="宋体" w:hAnsi="宋体" w:cs="宋体"/>
          <w:color w:val="auto"/>
          <w:lang w:val="zh-CN"/>
        </w:rPr>
        <w:t>）授权委托书（含有项目名称、委托代理人联系电话、邮箱）加盖单位公章发送至邮箱</w:t>
      </w:r>
      <w:r>
        <w:rPr>
          <w:rFonts w:hint="eastAsia" w:ascii="宋体" w:hAnsi="宋体" w:cs="宋体"/>
          <w:color w:val="auto"/>
        </w:rPr>
        <w:t>wbwyzbb@163.com，（邮箱标题格式为项目名称+公司名称+联系电话）。报名联系人：张老师，电话：0557-3095500，各投标单位自行从皖北卫生职业学院官网（本公告的附件）下载采购文件电子版，不发放纸质采购文件。”</w:t>
      </w:r>
      <w:r>
        <w:rPr>
          <w:rFonts w:hint="eastAsia" w:ascii="宋体" w:hAnsi="宋体" w:cs="宋体"/>
          <w:color w:val="auto"/>
        </w:rPr>
        <w:fldChar w:fldCharType="end"/>
      </w:r>
      <w:r>
        <w:rPr>
          <w:rFonts w:hint="eastAsia" w:ascii="宋体" w:hAnsi="宋体" w:cs="宋体"/>
          <w:color w:val="auto"/>
          <w:u w:val="none"/>
        </w:rPr>
        <w:t>报名截止时间</w:t>
      </w:r>
      <w:r>
        <w:rPr>
          <w:rFonts w:hint="eastAsia" w:ascii="宋体" w:hAnsi="宋体" w:cs="宋体"/>
          <w:color w:val="auto"/>
          <w:u w:val="single"/>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02</w:t>
      </w:r>
      <w:r>
        <w:rPr>
          <w:rFonts w:hint="eastAsia" w:ascii="宋体" w:hAnsi="宋体" w:cs="宋体"/>
          <w:color w:val="auto"/>
          <w:u w:val="single"/>
        </w:rPr>
        <w:t>月</w:t>
      </w:r>
      <w:r>
        <w:rPr>
          <w:rFonts w:hint="eastAsia" w:ascii="宋体" w:hAnsi="宋体" w:cs="宋体"/>
          <w:color w:val="auto"/>
          <w:u w:val="single"/>
          <w:lang w:val="en-US" w:eastAsia="zh-CN"/>
        </w:rPr>
        <w:t>13</w:t>
      </w:r>
      <w:r>
        <w:rPr>
          <w:rFonts w:hint="eastAsia" w:ascii="宋体" w:hAnsi="宋体" w:cs="宋体"/>
          <w:color w:val="auto"/>
          <w:u w:val="single"/>
        </w:rPr>
        <w:t>日17时00分。</w:t>
      </w:r>
    </w:p>
    <w:p w14:paraId="06C56D6D">
      <w:pPr>
        <w:spacing w:line="360" w:lineRule="auto"/>
        <w:rPr>
          <w:rFonts w:ascii="宋体" w:hAnsi="宋体" w:cs="宋体"/>
          <w:b/>
          <w:bCs/>
          <w:color w:val="auto"/>
        </w:rPr>
      </w:pPr>
      <w:r>
        <w:rPr>
          <w:rFonts w:hint="eastAsia" w:ascii="宋体" w:hAnsi="宋体" w:cs="宋体"/>
          <w:b/>
          <w:bCs/>
          <w:color w:val="auto"/>
        </w:rPr>
        <w:t>四、开标时间和地点</w:t>
      </w:r>
    </w:p>
    <w:p w14:paraId="4E9635BA">
      <w:pPr>
        <w:spacing w:line="360" w:lineRule="auto"/>
        <w:ind w:firstLine="210" w:firstLineChars="100"/>
        <w:rPr>
          <w:rFonts w:hint="eastAsia" w:ascii="宋体" w:hAnsi="宋体" w:cs="宋体"/>
          <w:color w:val="auto"/>
          <w:u w:val="single"/>
        </w:rPr>
      </w:pPr>
      <w:r>
        <w:rPr>
          <w:rFonts w:hint="eastAsia" w:ascii="宋体" w:hAnsi="宋体" w:cs="宋体"/>
          <w:color w:val="auto"/>
          <w:u w:val="none"/>
        </w:rPr>
        <w:t>开标时间：</w:t>
      </w:r>
      <w:r>
        <w:rPr>
          <w:rFonts w:hint="eastAsia" w:ascii="宋体" w:hAnsi="宋体" w:cs="宋体"/>
          <w:color w:val="auto"/>
          <w:u w:val="single"/>
          <w:lang w:eastAsia="zh-CN"/>
        </w:rPr>
        <w:t>202</w:t>
      </w:r>
      <w:r>
        <w:rPr>
          <w:rFonts w:hint="eastAsia" w:ascii="宋体" w:hAnsi="宋体" w:cs="宋体"/>
          <w:color w:val="auto"/>
          <w:u w:val="single"/>
          <w:lang w:val="en-US" w:eastAsia="zh-CN"/>
        </w:rPr>
        <w:t>5</w:t>
      </w:r>
      <w:r>
        <w:rPr>
          <w:rFonts w:hint="eastAsia" w:ascii="宋体" w:hAnsi="宋体" w:cs="宋体"/>
          <w:color w:val="auto"/>
          <w:u w:val="single"/>
        </w:rPr>
        <w:t>年</w:t>
      </w:r>
      <w:r>
        <w:rPr>
          <w:rFonts w:hint="eastAsia" w:ascii="宋体" w:hAnsi="宋体" w:cs="宋体"/>
          <w:color w:val="auto"/>
          <w:u w:val="single"/>
          <w:lang w:val="en-US" w:eastAsia="zh-CN"/>
        </w:rPr>
        <w:t>2</w:t>
      </w:r>
      <w:r>
        <w:rPr>
          <w:rFonts w:hint="eastAsia" w:ascii="宋体" w:hAnsi="宋体" w:cs="宋体"/>
          <w:color w:val="auto"/>
          <w:u w:val="single"/>
        </w:rPr>
        <w:t>月</w:t>
      </w:r>
      <w:r>
        <w:rPr>
          <w:rFonts w:hint="eastAsia" w:ascii="宋体" w:hAnsi="宋体" w:cs="宋体"/>
          <w:color w:val="auto"/>
          <w:u w:val="single"/>
          <w:lang w:val="en-US" w:eastAsia="zh-CN"/>
        </w:rPr>
        <w:t>16</w:t>
      </w:r>
      <w:bookmarkStart w:id="102" w:name="_GoBack"/>
      <w:bookmarkEnd w:id="102"/>
      <w:r>
        <w:rPr>
          <w:rFonts w:hint="eastAsia" w:ascii="宋体" w:hAnsi="宋体" w:cs="宋体"/>
          <w:color w:val="auto"/>
          <w:u w:val="single"/>
        </w:rPr>
        <w:t>日</w:t>
      </w:r>
      <w:r>
        <w:rPr>
          <w:rFonts w:hint="eastAsia" w:ascii="宋体" w:hAnsi="宋体" w:cs="宋体"/>
          <w:color w:val="auto"/>
          <w:u w:val="single"/>
          <w:lang w:val="en-US" w:eastAsia="zh-CN"/>
        </w:rPr>
        <w:t>09</w:t>
      </w:r>
      <w:r>
        <w:rPr>
          <w:rFonts w:hint="eastAsia" w:ascii="宋体" w:hAnsi="宋体" w:cs="宋体"/>
          <w:color w:val="auto"/>
          <w:u w:val="single"/>
        </w:rPr>
        <w:t>点00分</w:t>
      </w:r>
    </w:p>
    <w:p w14:paraId="66AEAF3F">
      <w:pPr>
        <w:spacing w:line="360" w:lineRule="auto"/>
        <w:ind w:firstLine="210" w:firstLineChars="100"/>
        <w:rPr>
          <w:rFonts w:ascii="宋体" w:hAnsi="宋体" w:cs="宋体"/>
          <w:color w:val="auto"/>
        </w:rPr>
      </w:pPr>
      <w:r>
        <w:rPr>
          <w:rFonts w:hint="eastAsia" w:ascii="宋体" w:hAnsi="宋体" w:cs="宋体"/>
          <w:color w:val="auto"/>
        </w:rPr>
        <w:t>开标地点：皖北卫生职业学院图书馆北三楼录播室。逾期送达的或者未送达指定地点的投标文件，采购人不予接受。</w:t>
      </w:r>
    </w:p>
    <w:p w14:paraId="51E60F0F">
      <w:pPr>
        <w:spacing w:line="360" w:lineRule="auto"/>
        <w:rPr>
          <w:rFonts w:ascii="宋体" w:hAnsi="宋体" w:cs="宋体"/>
          <w:b/>
          <w:bCs/>
          <w:color w:val="auto"/>
        </w:rPr>
      </w:pPr>
      <w:r>
        <w:rPr>
          <w:rFonts w:hint="eastAsia" w:ascii="宋体" w:hAnsi="宋体" w:cs="宋体"/>
          <w:b/>
          <w:bCs/>
          <w:color w:val="auto"/>
        </w:rPr>
        <w:t>五、联系方法</w:t>
      </w:r>
    </w:p>
    <w:p w14:paraId="75AACE74">
      <w:pPr>
        <w:spacing w:line="360" w:lineRule="auto"/>
        <w:ind w:firstLine="210" w:firstLineChars="100"/>
        <w:rPr>
          <w:rFonts w:ascii="宋体" w:hAnsi="宋体" w:cs="宋体"/>
          <w:color w:val="auto"/>
        </w:rPr>
      </w:pPr>
      <w:r>
        <w:rPr>
          <w:rFonts w:hint="eastAsia" w:ascii="宋体" w:hAnsi="宋体" w:cs="宋体"/>
          <w:color w:val="auto"/>
        </w:rPr>
        <w:t>名   称：皖北卫生职业学院</w:t>
      </w:r>
    </w:p>
    <w:p w14:paraId="18CC079A">
      <w:pPr>
        <w:spacing w:line="360" w:lineRule="auto"/>
        <w:ind w:firstLine="210" w:firstLineChars="100"/>
        <w:rPr>
          <w:rFonts w:ascii="宋体" w:hAnsi="宋体" w:cs="宋体"/>
          <w:color w:val="auto"/>
        </w:rPr>
      </w:pPr>
      <w:r>
        <w:rPr>
          <w:rFonts w:hint="eastAsia" w:ascii="宋体" w:hAnsi="宋体" w:cs="宋体"/>
          <w:color w:val="auto"/>
        </w:rPr>
        <w:t>地   址：安徽省宿州市东二铺大学城学府大道1606号</w:t>
      </w:r>
    </w:p>
    <w:p w14:paraId="0B09609C">
      <w:pPr>
        <w:spacing w:line="360" w:lineRule="auto"/>
        <w:ind w:firstLine="210" w:firstLineChars="100"/>
        <w:rPr>
          <w:rFonts w:ascii="宋体" w:hAnsi="宋体" w:cs="宋体"/>
          <w:color w:val="auto"/>
        </w:rPr>
      </w:pPr>
      <w:r>
        <w:rPr>
          <w:rFonts w:hint="eastAsia" w:ascii="宋体" w:hAnsi="宋体" w:cs="宋体"/>
          <w:color w:val="auto"/>
        </w:rPr>
        <w:t>报名联系人：张老师，电话：13965300662</w:t>
      </w:r>
    </w:p>
    <w:p w14:paraId="50155C5B">
      <w:pPr>
        <w:spacing w:line="360" w:lineRule="auto"/>
        <w:ind w:firstLine="210" w:firstLineChars="100"/>
        <w:rPr>
          <w:rFonts w:ascii="宋体" w:hAnsi="宋体" w:cs="宋体"/>
          <w:color w:val="auto"/>
        </w:rPr>
      </w:pPr>
      <w:r>
        <w:rPr>
          <w:rFonts w:hint="eastAsia" w:ascii="宋体" w:hAnsi="宋体" w:cs="宋体"/>
          <w:color w:val="auto"/>
        </w:rPr>
        <w:t>联  系  人：</w:t>
      </w:r>
      <w:r>
        <w:rPr>
          <w:rFonts w:hint="eastAsia" w:ascii="宋体" w:hAnsi="宋体" w:cs="宋体"/>
          <w:color w:val="auto"/>
          <w:lang w:val="en-US" w:eastAsia="zh-CN"/>
        </w:rPr>
        <w:t>崔老师</w:t>
      </w:r>
      <w:r>
        <w:rPr>
          <w:rFonts w:hint="eastAsia" w:ascii="宋体" w:hAnsi="宋体" w:cs="宋体"/>
          <w:color w:val="auto"/>
        </w:rPr>
        <w:t>，</w:t>
      </w:r>
      <w:r>
        <w:rPr>
          <w:rFonts w:hint="eastAsia" w:ascii="宋体" w:hAnsi="宋体" w:cs="宋体"/>
          <w:color w:val="auto"/>
          <w:lang w:val="zh-CN"/>
        </w:rPr>
        <w:t>电话：</w:t>
      </w:r>
      <w:r>
        <w:rPr>
          <w:rFonts w:hint="eastAsia" w:ascii="宋体" w:hAnsi="宋体" w:cs="宋体"/>
          <w:color w:val="auto"/>
          <w:lang w:val="en-US" w:eastAsia="zh-CN"/>
        </w:rPr>
        <w:t>18905574636</w:t>
      </w:r>
      <w:r>
        <w:rPr>
          <w:rFonts w:hint="eastAsia" w:ascii="宋体" w:hAnsi="宋体" w:cs="宋体"/>
          <w:color w:val="auto"/>
        </w:rPr>
        <w:t> </w:t>
      </w:r>
    </w:p>
    <w:p w14:paraId="3FA68CF7">
      <w:pPr>
        <w:spacing w:line="360" w:lineRule="auto"/>
        <w:ind w:firstLine="210" w:firstLineChars="100"/>
        <w:rPr>
          <w:rFonts w:ascii="宋体" w:hAnsi="宋体" w:cs="宋体"/>
          <w:color w:val="auto"/>
        </w:rPr>
      </w:pPr>
      <w:r>
        <w:rPr>
          <w:rFonts w:hint="eastAsia" w:ascii="宋体" w:hAnsi="宋体" w:cs="宋体"/>
          <w:color w:val="auto"/>
        </w:rPr>
        <w:t>采购代理机构：</w:t>
      </w:r>
      <w:r>
        <w:rPr>
          <w:rFonts w:hint="eastAsia" w:ascii="宋体" w:hAnsi="宋体" w:cs="宋体"/>
          <w:color w:val="auto"/>
          <w:lang w:val="en-US" w:eastAsia="zh-CN"/>
        </w:rPr>
        <w:t>大洲设计咨询集团有限公司</w:t>
      </w:r>
      <w:r>
        <w:rPr>
          <w:rFonts w:hint="eastAsia" w:ascii="宋体" w:hAnsi="宋体" w:cs="宋体"/>
          <w:color w:val="auto"/>
        </w:rPr>
        <w:t xml:space="preserve">  </w:t>
      </w:r>
    </w:p>
    <w:p w14:paraId="7B83283B">
      <w:pPr>
        <w:spacing w:line="360" w:lineRule="auto"/>
        <w:ind w:firstLine="210" w:firstLineChars="100"/>
        <w:rPr>
          <w:rFonts w:ascii="宋体" w:hAnsi="宋体" w:cs="宋体"/>
          <w:color w:val="auto"/>
        </w:rPr>
      </w:pPr>
      <w:r>
        <w:rPr>
          <w:rFonts w:hint="eastAsia" w:ascii="宋体" w:hAnsi="宋体" w:cs="宋体"/>
          <w:color w:val="auto"/>
        </w:rPr>
        <w:t xml:space="preserve">地  址：宿州市埇桥区银河二路港利锦绣江南西区  </w:t>
      </w:r>
    </w:p>
    <w:p w14:paraId="28EE03A7">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联系人：</w:t>
      </w:r>
      <w:r>
        <w:rPr>
          <w:rFonts w:hint="eastAsia" w:ascii="宋体" w:hAnsi="宋体" w:cs="宋体"/>
          <w:color w:val="auto"/>
          <w:lang w:val="en-US" w:eastAsia="zh-CN"/>
        </w:rPr>
        <w:t>张工</w:t>
      </w:r>
    </w:p>
    <w:p w14:paraId="2F01F37D">
      <w:pPr>
        <w:spacing w:line="360" w:lineRule="auto"/>
        <w:ind w:firstLine="210" w:firstLineChars="100"/>
        <w:rPr>
          <w:rFonts w:hint="default" w:ascii="宋体" w:hAnsi="宋体" w:eastAsia="宋体" w:cs="宋体"/>
          <w:color w:val="auto"/>
          <w:lang w:val="en-US" w:eastAsia="zh-CN"/>
        </w:rPr>
      </w:pPr>
      <w:r>
        <w:rPr>
          <w:rFonts w:hint="eastAsia" w:ascii="宋体" w:hAnsi="宋体" w:cs="宋体"/>
          <w:color w:val="auto"/>
        </w:rPr>
        <w:t>电  话：</w:t>
      </w:r>
      <w:r>
        <w:rPr>
          <w:rFonts w:hint="eastAsia" w:ascii="宋体" w:hAnsi="宋体" w:cs="宋体"/>
          <w:color w:val="auto"/>
          <w:lang w:val="en-US" w:eastAsia="zh-CN"/>
        </w:rPr>
        <w:t>15705575399</w:t>
      </w:r>
    </w:p>
    <w:p w14:paraId="7008A592">
      <w:pPr>
        <w:pStyle w:val="31"/>
        <w:rPr>
          <w:rFonts w:hint="eastAsia" w:ascii="黑体"/>
          <w:color w:val="000000" w:themeColor="text1"/>
          <w14:textFill>
            <w14:solidFill>
              <w14:schemeClr w14:val="tx1"/>
            </w14:solidFill>
          </w14:textFill>
        </w:rPr>
      </w:pPr>
    </w:p>
    <w:p w14:paraId="4CBBF17F">
      <w:pPr>
        <w:pStyle w:val="32"/>
        <w:rPr>
          <w:rFonts w:hint="eastAsia" w:ascii="黑体"/>
          <w:color w:val="000000" w:themeColor="text1"/>
          <w14:textFill>
            <w14:solidFill>
              <w14:schemeClr w14:val="tx1"/>
            </w14:solidFill>
          </w14:textFill>
        </w:rPr>
      </w:pPr>
    </w:p>
    <w:p w14:paraId="064862B3">
      <w:pPr>
        <w:pStyle w:val="31"/>
        <w:jc w:val="both"/>
        <w:rPr>
          <w:rFonts w:hint="eastAsia" w:ascii="黑体"/>
          <w:color w:val="000000" w:themeColor="text1"/>
          <w14:textFill>
            <w14:solidFill>
              <w14:schemeClr w14:val="tx1"/>
            </w14:solidFill>
          </w14:textFill>
        </w:rPr>
      </w:pPr>
    </w:p>
    <w:p w14:paraId="008CD5EA">
      <w:pPr>
        <w:pStyle w:val="32"/>
        <w:rPr>
          <w:rFonts w:hint="eastAsia"/>
          <w:color w:val="000000" w:themeColor="text1"/>
          <w14:textFill>
            <w14:solidFill>
              <w14:schemeClr w14:val="tx1"/>
            </w14:solidFill>
          </w14:textFill>
        </w:rPr>
      </w:pPr>
    </w:p>
    <w:p w14:paraId="0487600D">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第二章供应商须知前附表</w:t>
      </w:r>
      <w:bookmarkEnd w:id="13"/>
    </w:p>
    <w:tbl>
      <w:tblPr>
        <w:tblStyle w:val="24"/>
        <w:tblW w:w="9585"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850"/>
      </w:tblGrid>
      <w:tr w14:paraId="2DF4C5F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35" w:type="dxa"/>
            <w:tcBorders>
              <w:top w:val="double" w:color="auto" w:sz="2" w:space="0"/>
              <w:left w:val="double" w:color="auto" w:sz="2" w:space="0"/>
              <w:bottom w:val="single" w:color="auto" w:sz="4" w:space="0"/>
              <w:right w:val="single" w:color="auto" w:sz="4" w:space="0"/>
            </w:tcBorders>
            <w:vAlign w:val="bottom"/>
          </w:tcPr>
          <w:p w14:paraId="2BCBDC90">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序号</w:t>
            </w:r>
          </w:p>
        </w:tc>
        <w:tc>
          <w:tcPr>
            <w:tcW w:w="8850" w:type="dxa"/>
            <w:tcBorders>
              <w:top w:val="double" w:color="auto" w:sz="2" w:space="0"/>
              <w:left w:val="single" w:color="auto" w:sz="4" w:space="0"/>
              <w:bottom w:val="single" w:color="auto" w:sz="4" w:space="0"/>
              <w:right w:val="double" w:color="auto" w:sz="2" w:space="0"/>
            </w:tcBorders>
            <w:vAlign w:val="bottom"/>
          </w:tcPr>
          <w:p w14:paraId="610C29D6">
            <w:pPr>
              <w:spacing w:line="360" w:lineRule="auto"/>
              <w:jc w:val="center"/>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内  容</w:t>
            </w:r>
          </w:p>
        </w:tc>
      </w:tr>
      <w:tr w14:paraId="2DA5DA3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A57AE67">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p>
        </w:tc>
        <w:tc>
          <w:tcPr>
            <w:tcW w:w="8850" w:type="dxa"/>
            <w:tcBorders>
              <w:top w:val="single" w:color="auto" w:sz="4" w:space="0"/>
              <w:left w:val="single" w:color="auto" w:sz="4" w:space="0"/>
              <w:bottom w:val="single" w:color="auto" w:sz="4" w:space="0"/>
              <w:right w:val="double" w:color="auto" w:sz="2" w:space="0"/>
            </w:tcBorders>
            <w:vAlign w:val="center"/>
          </w:tcPr>
          <w:p w14:paraId="2F254810">
            <w:pPr>
              <w:spacing w:line="400" w:lineRule="exact"/>
              <w:ind w:left="-3" w:firstLine="3"/>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项目名称：详见竞争性磋商公告</w:t>
            </w:r>
          </w:p>
          <w:p w14:paraId="6AEA09D6">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项目编号：详见竞争性磋商公告 </w:t>
            </w:r>
          </w:p>
          <w:p w14:paraId="41707CB8">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采购内容及预算：详见竞争性磋商公告</w:t>
            </w:r>
          </w:p>
        </w:tc>
      </w:tr>
      <w:tr w14:paraId="1F7CAA6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5C15841">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p>
        </w:tc>
        <w:tc>
          <w:tcPr>
            <w:tcW w:w="8850" w:type="dxa"/>
            <w:tcBorders>
              <w:top w:val="single" w:color="auto" w:sz="4" w:space="0"/>
              <w:left w:val="single" w:color="auto" w:sz="4" w:space="0"/>
              <w:bottom w:val="single" w:color="auto" w:sz="4" w:space="0"/>
              <w:right w:val="double" w:color="auto" w:sz="2" w:space="0"/>
            </w:tcBorders>
            <w:vAlign w:val="center"/>
          </w:tcPr>
          <w:p w14:paraId="64421C6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采购人：详见竞争性磋商公告</w:t>
            </w:r>
          </w:p>
          <w:p w14:paraId="31E229FF">
            <w:pPr>
              <w:spacing w:line="400" w:lineRule="exact"/>
              <w:ind w:left="-6" w:firstLine="6"/>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地址：详见竞争性磋商公告</w:t>
            </w:r>
          </w:p>
          <w:p w14:paraId="2D8EFB08">
            <w:pPr>
              <w:spacing w:line="400" w:lineRule="exact"/>
              <w:ind w:left="-6" w:firstLine="6"/>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617021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DDD9DE8">
            <w:pPr>
              <w:spacing w:line="360" w:lineRule="auto"/>
              <w:ind w:right="102"/>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w:t>
            </w:r>
          </w:p>
        </w:tc>
        <w:tc>
          <w:tcPr>
            <w:tcW w:w="8850" w:type="dxa"/>
            <w:tcBorders>
              <w:top w:val="single" w:color="auto" w:sz="4" w:space="0"/>
              <w:left w:val="single" w:color="auto" w:sz="4" w:space="0"/>
              <w:bottom w:val="single" w:color="auto" w:sz="4" w:space="0"/>
              <w:right w:val="double" w:color="auto" w:sz="2" w:space="0"/>
            </w:tcBorders>
            <w:vAlign w:val="center"/>
          </w:tcPr>
          <w:p w14:paraId="33DAC979">
            <w:pPr>
              <w:spacing w:line="340" w:lineRule="exact"/>
              <w:ind w:left="-3" w:firstLine="3"/>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代理机构：详见竞争性磋商公告</w:t>
            </w:r>
          </w:p>
          <w:p w14:paraId="58FF20BB">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代理机构地址：详见竞争性磋商公告</w:t>
            </w:r>
          </w:p>
          <w:p w14:paraId="42C45064">
            <w:pPr>
              <w:spacing w:line="340" w:lineRule="exact"/>
              <w:ind w:left="1887" w:hanging="188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联系人及联系方式：详见竞争性磋商公告</w:t>
            </w:r>
          </w:p>
        </w:tc>
      </w:tr>
      <w:tr w14:paraId="312CD19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4C198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w:t>
            </w:r>
          </w:p>
        </w:tc>
        <w:tc>
          <w:tcPr>
            <w:tcW w:w="8850" w:type="dxa"/>
            <w:tcBorders>
              <w:top w:val="single" w:color="auto" w:sz="4" w:space="0"/>
              <w:left w:val="single" w:color="auto" w:sz="4" w:space="0"/>
              <w:bottom w:val="single" w:color="auto" w:sz="4" w:space="0"/>
              <w:right w:val="double" w:color="auto" w:sz="2" w:space="0"/>
            </w:tcBorders>
            <w:vAlign w:val="center"/>
          </w:tcPr>
          <w:p w14:paraId="2C892D1A">
            <w:pPr>
              <w:pStyle w:val="14"/>
              <w:spacing w:line="400" w:lineRule="atLeast"/>
              <w:rPr>
                <w:rFonts w:ascii="宋体" w:eastAsia="宋体" w:cs="Arial"/>
                <w:color w:val="000000" w:themeColor="text1"/>
                <w:sz w:val="21"/>
                <w:szCs w:val="2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本项目类别：□货物类 ☑服务类□工程类</w:t>
            </w:r>
          </w:p>
        </w:tc>
      </w:tr>
      <w:tr w14:paraId="300C3D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31A6DE7">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w:t>
            </w:r>
          </w:p>
        </w:tc>
        <w:tc>
          <w:tcPr>
            <w:tcW w:w="8850" w:type="dxa"/>
            <w:tcBorders>
              <w:top w:val="single" w:color="auto" w:sz="4" w:space="0"/>
              <w:left w:val="single" w:color="auto" w:sz="4" w:space="0"/>
              <w:bottom w:val="single" w:color="auto" w:sz="4" w:space="0"/>
              <w:right w:val="double" w:color="auto" w:sz="2" w:space="0"/>
            </w:tcBorders>
            <w:vAlign w:val="center"/>
          </w:tcPr>
          <w:p w14:paraId="108AC84F">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采购有效期：磋商开始后60天</w:t>
            </w:r>
          </w:p>
        </w:tc>
      </w:tr>
      <w:tr w14:paraId="2CA76B9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5CDA7B1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w:t>
            </w:r>
          </w:p>
        </w:tc>
        <w:tc>
          <w:tcPr>
            <w:tcW w:w="8850" w:type="dxa"/>
            <w:tcBorders>
              <w:top w:val="single" w:color="auto" w:sz="4" w:space="0"/>
              <w:left w:val="single" w:color="auto" w:sz="4" w:space="0"/>
              <w:bottom w:val="single" w:color="auto" w:sz="4" w:space="0"/>
              <w:right w:val="double" w:color="auto" w:sz="2" w:space="0"/>
            </w:tcBorders>
            <w:vAlign w:val="center"/>
          </w:tcPr>
          <w:p w14:paraId="5BD94B60">
            <w:pPr>
              <w:spacing w:line="400" w:lineRule="atLeast"/>
              <w:rPr>
                <w:rFonts w:hint="default" w:ascii="宋体" w:hAnsi="宋体" w:eastAsia="宋体" w:cs="Arial"/>
                <w:color w:val="000000" w:themeColor="text1"/>
                <w:lang w:val="en-US" w:eastAsia="zh-CN"/>
                <w14:textFill>
                  <w14:solidFill>
                    <w14:schemeClr w14:val="tx1"/>
                  </w14:solidFill>
                </w14:textFill>
              </w:rPr>
            </w:pPr>
            <w:r>
              <w:rPr>
                <w:rFonts w:hint="eastAsia" w:ascii="宋体" w:hAnsi="宋体" w:cs="Arial"/>
                <w:color w:val="000000" w:themeColor="text1"/>
                <w14:textFill>
                  <w14:solidFill>
                    <w14:schemeClr w14:val="tx1"/>
                  </w14:solidFill>
                </w14:textFill>
              </w:rPr>
              <w:t>成交人个数：</w:t>
            </w:r>
            <w:r>
              <w:rPr>
                <w:rFonts w:hint="eastAsia" w:ascii="宋体" w:hAnsi="宋体" w:cs="Arial"/>
                <w:b/>
                <w:bCs/>
                <w:color w:val="000000" w:themeColor="text1"/>
                <w:lang w:val="en-US" w:eastAsia="zh-CN"/>
                <w14:textFill>
                  <w14:solidFill>
                    <w14:schemeClr w14:val="tx1"/>
                  </w14:solidFill>
                </w14:textFill>
              </w:rPr>
              <w:t>1个</w:t>
            </w:r>
          </w:p>
        </w:tc>
      </w:tr>
      <w:tr w14:paraId="65D8383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C2159A6">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7</w:t>
            </w:r>
          </w:p>
        </w:tc>
        <w:tc>
          <w:tcPr>
            <w:tcW w:w="8850" w:type="dxa"/>
            <w:tcBorders>
              <w:top w:val="single" w:color="auto" w:sz="4" w:space="0"/>
              <w:left w:val="single" w:color="auto" w:sz="4" w:space="0"/>
              <w:bottom w:val="single" w:color="auto" w:sz="4" w:space="0"/>
              <w:right w:val="double" w:color="auto" w:sz="2" w:space="0"/>
            </w:tcBorders>
            <w:vAlign w:val="center"/>
          </w:tcPr>
          <w:p w14:paraId="352A0CFE">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竞争性磋商文件的澄清和修改：详见第六章供应商须知第11条</w:t>
            </w:r>
          </w:p>
        </w:tc>
      </w:tr>
      <w:tr w14:paraId="1EA1F3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73BD0732">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8</w:t>
            </w:r>
          </w:p>
        </w:tc>
        <w:tc>
          <w:tcPr>
            <w:tcW w:w="8850" w:type="dxa"/>
            <w:tcBorders>
              <w:top w:val="single" w:color="auto" w:sz="4" w:space="0"/>
              <w:left w:val="single" w:color="auto" w:sz="4" w:space="0"/>
              <w:bottom w:val="single" w:color="auto" w:sz="4" w:space="0"/>
              <w:right w:val="double" w:color="auto" w:sz="2" w:space="0"/>
            </w:tcBorders>
            <w:vAlign w:val="center"/>
          </w:tcPr>
          <w:p w14:paraId="35AB5EF8">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竞争性磋商文件</w:t>
            </w:r>
            <w:r>
              <w:rPr>
                <w:rFonts w:hint="eastAsia" w:ascii="宋体" w:hAnsi="宋体"/>
                <w:color w:val="000000" w:themeColor="text1"/>
                <w14:textFill>
                  <w14:solidFill>
                    <w14:schemeClr w14:val="tx1"/>
                  </w14:solidFill>
                </w14:textFill>
              </w:rPr>
              <w:t>的质疑和答复：</w:t>
            </w:r>
            <w:r>
              <w:rPr>
                <w:rFonts w:hint="eastAsia" w:ascii="宋体" w:hAnsi="宋体" w:cs="Arial"/>
                <w:color w:val="000000" w:themeColor="text1"/>
                <w14:textFill>
                  <w14:solidFill>
                    <w14:schemeClr w14:val="tx1"/>
                  </w14:solidFill>
                </w14:textFill>
              </w:rPr>
              <w:t>详见第六章供应商须知第12条</w:t>
            </w:r>
          </w:p>
        </w:tc>
      </w:tr>
      <w:tr w14:paraId="560ED35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1E2889">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9</w:t>
            </w:r>
          </w:p>
        </w:tc>
        <w:tc>
          <w:tcPr>
            <w:tcW w:w="8850" w:type="dxa"/>
            <w:tcBorders>
              <w:top w:val="single" w:color="auto" w:sz="4" w:space="0"/>
              <w:left w:val="single" w:color="auto" w:sz="4" w:space="0"/>
              <w:bottom w:val="single" w:color="auto" w:sz="4" w:space="0"/>
              <w:right w:val="double" w:color="auto" w:sz="2" w:space="0"/>
            </w:tcBorders>
            <w:vAlign w:val="center"/>
          </w:tcPr>
          <w:p w14:paraId="7266483B">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磋商响应文件递交截止时间：详见竞争性磋商公告</w:t>
            </w:r>
          </w:p>
          <w:p w14:paraId="42E0A3F2">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递交地点：详见竞争性磋商公告</w:t>
            </w:r>
          </w:p>
          <w:p w14:paraId="6CF6535E">
            <w:pPr>
              <w:spacing w:line="3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磋商开始时间：详见竞争性磋商公告</w:t>
            </w:r>
          </w:p>
          <w:p w14:paraId="59AB7C85">
            <w:pPr>
              <w:spacing w:line="4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磋商地点：详见竞争性磋商公告</w:t>
            </w:r>
          </w:p>
        </w:tc>
      </w:tr>
      <w:tr w14:paraId="4BE72EC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C5A27D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w:t>
            </w:r>
          </w:p>
        </w:tc>
        <w:tc>
          <w:tcPr>
            <w:tcW w:w="8850" w:type="dxa"/>
            <w:tcBorders>
              <w:top w:val="single" w:color="auto" w:sz="4" w:space="0"/>
              <w:left w:val="single" w:color="auto" w:sz="4" w:space="0"/>
              <w:bottom w:val="single" w:color="auto" w:sz="4" w:space="0"/>
              <w:right w:val="double" w:color="auto" w:sz="2" w:space="0"/>
            </w:tcBorders>
            <w:vAlign w:val="center"/>
          </w:tcPr>
          <w:p w14:paraId="282CA0ED">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评审方法：详见第六章供应商须知第22、23条及本文件第四章、第五章</w:t>
            </w:r>
          </w:p>
        </w:tc>
      </w:tr>
      <w:tr w14:paraId="314C35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EFF1150">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w:t>
            </w:r>
          </w:p>
        </w:tc>
        <w:tc>
          <w:tcPr>
            <w:tcW w:w="8850" w:type="dxa"/>
            <w:tcBorders>
              <w:top w:val="single" w:color="auto" w:sz="4" w:space="0"/>
              <w:left w:val="single" w:color="auto" w:sz="4" w:space="0"/>
              <w:bottom w:val="single" w:color="auto" w:sz="4" w:space="0"/>
              <w:right w:val="double" w:color="auto" w:sz="2" w:space="0"/>
            </w:tcBorders>
            <w:vAlign w:val="center"/>
          </w:tcPr>
          <w:p w14:paraId="68F4E94B">
            <w:pPr>
              <w:spacing w:line="400" w:lineRule="atLeas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项目地点：宿州市</w:t>
            </w:r>
          </w:p>
        </w:tc>
      </w:tr>
      <w:tr w14:paraId="5E32E7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8E45AC4">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w:t>
            </w:r>
          </w:p>
        </w:tc>
        <w:tc>
          <w:tcPr>
            <w:tcW w:w="8850" w:type="dxa"/>
            <w:tcBorders>
              <w:top w:val="single" w:color="auto" w:sz="4" w:space="0"/>
              <w:left w:val="single" w:color="auto" w:sz="4" w:space="0"/>
              <w:bottom w:val="single" w:color="auto" w:sz="4" w:space="0"/>
              <w:right w:val="double" w:color="auto" w:sz="2" w:space="0"/>
            </w:tcBorders>
            <w:vAlign w:val="center"/>
          </w:tcPr>
          <w:p w14:paraId="7804AA32">
            <w:pPr>
              <w:spacing w:line="400" w:lineRule="atLeast"/>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磋商响应文件（纸质文件）份数：</w:t>
            </w:r>
            <w:r>
              <w:rPr>
                <w:rFonts w:hint="eastAsia" w:ascii="宋体" w:hAnsi="宋体" w:cs="Arial"/>
                <w:b/>
                <w:bCs/>
                <w:color w:val="000000" w:themeColor="text1"/>
                <w:u w:val="single"/>
                <w14:textFill>
                  <w14:solidFill>
                    <w14:schemeClr w14:val="tx1"/>
                  </w14:solidFill>
                </w14:textFill>
              </w:rPr>
              <w:t xml:space="preserve">1正2副  共3 </w:t>
            </w:r>
            <w:r>
              <w:rPr>
                <w:rFonts w:hint="eastAsia" w:ascii="宋体" w:hAnsi="宋体" w:cs="Arial"/>
                <w:b/>
                <w:bCs/>
                <w:color w:val="000000" w:themeColor="text1"/>
                <w14:textFill>
                  <w14:solidFill>
                    <w14:schemeClr w14:val="tx1"/>
                  </w14:solidFill>
                </w14:textFill>
              </w:rPr>
              <w:t>份，装订和封装要求详见本文件第六章第18条。</w:t>
            </w:r>
            <w:r>
              <w:rPr>
                <w:rFonts w:hint="eastAsia" w:ascii="宋体" w:hAnsi="宋体" w:cs="Arial"/>
                <w:b/>
                <w:bCs/>
                <w:color w:val="000000" w:themeColor="text1"/>
                <w:lang w:val="en-US" w:eastAsia="zh-CN"/>
                <w14:textFill>
                  <w14:solidFill>
                    <w14:schemeClr w14:val="tx1"/>
                  </w14:solidFill>
                </w14:textFill>
              </w:rPr>
              <w:t>除</w:t>
            </w:r>
            <w:r>
              <w:rPr>
                <w:rFonts w:hint="eastAsia" w:ascii="宋体" w:hAnsi="宋体" w:cs="Arial"/>
                <w:b/>
                <w:bCs/>
                <w:color w:val="000000" w:themeColor="text1"/>
                <w14:textFill>
                  <w14:solidFill>
                    <w14:schemeClr w14:val="tx1"/>
                  </w14:solidFill>
                </w14:textFill>
              </w:rPr>
              <w:t>提交的</w:t>
            </w:r>
            <w:r>
              <w:rPr>
                <w:rFonts w:hint="eastAsia" w:ascii="宋体" w:hAnsi="宋体" w:cs="Arial"/>
                <w:b/>
                <w:bCs/>
                <w:color w:val="000000" w:themeColor="text1"/>
                <w:lang w:val="en-US" w:eastAsia="zh-CN"/>
                <w14:textFill>
                  <w14:solidFill>
                    <w14:schemeClr w14:val="tx1"/>
                  </w14:solidFill>
                </w14:textFill>
              </w:rPr>
              <w:t>纸质</w:t>
            </w:r>
            <w:r>
              <w:rPr>
                <w:rFonts w:hint="eastAsia" w:ascii="宋体" w:hAnsi="宋体" w:cs="Arial"/>
                <w:b/>
                <w:bCs/>
                <w:color w:val="000000" w:themeColor="text1"/>
                <w14:textFill>
                  <w14:solidFill>
                    <w14:schemeClr w14:val="tx1"/>
                  </w14:solidFill>
                </w14:textFill>
              </w:rPr>
              <w:t>磋商响应文件外，本项目还需递交一份含有磋商响应文件的电子u盘。</w:t>
            </w:r>
          </w:p>
        </w:tc>
      </w:tr>
      <w:tr w14:paraId="63F353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4A4B1F">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w:t>
            </w:r>
          </w:p>
        </w:tc>
        <w:tc>
          <w:tcPr>
            <w:tcW w:w="8850" w:type="dxa"/>
            <w:tcBorders>
              <w:top w:val="single" w:color="auto" w:sz="4" w:space="0"/>
              <w:left w:val="single" w:color="auto" w:sz="4" w:space="0"/>
              <w:bottom w:val="single" w:color="auto" w:sz="4" w:space="0"/>
              <w:right w:val="double" w:color="auto" w:sz="2" w:space="0"/>
            </w:tcBorders>
            <w:vAlign w:val="center"/>
          </w:tcPr>
          <w:p w14:paraId="6079BE51">
            <w:pPr>
              <w:pStyle w:val="14"/>
              <w:spacing w:line="400" w:lineRule="atLeast"/>
              <w:rPr>
                <w:rFonts w:ascii="宋体"/>
                <w:color w:val="000000" w:themeColor="text1"/>
                <w14:textFill>
                  <w14:solidFill>
                    <w14:schemeClr w14:val="tx1"/>
                  </w14:solidFill>
                </w14:textFill>
              </w:rPr>
            </w:pPr>
            <w:r>
              <w:rPr>
                <w:rFonts w:hint="eastAsia" w:ascii="宋体" w:eastAsia="宋体" w:cs="Arial"/>
                <w:color w:val="000000" w:themeColor="text1"/>
                <w:sz w:val="21"/>
                <w:szCs w:val="21"/>
                <w14:textFill>
                  <w14:solidFill>
                    <w14:schemeClr w14:val="tx1"/>
                  </w14:solidFill>
                </w14:textFill>
              </w:rPr>
              <w:t>签订合同地点：皖北卫生职业学院</w:t>
            </w:r>
          </w:p>
        </w:tc>
      </w:tr>
      <w:tr w14:paraId="15CF796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411F1111">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w:t>
            </w:r>
          </w:p>
        </w:tc>
        <w:tc>
          <w:tcPr>
            <w:tcW w:w="8850" w:type="dxa"/>
            <w:tcBorders>
              <w:top w:val="single" w:color="auto" w:sz="4" w:space="0"/>
              <w:left w:val="single" w:color="auto" w:sz="4" w:space="0"/>
              <w:bottom w:val="single" w:color="auto" w:sz="4" w:space="0"/>
              <w:right w:val="double" w:color="auto" w:sz="2" w:space="0"/>
            </w:tcBorders>
            <w:vAlign w:val="center"/>
          </w:tcPr>
          <w:p w14:paraId="592AF178">
            <w:pPr>
              <w:spacing w:line="400" w:lineRule="atLeast"/>
              <w:rPr>
                <w:rFonts w:hint="default" w:ascii="宋体" w:hAnsi="宋体"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w:t>
            </w:r>
            <w:r>
              <w:rPr>
                <w:rFonts w:hint="eastAsia"/>
                <w:color w:val="auto"/>
              </w:rPr>
              <w:t>目服务期</w:t>
            </w:r>
            <w:r>
              <w:rPr>
                <w:rFonts w:hint="eastAsia"/>
                <w:color w:val="auto"/>
                <w:lang w:eastAsia="zh-CN"/>
              </w:rPr>
              <w:t>：</w:t>
            </w:r>
            <w:r>
              <w:rPr>
                <w:rFonts w:hint="eastAsia"/>
                <w:color w:val="auto"/>
                <w:lang w:val="en-US" w:eastAsia="zh-CN"/>
              </w:rPr>
              <w:t>自合同签订之日起1年，或完成合同约定的全部内容。</w:t>
            </w:r>
          </w:p>
        </w:tc>
      </w:tr>
      <w:tr w14:paraId="2AE1EF7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60D170B">
            <w:pPr>
              <w:spacing w:line="400" w:lineRule="atLeas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w:t>
            </w:r>
          </w:p>
        </w:tc>
        <w:tc>
          <w:tcPr>
            <w:tcW w:w="8850" w:type="dxa"/>
            <w:tcBorders>
              <w:top w:val="single" w:color="auto" w:sz="4" w:space="0"/>
              <w:left w:val="single" w:color="auto" w:sz="4" w:space="0"/>
              <w:bottom w:val="single" w:color="auto" w:sz="4" w:space="0"/>
              <w:right w:val="double" w:color="auto" w:sz="2" w:space="0"/>
            </w:tcBorders>
            <w:vAlign w:val="center"/>
          </w:tcPr>
          <w:p w14:paraId="7EFD837E">
            <w:pPr>
              <w:spacing w:line="400" w:lineRule="atLeast"/>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磋商保证金：</w:t>
            </w:r>
            <w:r>
              <w:rPr>
                <w:rFonts w:hint="eastAsia" w:ascii="宋体" w:hAnsi="宋体" w:cs="Arial"/>
                <w:b/>
                <w:bCs/>
                <w:color w:val="000000" w:themeColor="text1"/>
                <w14:textFill>
                  <w14:solidFill>
                    <w14:schemeClr w14:val="tx1"/>
                  </w14:solidFill>
                </w14:textFill>
              </w:rPr>
              <w:t>本项目不收取磋商保证金</w:t>
            </w:r>
            <w:r>
              <w:rPr>
                <w:rFonts w:hint="eastAsia" w:ascii="宋体" w:hAnsi="宋体" w:cs="Arial"/>
                <w:color w:val="000000" w:themeColor="text1"/>
                <w14:textFill>
                  <w14:solidFill>
                    <w14:schemeClr w14:val="tx1"/>
                  </w14:solidFill>
                </w14:textFill>
              </w:rPr>
              <w:t>，根据宿财购〔2020〕142号文件精神，为进一步深化“放管服”改革，优化营商环境，减轻企业负担，降低交易成本，促进民营企业和小微企业积极参与政府采购活动，采取</w:t>
            </w:r>
            <w:r>
              <w:rPr>
                <w:rFonts w:hint="eastAsia" w:ascii="宋体" w:hAnsi="宋体" w:cs="Arial"/>
                <w:b/>
                <w:bCs/>
                <w:color w:val="000000" w:themeColor="text1"/>
                <w14:textFill>
                  <w14:solidFill>
                    <w14:schemeClr w14:val="tx1"/>
                  </w14:solidFill>
                </w14:textFill>
              </w:rPr>
              <w:t>以承诺的形式替代磋商保证金</w:t>
            </w:r>
            <w:r>
              <w:rPr>
                <w:rFonts w:hint="eastAsia" w:ascii="宋体" w:hAnsi="宋体" w:cs="Arial"/>
                <w:color w:val="000000" w:themeColor="text1"/>
                <w14:textFill>
                  <w14:solidFill>
                    <w14:schemeClr w14:val="tx1"/>
                  </w14:solidFill>
                </w14:textFill>
              </w:rPr>
              <w:t>。对于在政府采购活动中存在有效期内撤销文件、无故放弃中标（成交）资格、弄虚作假、串通投标、不按规定缴纳履约保证金、不与采购人签订合同等违反政府采购相关法律法规的，利益受损方有权向供应商主张赔偿责任，供应商的失信行为将被纳入诚信记录。财政部门、政务服务管理部门将加大对供应商失信行为的惩戒力度，对未履行投标保证金承诺约定的供应商，严格依法依规进行处理。</w:t>
            </w:r>
          </w:p>
          <w:p w14:paraId="15EBC2A6">
            <w:pPr>
              <w:pStyle w:val="2"/>
              <w:ind w:left="0" w:leftChars="0" w:firstLine="0" w:firstLineChars="0"/>
              <w:rPr>
                <w:rFonts w:hint="default" w:eastAsia="仿宋_GB2312"/>
                <w:lang w:val="en-US" w:eastAsia="zh-CN"/>
              </w:rPr>
            </w:pPr>
            <w:r>
              <w:rPr>
                <w:rFonts w:hint="eastAsia" w:ascii="宋体" w:hAnsi="宋体" w:cs="Arial"/>
                <w:b/>
                <w:bCs/>
                <w:color w:val="000000" w:themeColor="text1"/>
                <w:lang w:val="en-US" w:eastAsia="zh-CN"/>
                <w14:textFill>
                  <w14:solidFill>
                    <w14:schemeClr w14:val="tx1"/>
                  </w14:solidFill>
                </w14:textFill>
              </w:rPr>
              <w:t>磋商保证金承诺函见第八章磋商响应文件格式附件</w:t>
            </w:r>
          </w:p>
        </w:tc>
      </w:tr>
      <w:tr w14:paraId="182E246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3778B2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w:t>
            </w:r>
          </w:p>
        </w:tc>
        <w:tc>
          <w:tcPr>
            <w:tcW w:w="8850" w:type="dxa"/>
            <w:tcBorders>
              <w:top w:val="single" w:color="auto" w:sz="4" w:space="0"/>
              <w:left w:val="single" w:color="auto" w:sz="4" w:space="0"/>
              <w:bottom w:val="single" w:color="auto" w:sz="4" w:space="0"/>
              <w:right w:val="double" w:color="auto" w:sz="2" w:space="0"/>
            </w:tcBorders>
            <w:vAlign w:val="center"/>
          </w:tcPr>
          <w:p w14:paraId="06CBFC32">
            <w:pPr>
              <w:spacing w:line="340" w:lineRule="exact"/>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公告公示媒介：皖北卫生职业学院网站发布</w:t>
            </w:r>
          </w:p>
        </w:tc>
      </w:tr>
      <w:tr w14:paraId="322411B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tcBorders>
              <w:top w:val="single" w:color="auto" w:sz="4" w:space="0"/>
              <w:left w:val="double" w:color="auto" w:sz="2" w:space="0"/>
              <w:bottom w:val="single" w:color="auto" w:sz="4" w:space="0"/>
              <w:right w:val="single" w:color="auto" w:sz="4" w:space="0"/>
            </w:tcBorders>
            <w:shd w:val="clear" w:color="auto" w:fill="auto"/>
            <w:vAlign w:val="center"/>
          </w:tcPr>
          <w:p w14:paraId="72245FDD">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w:t>
            </w:r>
          </w:p>
        </w:tc>
        <w:tc>
          <w:tcPr>
            <w:tcW w:w="8850" w:type="dxa"/>
            <w:tcBorders>
              <w:top w:val="single" w:color="auto" w:sz="4" w:space="0"/>
              <w:left w:val="single" w:color="auto" w:sz="4" w:space="0"/>
              <w:bottom w:val="single" w:color="auto" w:sz="4" w:space="0"/>
              <w:right w:val="double" w:color="auto" w:sz="2" w:space="0"/>
            </w:tcBorders>
            <w:shd w:val="clear" w:color="auto" w:fill="auto"/>
            <w:vAlign w:val="center"/>
          </w:tcPr>
          <w:p w14:paraId="515661C4">
            <w:pPr>
              <w:spacing w:line="360" w:lineRule="auto"/>
              <w:rPr>
                <w:rFonts w:hint="eastAsia" w:ascii="宋体" w:hAnsi="宋体" w:eastAsia="宋体"/>
                <w:color w:val="auto"/>
                <w:lang w:val="en-US" w:eastAsia="zh-CN"/>
              </w:rPr>
            </w:pPr>
            <w:r>
              <w:rPr>
                <w:rFonts w:hint="eastAsia" w:ascii="宋体" w:hAnsi="宋体" w:cs="宋体"/>
                <w:color w:val="auto"/>
              </w:rPr>
              <w:t>履约保证金：签订合同前向采购人缴纳合同金额的 2%的履约保证金。履约保证金形式：转账、电汇、保函。</w:t>
            </w:r>
          </w:p>
        </w:tc>
      </w:tr>
      <w:tr w14:paraId="56D83BB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15962BC4">
            <w:pPr>
              <w:spacing w:line="34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w:t>
            </w:r>
          </w:p>
        </w:tc>
        <w:tc>
          <w:tcPr>
            <w:tcW w:w="8850" w:type="dxa"/>
            <w:tcBorders>
              <w:top w:val="single" w:color="auto" w:sz="4" w:space="0"/>
              <w:left w:val="single" w:color="auto" w:sz="4" w:space="0"/>
              <w:bottom w:val="single" w:color="auto" w:sz="4" w:space="0"/>
              <w:right w:val="double" w:color="auto" w:sz="2" w:space="0"/>
            </w:tcBorders>
            <w:vAlign w:val="center"/>
          </w:tcPr>
          <w:p w14:paraId="4997A520">
            <w:pPr>
              <w:pStyle w:val="35"/>
              <w:widowControl w:val="0"/>
              <w:spacing w:line="340" w:lineRule="exact"/>
              <w:rPr>
                <w:rFonts w:hint="default" w:ascii="宋体" w:hAnsi="宋体" w:eastAsia="宋体" w:cs="Arial"/>
                <w:color w:val="auto"/>
                <w:lang w:val="en-US" w:eastAsia="zh-CN"/>
              </w:rPr>
            </w:pPr>
            <w:r>
              <w:rPr>
                <w:rFonts w:hint="eastAsia" w:ascii="宋体" w:hAnsi="宋体" w:cs="Arial"/>
                <w:color w:val="auto"/>
                <w:lang w:val="en-US" w:eastAsia="zh-CN"/>
              </w:rPr>
              <w:t>结款</w:t>
            </w:r>
            <w:r>
              <w:rPr>
                <w:rFonts w:hint="eastAsia" w:ascii="宋体" w:hAnsi="宋体" w:cs="Arial"/>
                <w:color w:val="auto"/>
              </w:rPr>
              <w:t>方式：</w:t>
            </w:r>
            <w:r>
              <w:rPr>
                <w:rFonts w:hint="eastAsia" w:ascii="宋体" w:hAnsi="宋体" w:cs="宋体"/>
                <w:i w:val="0"/>
                <w:iCs w:val="0"/>
                <w:color w:val="auto"/>
                <w:szCs w:val="21"/>
                <w:lang w:val="en-US" w:eastAsia="zh-CN"/>
              </w:rPr>
              <w:t>服务</w:t>
            </w:r>
            <w:r>
              <w:rPr>
                <w:rFonts w:hint="eastAsia" w:ascii="宋体" w:hAnsi="宋体" w:cs="宋体"/>
                <w:i w:val="0"/>
                <w:iCs w:val="0"/>
                <w:color w:val="auto"/>
                <w:szCs w:val="21"/>
              </w:rPr>
              <w:t>全部完成，采购人验收合格后一次性付清</w:t>
            </w:r>
          </w:p>
        </w:tc>
      </w:tr>
      <w:tr w14:paraId="417FDD9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6161CCC1">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w:t>
            </w:r>
          </w:p>
        </w:tc>
        <w:tc>
          <w:tcPr>
            <w:tcW w:w="8850" w:type="dxa"/>
            <w:tcBorders>
              <w:top w:val="single" w:color="auto" w:sz="4" w:space="0"/>
              <w:left w:val="single" w:color="auto" w:sz="4" w:space="0"/>
              <w:bottom w:val="single" w:color="auto" w:sz="4" w:space="0"/>
              <w:right w:val="double" w:color="auto" w:sz="2" w:space="0"/>
            </w:tcBorders>
            <w:vAlign w:val="center"/>
          </w:tcPr>
          <w:p w14:paraId="33988C66">
            <w:pPr>
              <w:pStyle w:val="35"/>
              <w:widowControl w:val="0"/>
              <w:spacing w:line="440" w:lineRule="atLeast"/>
              <w:rPr>
                <w:rFonts w:ascii="宋体" w:hAnsi="宋体" w:cs="宋体"/>
                <w:color w:val="auto"/>
                <w:shd w:val="clear" w:color="auto" w:fill="FFFFFF"/>
              </w:rPr>
            </w:pPr>
            <w:r>
              <w:rPr>
                <w:rFonts w:hint="eastAsia" w:ascii="宋体" w:hAnsi="宋体" w:cs="宋体"/>
                <w:color w:val="auto"/>
                <w:shd w:val="clear" w:color="auto" w:fill="FFFFFF"/>
              </w:rPr>
              <w:t>以下费用均由中标单位支付，请各供应商报价时综合考虑在报价中：招标代理服务费，</w:t>
            </w:r>
            <w:r>
              <w:rPr>
                <w:rFonts w:hint="eastAsia" w:ascii="宋体" w:hAnsi="宋体" w:cs="宋体"/>
                <w:color w:val="auto"/>
                <w:shd w:val="clear" w:color="auto" w:fill="FFFFFF"/>
                <w:lang w:val="en-US" w:eastAsia="zh-CN"/>
              </w:rPr>
              <w:t>3165</w:t>
            </w:r>
            <w:r>
              <w:rPr>
                <w:rFonts w:hint="eastAsia" w:ascii="宋体" w:hAnsi="宋体" w:cs="宋体"/>
                <w:color w:val="auto"/>
                <w:shd w:val="clear" w:color="auto" w:fill="FFFFFF"/>
              </w:rPr>
              <w:t>元</w:t>
            </w:r>
            <w:r>
              <w:rPr>
                <w:rFonts w:hint="eastAsia" w:ascii="宋体" w:hAnsi="宋体" w:cs="宋体"/>
                <w:color w:val="auto"/>
                <w:shd w:val="clear" w:color="auto" w:fill="FFFFFF"/>
                <w:lang w:eastAsia="zh-CN"/>
              </w:rPr>
              <w:t>，</w:t>
            </w:r>
            <w:r>
              <w:rPr>
                <w:rFonts w:hint="eastAsia" w:ascii="宋体" w:hAnsi="宋体" w:cs="宋体"/>
                <w:color w:val="auto"/>
                <w:u w:val="single"/>
                <w:shd w:val="clear" w:color="auto" w:fill="FFFFFF"/>
              </w:rPr>
              <w:t>专家评审费（</w:t>
            </w:r>
            <w:r>
              <w:rPr>
                <w:rFonts w:hint="eastAsia" w:ascii="宋体" w:hAnsi="宋体" w:cs="宋体"/>
                <w:color w:val="auto"/>
                <w:u w:val="single"/>
                <w:shd w:val="clear" w:color="auto" w:fill="FFFFFF"/>
                <w:lang w:val="en-US" w:eastAsia="zh-CN"/>
              </w:rPr>
              <w:t>由皖北卫生职业学院结算</w:t>
            </w:r>
            <w:r>
              <w:rPr>
                <w:rFonts w:hint="eastAsia" w:ascii="宋体" w:hAnsi="宋体" w:cs="宋体"/>
                <w:color w:val="auto"/>
                <w:u w:val="single"/>
                <w:shd w:val="clear" w:color="auto" w:fill="FFFFFF"/>
              </w:rPr>
              <w:t>）</w:t>
            </w:r>
            <w:r>
              <w:rPr>
                <w:rFonts w:hint="eastAsia" w:ascii="宋体" w:hAnsi="宋体" w:cs="宋体"/>
                <w:color w:val="auto"/>
                <w:shd w:val="clear" w:color="auto" w:fill="FFFFFF"/>
              </w:rPr>
              <w:t>。</w:t>
            </w:r>
          </w:p>
        </w:tc>
      </w:tr>
      <w:tr w14:paraId="6240FFB4">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5" w:type="dxa"/>
            <w:tcBorders>
              <w:top w:val="single" w:color="auto" w:sz="4" w:space="0"/>
              <w:left w:val="double" w:color="auto" w:sz="2" w:space="0"/>
              <w:bottom w:val="single" w:color="auto" w:sz="4" w:space="0"/>
              <w:right w:val="single" w:color="auto" w:sz="4" w:space="0"/>
            </w:tcBorders>
            <w:vAlign w:val="center"/>
          </w:tcPr>
          <w:p w14:paraId="008B36CB">
            <w:pPr>
              <w:spacing w:line="360" w:lineRule="auto"/>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20</w:t>
            </w:r>
          </w:p>
        </w:tc>
        <w:tc>
          <w:tcPr>
            <w:tcW w:w="8850" w:type="dxa"/>
            <w:tcBorders>
              <w:top w:val="single" w:color="auto" w:sz="4" w:space="0"/>
              <w:left w:val="single" w:color="auto" w:sz="4" w:space="0"/>
              <w:bottom w:val="single" w:color="auto" w:sz="4" w:space="0"/>
              <w:right w:val="double" w:color="auto" w:sz="2" w:space="0"/>
            </w:tcBorders>
            <w:vAlign w:val="center"/>
          </w:tcPr>
          <w:p w14:paraId="102C1C12">
            <w:pPr>
              <w:pStyle w:val="35"/>
              <w:widowControl w:val="0"/>
              <w:spacing w:line="440" w:lineRule="atLeast"/>
              <w:rPr>
                <w:rFonts w:ascii="宋体" w:hAnsi="宋体" w:cs="宋体"/>
                <w:b/>
                <w:color w:val="000000" w:themeColor="text1"/>
                <w:kern w:val="2"/>
                <w14:textFill>
                  <w14:solidFill>
                    <w14:schemeClr w14:val="tx1"/>
                  </w14:solidFill>
                </w14:textFill>
              </w:rPr>
            </w:pPr>
            <w:r>
              <w:rPr>
                <w:rFonts w:hint="eastAsia" w:ascii="宋体" w:hAnsi="宋体" w:cs="宋体"/>
                <w:bCs/>
                <w:color w:val="000000" w:themeColor="text1"/>
                <w14:textFill>
                  <w14:solidFill>
                    <w14:schemeClr w14:val="tx1"/>
                  </w14:solidFill>
                </w14:textFill>
              </w:rPr>
              <w:t>本磋商文件的各个组成文件应互为解释、互为说明；如有不明确或不一致的，构成合同组成内容的，以合同文件约定内容为准，且以专用合同条款约定的合同文件优先顺序解释；除磋商文件中有特别规定外，仅适用于招标投标阶段的规定，按磋商公告、供应商须知、评标办法、磋商文件格式的先后顺序解释。同一组成文件不同版本之间就同一事项的约定不一致的，以形成时间在后者为准。按本款前述规定仍不能形成结论的，由采购人或其委托的代理机构负责解释。</w:t>
            </w:r>
          </w:p>
        </w:tc>
      </w:tr>
    </w:tbl>
    <w:p w14:paraId="5E5BB0D2">
      <w:pPr>
        <w:pStyle w:val="31"/>
        <w:spacing w:line="480" w:lineRule="auto"/>
        <w:rPr>
          <w:rFonts w:hint="eastAsia"/>
          <w:color w:val="000000" w:themeColor="text1"/>
          <w14:textFill>
            <w14:solidFill>
              <w14:schemeClr w14:val="tx1"/>
            </w14:solidFill>
          </w14:textFill>
        </w:rPr>
        <w:sectPr>
          <w:footerReference r:id="rId5" w:type="default"/>
          <w:pgSz w:w="11906" w:h="16838"/>
          <w:pgMar w:top="1440" w:right="1689" w:bottom="1440" w:left="1689" w:header="851" w:footer="992" w:gutter="0"/>
          <w:cols w:space="720" w:num="1"/>
          <w:docGrid w:type="lines" w:linePitch="312" w:charSpace="0"/>
        </w:sectPr>
      </w:pPr>
      <w:bookmarkStart w:id="14" w:name="_Hlk450145192"/>
      <w:bookmarkEnd w:id="14"/>
    </w:p>
    <w:p w14:paraId="01150D4C">
      <w:pPr>
        <w:pStyle w:val="31"/>
        <w:spacing w:line="480" w:lineRule="auto"/>
        <w:ind w:firstLine="5140" w:firstLineChars="1600"/>
        <w:jc w:val="both"/>
        <w:rPr>
          <w:color w:val="000000" w:themeColor="text1"/>
          <w14:textFill>
            <w14:solidFill>
              <w14:schemeClr w14:val="tx1"/>
            </w14:solidFill>
          </w14:textFill>
        </w:rPr>
      </w:pPr>
      <w:bookmarkStart w:id="15" w:name="_Toc511899297"/>
      <w:bookmarkEnd w:id="15"/>
      <w:bookmarkStart w:id="16" w:name="_Toc272218546"/>
      <w:bookmarkStart w:id="17" w:name="_Toc18529"/>
      <w:r>
        <w:rPr>
          <w:rFonts w:hint="eastAsia" w:ascii="黑体"/>
          <w:color w:val="000000" w:themeColor="text1"/>
          <w14:textFill>
            <w14:solidFill>
              <w14:schemeClr w14:val="tx1"/>
            </w14:solidFill>
          </w14:textFill>
        </w:rPr>
        <w:t>第三章</w:t>
      </w:r>
      <w:bookmarkEnd w:id="16"/>
      <w:bookmarkEnd w:id="17"/>
      <w:r>
        <w:rPr>
          <w:rFonts w:hint="eastAsia" w:ascii="黑体"/>
          <w:color w:val="000000" w:themeColor="text1"/>
          <w14:textFill>
            <w14:solidFill>
              <w14:schemeClr w14:val="tx1"/>
            </w14:solidFill>
          </w14:textFill>
        </w:rPr>
        <w:t>采购需求及商务要求</w:t>
      </w:r>
    </w:p>
    <w:p w14:paraId="70FFEED3">
      <w:pPr>
        <w:pStyle w:val="21"/>
        <w:numPr>
          <w:ilvl w:val="0"/>
          <w:numId w:val="2"/>
        </w:numPr>
        <w:spacing w:before="0" w:beforeAutospacing="0" w:after="0" w:afterAutospacing="0" w:line="480" w:lineRule="auto"/>
        <w:jc w:val="center"/>
        <w:rPr>
          <w:rStyle w:val="27"/>
          <w:rFonts w:hint="eastAsia"/>
          <w:color w:val="000000" w:themeColor="text1"/>
          <w14:textFill>
            <w14:solidFill>
              <w14:schemeClr w14:val="tx1"/>
            </w14:solidFill>
          </w14:textFill>
        </w:rPr>
      </w:pPr>
      <w:bookmarkStart w:id="18" w:name="_Toc511899298"/>
      <w:bookmarkEnd w:id="18"/>
      <w:bookmarkStart w:id="19" w:name="_Toc13290"/>
      <w:r>
        <w:rPr>
          <w:rStyle w:val="27"/>
          <w:rFonts w:hint="eastAsia"/>
          <w:color w:val="000000" w:themeColor="text1"/>
          <w14:textFill>
            <w14:solidFill>
              <w14:schemeClr w14:val="tx1"/>
            </w14:solidFill>
          </w14:textFill>
        </w:rPr>
        <w:t>采购需求</w:t>
      </w:r>
    </w:p>
    <w:tbl>
      <w:tblPr>
        <w:tblStyle w:val="24"/>
        <w:tblW w:w="14034" w:type="dxa"/>
        <w:tblInd w:w="-5" w:type="dxa"/>
        <w:tblLayout w:type="autofit"/>
        <w:tblCellMar>
          <w:top w:w="0" w:type="dxa"/>
          <w:left w:w="108" w:type="dxa"/>
          <w:bottom w:w="0" w:type="dxa"/>
          <w:right w:w="108" w:type="dxa"/>
        </w:tblCellMar>
      </w:tblPr>
      <w:tblGrid>
        <w:gridCol w:w="427"/>
        <w:gridCol w:w="1133"/>
        <w:gridCol w:w="8901"/>
        <w:gridCol w:w="879"/>
        <w:gridCol w:w="711"/>
        <w:gridCol w:w="849"/>
        <w:gridCol w:w="1134"/>
      </w:tblGrid>
      <w:tr w14:paraId="1587CA2A">
        <w:tblPrEx>
          <w:tblCellMar>
            <w:top w:w="0" w:type="dxa"/>
            <w:left w:w="108" w:type="dxa"/>
            <w:bottom w:w="0" w:type="dxa"/>
            <w:right w:w="108" w:type="dxa"/>
          </w:tblCellMar>
        </w:tblPrEx>
        <w:trPr>
          <w:trHeight w:val="285"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2198713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0A85026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采购项目</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7AB3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项目需求</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61BD44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4FBFDE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CC0D95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c>
          <w:tcPr>
            <w:tcW w:w="1134"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FF4EAC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单项合计</w:t>
            </w:r>
          </w:p>
        </w:tc>
      </w:tr>
      <w:tr w14:paraId="69152D04">
        <w:tblPrEx>
          <w:tblCellMar>
            <w:top w:w="0" w:type="dxa"/>
            <w:left w:w="108" w:type="dxa"/>
            <w:bottom w:w="0" w:type="dxa"/>
            <w:right w:w="108" w:type="dxa"/>
          </w:tblCellMar>
        </w:tblPrEx>
        <w:trPr>
          <w:trHeight w:val="702" w:hRule="atLeast"/>
        </w:trPr>
        <w:tc>
          <w:tcPr>
            <w:tcW w:w="42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146756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810CCC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线路宣传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CB2E17C">
            <w:pPr>
              <w:widowControl/>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供应商提供</w:t>
            </w:r>
            <w:r>
              <w:rPr>
                <w:rFonts w:hint="eastAsia" w:ascii="宋体" w:hAnsi="宋体" w:eastAsia="宋体" w:cs="宋体"/>
                <w:b/>
                <w:bCs/>
                <w:color w:val="auto"/>
                <w:kern w:val="0"/>
                <w:szCs w:val="21"/>
              </w:rPr>
              <w:t>1</w:t>
            </w:r>
            <w:r>
              <w:rPr>
                <w:rFonts w:hint="eastAsia" w:ascii="宋体" w:hAnsi="宋体" w:cs="宋体"/>
                <w:b/>
                <w:bCs/>
                <w:color w:val="auto"/>
                <w:kern w:val="0"/>
                <w:szCs w:val="21"/>
                <w:lang w:val="en-US" w:eastAsia="zh-CN"/>
              </w:rPr>
              <w:t>0</w:t>
            </w:r>
            <w:r>
              <w:rPr>
                <w:rFonts w:hint="eastAsia" w:ascii="宋体" w:hAnsi="宋体" w:eastAsia="宋体" w:cs="宋体"/>
                <w:b/>
                <w:bCs/>
                <w:color w:val="auto"/>
                <w:kern w:val="0"/>
                <w:szCs w:val="21"/>
              </w:rPr>
              <w:t>条</w:t>
            </w:r>
            <w:r>
              <w:rPr>
                <w:rFonts w:hint="eastAsia" w:ascii="宋体" w:hAnsi="宋体" w:eastAsia="宋体" w:cs="宋体"/>
                <w:color w:val="auto"/>
                <w:kern w:val="0"/>
                <w:szCs w:val="21"/>
              </w:rPr>
              <w:t>线下进入安徽省高中（中职）宣传线路，其中2025年分类考试招生</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条，覆盖全省的总场次不少于70场进中学招生咨询宣传活动；202</w:t>
            </w:r>
            <w:r>
              <w:rPr>
                <w:rFonts w:ascii="宋体" w:hAnsi="宋体" w:eastAsia="宋体" w:cs="宋体"/>
                <w:color w:val="auto"/>
                <w:kern w:val="0"/>
                <w:szCs w:val="21"/>
              </w:rPr>
              <w:t>5</w:t>
            </w:r>
            <w:r>
              <w:rPr>
                <w:rFonts w:hint="eastAsia" w:ascii="宋体" w:hAnsi="宋体" w:eastAsia="宋体" w:cs="宋体"/>
                <w:color w:val="auto"/>
                <w:kern w:val="0"/>
                <w:szCs w:val="21"/>
              </w:rPr>
              <w:t>年普通高考招生4条，总场次不少于3</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场进中学招生宣传活动。</w:t>
            </w:r>
            <w:r>
              <w:rPr>
                <w:rFonts w:ascii="宋体" w:hAnsi="宋体" w:eastAsia="宋体"/>
                <w:color w:val="auto"/>
                <w:sz w:val="21"/>
                <w:szCs w:val="21"/>
                <w:u w:val="single"/>
              </w:rPr>
              <w:t>地区包括合肥市、亳州市、宿州市、阜阳市、六安市、淮南市、蚌埠市、滁州市、</w:t>
            </w:r>
            <w:r>
              <w:rPr>
                <w:rFonts w:hint="eastAsia" w:ascii="宋体" w:hAnsi="宋体" w:eastAsia="宋体"/>
                <w:color w:val="auto"/>
                <w:sz w:val="21"/>
                <w:szCs w:val="21"/>
                <w:u w:val="single"/>
              </w:rPr>
              <w:t>淮北市</w:t>
            </w:r>
            <w:r>
              <w:rPr>
                <w:rFonts w:hint="eastAsia" w:ascii="宋体" w:hAnsi="宋体" w:eastAsia="宋体"/>
                <w:color w:val="auto"/>
                <w:sz w:val="21"/>
                <w:szCs w:val="21"/>
                <w:u w:val="single"/>
                <w:lang w:eastAsia="zh-CN"/>
              </w:rPr>
              <w:t>。</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CA7BA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eastAsia="宋体" w:cs="宋体"/>
                <w:color w:val="000000"/>
                <w:kern w:val="0"/>
                <w:szCs w:val="21"/>
              </w:rPr>
              <w:t>条</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DD2BD0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28EA3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000</w:t>
            </w:r>
          </w:p>
        </w:tc>
        <w:tc>
          <w:tcPr>
            <w:tcW w:w="1134" w:type="dxa"/>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14:paraId="56E3E219">
            <w:pPr>
              <w:widowControl/>
              <w:jc w:val="center"/>
              <w:rPr>
                <w:rFonts w:ascii="宋体" w:hAnsi="宋体" w:eastAsia="宋体" w:cs="宋体"/>
                <w:b/>
                <w:bCs/>
                <w:color w:val="000000"/>
                <w:kern w:val="0"/>
                <w:sz w:val="22"/>
              </w:rPr>
            </w:pPr>
            <w:r>
              <w:rPr>
                <w:rFonts w:hint="eastAsia" w:ascii="宋体" w:hAnsi="宋体" w:eastAsia="宋体" w:cs="宋体"/>
                <w:b/>
                <w:bCs/>
                <w:color w:val="auto"/>
                <w:kern w:val="0"/>
                <w:szCs w:val="21"/>
              </w:rPr>
              <w:t>1</w:t>
            </w:r>
            <w:r>
              <w:rPr>
                <w:rFonts w:hint="eastAsia" w:ascii="宋体" w:hAnsi="宋体" w:cs="宋体"/>
                <w:b/>
                <w:bCs/>
                <w:color w:val="auto"/>
                <w:kern w:val="0"/>
                <w:szCs w:val="21"/>
                <w:lang w:val="en-US" w:eastAsia="zh-CN"/>
              </w:rPr>
              <w:t>20</w:t>
            </w:r>
            <w:r>
              <w:rPr>
                <w:rFonts w:hint="eastAsia" w:ascii="宋体" w:hAnsi="宋体" w:eastAsia="宋体" w:cs="宋体"/>
                <w:b/>
                <w:bCs/>
                <w:color w:val="auto"/>
                <w:kern w:val="0"/>
                <w:szCs w:val="21"/>
              </w:rPr>
              <w:t>000</w:t>
            </w:r>
          </w:p>
        </w:tc>
      </w:tr>
      <w:tr w14:paraId="53B0FAC1">
        <w:tblPrEx>
          <w:tblCellMar>
            <w:top w:w="0" w:type="dxa"/>
            <w:left w:w="108" w:type="dxa"/>
            <w:bottom w:w="0" w:type="dxa"/>
            <w:right w:w="108" w:type="dxa"/>
          </w:tblCellMar>
        </w:tblPrEx>
        <w:trPr>
          <w:trHeight w:val="1569" w:hRule="atLeast"/>
        </w:trPr>
        <w:tc>
          <w:tcPr>
            <w:tcW w:w="427"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6AAD6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33"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14:paraId="431B3C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线上宣传</w:t>
            </w: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D08AA8C">
            <w:pPr>
              <w:pStyle w:val="30"/>
              <w:widowControl/>
              <w:numPr>
                <w:ilvl w:val="0"/>
                <w:numId w:val="3"/>
              </w:numPr>
              <w:ind w:firstLineChars="0"/>
              <w:rPr>
                <w:rFonts w:ascii="宋体" w:hAnsi="宋体" w:eastAsia="宋体" w:cs="宋体"/>
                <w:b/>
                <w:color w:val="auto"/>
                <w:kern w:val="0"/>
                <w:szCs w:val="21"/>
              </w:rPr>
            </w:pPr>
            <w:r>
              <w:rPr>
                <w:rFonts w:hint="eastAsia" w:ascii="宋体" w:hAnsi="宋体" w:eastAsia="宋体" w:cs="宋体"/>
                <w:b/>
                <w:color w:val="auto"/>
                <w:kern w:val="0"/>
                <w:szCs w:val="21"/>
              </w:rPr>
              <w:t>线上平台宣传：</w:t>
            </w:r>
          </w:p>
          <w:p w14:paraId="2621BBE1">
            <w:pPr>
              <w:widowControl/>
              <w:rPr>
                <w:rFonts w:ascii="宋体" w:hAnsi="宋体" w:eastAsia="宋体" w:cs="宋体"/>
                <w:color w:val="auto"/>
                <w:kern w:val="0"/>
                <w:szCs w:val="21"/>
              </w:rPr>
            </w:pPr>
            <w:r>
              <w:rPr>
                <w:rFonts w:hint="eastAsia" w:ascii="宋体" w:hAnsi="宋体" w:eastAsia="宋体" w:cs="宋体"/>
                <w:color w:val="auto"/>
                <w:kern w:val="0"/>
                <w:szCs w:val="21"/>
              </w:rPr>
              <w:t>1.Pc端-热门媒体推广院校：考生及家长预览分类相关进行优先展示（分类）。</w:t>
            </w:r>
          </w:p>
          <w:p w14:paraId="0EE99161">
            <w:pPr>
              <w:widowControl/>
              <w:rPr>
                <w:rFonts w:ascii="宋体" w:hAnsi="宋体" w:eastAsia="宋体" w:cs="宋体"/>
                <w:color w:val="auto"/>
                <w:kern w:val="0"/>
                <w:szCs w:val="21"/>
              </w:rPr>
            </w:pPr>
            <w:r>
              <w:rPr>
                <w:rFonts w:hint="eastAsia" w:ascii="宋体" w:hAnsi="宋体" w:eastAsia="宋体" w:cs="宋体"/>
                <w:color w:val="auto"/>
                <w:kern w:val="0"/>
                <w:szCs w:val="21"/>
              </w:rPr>
              <w:t>2</w:t>
            </w:r>
            <w:r>
              <w:rPr>
                <w:rFonts w:ascii="宋体" w:hAnsi="宋体" w:eastAsia="宋体" w:cs="宋体"/>
                <w:color w:val="auto"/>
                <w:kern w:val="0"/>
                <w:szCs w:val="21"/>
              </w:rPr>
              <w:t>.Pc端-</w:t>
            </w:r>
            <w:r>
              <w:rPr>
                <w:rFonts w:hint="eastAsia" w:ascii="宋体" w:hAnsi="宋体" w:eastAsia="宋体" w:cs="宋体"/>
                <w:color w:val="auto"/>
                <w:kern w:val="0"/>
                <w:szCs w:val="21"/>
              </w:rPr>
              <w:t>热门媒体推广</w:t>
            </w:r>
            <w:r>
              <w:rPr>
                <w:rFonts w:ascii="宋体" w:hAnsi="宋体" w:eastAsia="宋体" w:cs="宋体"/>
                <w:color w:val="auto"/>
                <w:kern w:val="0"/>
                <w:szCs w:val="21"/>
              </w:rPr>
              <w:t>院校：考生及家长预览分类相关进行优先展示</w:t>
            </w:r>
            <w:r>
              <w:rPr>
                <w:rFonts w:hint="eastAsia" w:ascii="宋体" w:hAnsi="宋体" w:eastAsia="宋体" w:cs="宋体"/>
                <w:color w:val="auto"/>
                <w:kern w:val="0"/>
                <w:szCs w:val="21"/>
              </w:rPr>
              <w:t>（普招）</w:t>
            </w:r>
            <w:r>
              <w:rPr>
                <w:rFonts w:ascii="宋体" w:hAnsi="宋体" w:eastAsia="宋体" w:cs="宋体"/>
                <w:color w:val="auto"/>
                <w:kern w:val="0"/>
                <w:szCs w:val="21"/>
              </w:rPr>
              <w:t>。</w:t>
            </w:r>
          </w:p>
          <w:p w14:paraId="43EC10E3">
            <w:pPr>
              <w:widowControl/>
              <w:rPr>
                <w:rFonts w:ascii="宋体" w:hAnsi="宋体" w:eastAsia="宋体" w:cs="宋体"/>
                <w:color w:val="auto"/>
                <w:kern w:val="0"/>
                <w:szCs w:val="21"/>
              </w:rPr>
            </w:pP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567F7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3458451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14B106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24000</w:t>
            </w:r>
          </w:p>
        </w:tc>
        <w:tc>
          <w:tcPr>
            <w:tcW w:w="1134" w:type="dxa"/>
            <w:vMerge w:val="restart"/>
            <w:tcBorders>
              <w:top w:val="single" w:color="auto" w:sz="4" w:space="0"/>
              <w:left w:val="single" w:color="auto" w:sz="4" w:space="0"/>
              <w:right w:val="single" w:color="auto" w:sz="4" w:space="0"/>
            </w:tcBorders>
            <w:shd w:val="clear" w:color="auto" w:fill="auto"/>
            <w:noWrap/>
            <w:tcMar>
              <w:left w:w="0" w:type="dxa"/>
              <w:right w:w="0" w:type="dxa"/>
            </w:tcMar>
            <w:vAlign w:val="center"/>
          </w:tcPr>
          <w:p w14:paraId="1A274698">
            <w:pPr>
              <w:widowControl/>
              <w:ind w:firstLine="216" w:firstLineChars="98"/>
              <w:jc w:val="left"/>
              <w:rPr>
                <w:rFonts w:ascii="宋体" w:hAnsi="宋体" w:eastAsia="宋体" w:cs="宋体"/>
                <w:b/>
                <w:bCs/>
                <w:color w:val="000000"/>
                <w:kern w:val="0"/>
                <w:sz w:val="22"/>
              </w:rPr>
            </w:pPr>
            <w:r>
              <w:rPr>
                <w:rFonts w:hint="eastAsia" w:ascii="宋体" w:hAnsi="宋体" w:eastAsia="宋体" w:cs="宋体"/>
                <w:b/>
                <w:bCs/>
                <w:color w:val="000000"/>
                <w:kern w:val="0"/>
                <w:sz w:val="22"/>
              </w:rPr>
              <w:t>91000</w:t>
            </w:r>
          </w:p>
        </w:tc>
      </w:tr>
      <w:tr w14:paraId="42115345">
        <w:tblPrEx>
          <w:tblCellMar>
            <w:top w:w="0" w:type="dxa"/>
            <w:left w:w="108" w:type="dxa"/>
            <w:bottom w:w="0" w:type="dxa"/>
            <w:right w:w="108" w:type="dxa"/>
          </w:tblCellMar>
        </w:tblPrEx>
        <w:trPr>
          <w:trHeight w:val="900" w:hRule="atLeast"/>
        </w:trPr>
        <w:tc>
          <w:tcPr>
            <w:tcW w:w="427" w:type="dxa"/>
            <w:vMerge w:val="continue"/>
            <w:tcBorders>
              <w:left w:val="single" w:color="auto" w:sz="4" w:space="0"/>
              <w:right w:val="single" w:color="auto" w:sz="4" w:space="0"/>
            </w:tcBorders>
            <w:tcMar>
              <w:left w:w="0" w:type="dxa"/>
              <w:right w:w="0" w:type="dxa"/>
            </w:tcMar>
            <w:vAlign w:val="center"/>
          </w:tcPr>
          <w:p w14:paraId="0D23773F">
            <w:pPr>
              <w:widowControl/>
              <w:jc w:val="left"/>
              <w:rPr>
                <w:rFonts w:ascii="宋体" w:hAnsi="宋体" w:eastAsia="宋体" w:cs="宋体"/>
                <w:color w:val="000000"/>
                <w:kern w:val="0"/>
                <w:sz w:val="24"/>
                <w:szCs w:val="24"/>
              </w:rPr>
            </w:pPr>
          </w:p>
        </w:tc>
        <w:tc>
          <w:tcPr>
            <w:tcW w:w="1133" w:type="dxa"/>
            <w:vMerge w:val="continue"/>
            <w:tcBorders>
              <w:left w:val="single" w:color="auto" w:sz="4" w:space="0"/>
              <w:right w:val="single" w:color="auto" w:sz="4" w:space="0"/>
            </w:tcBorders>
            <w:tcMar>
              <w:left w:w="0" w:type="dxa"/>
              <w:right w:w="0" w:type="dxa"/>
            </w:tcMar>
            <w:vAlign w:val="center"/>
          </w:tcPr>
          <w:p w14:paraId="33B74494">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19FDCEA">
            <w:pPr>
              <w:widowControl/>
              <w:rPr>
                <w:rFonts w:ascii="宋体" w:hAnsi="宋体" w:eastAsia="宋体" w:cs="宋体"/>
                <w:b/>
                <w:color w:val="000000"/>
                <w:kern w:val="0"/>
                <w:szCs w:val="21"/>
              </w:rPr>
            </w:pPr>
            <w:r>
              <w:rPr>
                <w:rFonts w:hint="eastAsia" w:ascii="宋体" w:hAnsi="宋体" w:eastAsia="宋体" w:cs="宋体"/>
                <w:b/>
                <w:color w:val="000000"/>
                <w:kern w:val="0"/>
                <w:szCs w:val="21"/>
              </w:rPr>
              <w:t>（2）朋友圈广告精准定投：</w:t>
            </w:r>
          </w:p>
          <w:p w14:paraId="334BC16A">
            <w:pPr>
              <w:widowControl/>
              <w:rPr>
                <w:rFonts w:ascii="宋体" w:hAnsi="宋体" w:eastAsia="宋体" w:cs="宋体"/>
                <w:color w:val="000000"/>
                <w:kern w:val="0"/>
                <w:szCs w:val="21"/>
              </w:rPr>
            </w:pPr>
            <w:r>
              <w:rPr>
                <w:rFonts w:hint="eastAsia"/>
                <w:kern w:val="0"/>
              </w:rPr>
              <w:t>在分类招生季和普高招生季向目标生源的朋友圈精准定投</w:t>
            </w:r>
            <w:r>
              <w:rPr>
                <w:kern w:val="0"/>
              </w:rPr>
              <w:t>2025</w:t>
            </w:r>
            <w:r>
              <w:rPr>
                <w:rFonts w:hint="eastAsia"/>
                <w:kern w:val="0"/>
              </w:rPr>
              <w:t>年招生宣传信息，按照曝光次数收费，浏览时长</w:t>
            </w:r>
            <w:r>
              <w:rPr>
                <w:kern w:val="0"/>
              </w:rPr>
              <w:t>3</w:t>
            </w:r>
            <w:r>
              <w:rPr>
                <w:rFonts w:hint="eastAsia"/>
                <w:kern w:val="0"/>
              </w:rPr>
              <w:t>秒到</w:t>
            </w:r>
            <w:r>
              <w:rPr>
                <w:kern w:val="0"/>
              </w:rPr>
              <w:t>5</w:t>
            </w:r>
            <w:r>
              <w:rPr>
                <w:rFonts w:hint="eastAsia"/>
                <w:kern w:val="0"/>
              </w:rPr>
              <w:t>分钟计一次曝光。</w:t>
            </w:r>
            <w:r>
              <w:rPr>
                <w:kern w:val="0"/>
              </w:rPr>
              <w:br w:type="textWrapping"/>
            </w:r>
            <w:r>
              <w:rPr>
                <w:rFonts w:hint="eastAsia"/>
                <w:kern w:val="0"/>
              </w:rPr>
              <w:t>要求分类招生曝光曝光次数不低于</w:t>
            </w:r>
            <w:r>
              <w:rPr>
                <w:kern w:val="0"/>
              </w:rPr>
              <w:t>160</w:t>
            </w:r>
            <w:r>
              <w:rPr>
                <w:rFonts w:hint="eastAsia"/>
                <w:kern w:val="0"/>
              </w:rPr>
              <w:t>万次，普通高考招生曝光不低于</w:t>
            </w:r>
            <w:r>
              <w:rPr>
                <w:kern w:val="0"/>
              </w:rPr>
              <w:t>160</w:t>
            </w:r>
            <w:r>
              <w:rPr>
                <w:rFonts w:hint="eastAsia"/>
                <w:kern w:val="0"/>
              </w:rPr>
              <w:t>万次，合计曝光不低于</w:t>
            </w:r>
            <w:r>
              <w:rPr>
                <w:kern w:val="0"/>
              </w:rPr>
              <w:t>320</w:t>
            </w:r>
            <w:r>
              <w:rPr>
                <w:rFonts w:hint="eastAsia"/>
                <w:kern w:val="0"/>
              </w:rPr>
              <w:t>万次。含朋友圈广告的封面和推广内页定制设计。</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77DE2A5B">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2项</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704C9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8496B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40000</w:t>
            </w:r>
          </w:p>
        </w:tc>
        <w:tc>
          <w:tcPr>
            <w:tcW w:w="1134" w:type="dxa"/>
            <w:vMerge w:val="continue"/>
            <w:tcBorders>
              <w:left w:val="single" w:color="auto" w:sz="4" w:space="0"/>
              <w:right w:val="single" w:color="auto" w:sz="4" w:space="0"/>
            </w:tcBorders>
            <w:tcMar>
              <w:left w:w="0" w:type="dxa"/>
              <w:right w:w="0" w:type="dxa"/>
            </w:tcMar>
            <w:vAlign w:val="center"/>
          </w:tcPr>
          <w:p w14:paraId="0F3CC909">
            <w:pPr>
              <w:widowControl/>
              <w:jc w:val="left"/>
              <w:rPr>
                <w:rFonts w:ascii="宋体" w:hAnsi="宋体" w:eastAsia="宋体" w:cs="宋体"/>
                <w:b/>
                <w:bCs/>
                <w:color w:val="000000"/>
                <w:kern w:val="0"/>
                <w:sz w:val="22"/>
              </w:rPr>
            </w:pPr>
          </w:p>
        </w:tc>
      </w:tr>
      <w:tr w14:paraId="268527B2">
        <w:tblPrEx>
          <w:tblCellMar>
            <w:top w:w="0" w:type="dxa"/>
            <w:left w:w="108" w:type="dxa"/>
            <w:bottom w:w="0" w:type="dxa"/>
            <w:right w:w="108" w:type="dxa"/>
          </w:tblCellMar>
        </w:tblPrEx>
        <w:trPr>
          <w:trHeight w:val="900" w:hRule="atLeast"/>
        </w:trPr>
        <w:tc>
          <w:tcPr>
            <w:tcW w:w="427" w:type="dxa"/>
            <w:vMerge w:val="continue"/>
            <w:tcBorders>
              <w:left w:val="single" w:color="auto" w:sz="4" w:space="0"/>
              <w:bottom w:val="single" w:color="auto" w:sz="4" w:space="0"/>
              <w:right w:val="single" w:color="auto" w:sz="4" w:space="0"/>
            </w:tcBorders>
            <w:tcMar>
              <w:left w:w="0" w:type="dxa"/>
              <w:right w:w="0" w:type="dxa"/>
            </w:tcMar>
            <w:vAlign w:val="center"/>
          </w:tcPr>
          <w:p w14:paraId="14874F72">
            <w:pPr>
              <w:widowControl/>
              <w:jc w:val="left"/>
              <w:rPr>
                <w:rFonts w:ascii="宋体" w:hAnsi="宋体" w:eastAsia="宋体" w:cs="宋体"/>
                <w:color w:val="000000"/>
                <w:kern w:val="0"/>
                <w:sz w:val="24"/>
                <w:szCs w:val="24"/>
              </w:rPr>
            </w:pPr>
          </w:p>
        </w:tc>
        <w:tc>
          <w:tcPr>
            <w:tcW w:w="1133" w:type="dxa"/>
            <w:vMerge w:val="continue"/>
            <w:tcBorders>
              <w:left w:val="single" w:color="auto" w:sz="4" w:space="0"/>
              <w:bottom w:val="single" w:color="auto" w:sz="4" w:space="0"/>
              <w:right w:val="single" w:color="auto" w:sz="4" w:space="0"/>
            </w:tcBorders>
            <w:tcMar>
              <w:left w:w="0" w:type="dxa"/>
              <w:right w:w="0" w:type="dxa"/>
            </w:tcMar>
            <w:vAlign w:val="center"/>
          </w:tcPr>
          <w:p w14:paraId="0DE7AF83">
            <w:pPr>
              <w:widowControl/>
              <w:jc w:val="left"/>
              <w:rPr>
                <w:rFonts w:ascii="宋体" w:hAnsi="宋体" w:eastAsia="宋体" w:cs="宋体"/>
                <w:color w:val="000000"/>
                <w:kern w:val="0"/>
                <w:szCs w:val="21"/>
              </w:rPr>
            </w:pPr>
          </w:p>
        </w:tc>
        <w:tc>
          <w:tcPr>
            <w:tcW w:w="890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5F1828F6">
            <w:pPr>
              <w:pStyle w:val="30"/>
              <w:widowControl/>
              <w:numPr>
                <w:ilvl w:val="0"/>
                <w:numId w:val="3"/>
              </w:numPr>
              <w:ind w:firstLineChars="0"/>
              <w:rPr>
                <w:rFonts w:ascii="宋体" w:hAnsi="宋体" w:eastAsia="宋体" w:cs="宋体"/>
                <w:b/>
                <w:color w:val="000000"/>
                <w:kern w:val="0"/>
                <w:szCs w:val="21"/>
              </w:rPr>
            </w:pPr>
            <w:r>
              <w:rPr>
                <w:rFonts w:hint="eastAsia" w:ascii="宋体" w:hAnsi="宋体" w:eastAsia="宋体" w:cs="宋体"/>
                <w:b/>
                <w:color w:val="000000"/>
                <w:kern w:val="0"/>
                <w:szCs w:val="21"/>
              </w:rPr>
              <w:t>招生直播</w:t>
            </w:r>
          </w:p>
          <w:p w14:paraId="25ADFBB3">
            <w:pPr>
              <w:widowControl/>
              <w:rPr>
                <w:rFonts w:ascii="宋体" w:hAnsi="宋体" w:eastAsia="宋体" w:cs="宋体"/>
                <w:b/>
                <w:color w:val="000000"/>
                <w:kern w:val="0"/>
                <w:szCs w:val="21"/>
              </w:rPr>
            </w:pPr>
            <w:r>
              <w:rPr>
                <w:rFonts w:hint="eastAsia" w:ascii="宋体" w:hAnsi="宋体" w:eastAsia="宋体" w:cs="宋体"/>
                <w:bCs/>
                <w:color w:val="000000"/>
                <w:kern w:val="0"/>
                <w:szCs w:val="21"/>
              </w:rPr>
              <w:t>分类3场、普招3场，每场次一个半小时，搭建直播页面，直播海报制作。</w:t>
            </w:r>
          </w:p>
        </w:tc>
        <w:tc>
          <w:tcPr>
            <w:tcW w:w="87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B9CE469">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6场</w:t>
            </w:r>
          </w:p>
        </w:tc>
        <w:tc>
          <w:tcPr>
            <w:tcW w:w="71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4DFDD2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4500</w:t>
            </w:r>
          </w:p>
        </w:tc>
        <w:tc>
          <w:tcPr>
            <w:tcW w:w="849"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60EEDC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27000</w:t>
            </w:r>
          </w:p>
        </w:tc>
        <w:tc>
          <w:tcPr>
            <w:tcW w:w="1134" w:type="dxa"/>
            <w:vMerge w:val="continue"/>
            <w:tcBorders>
              <w:left w:val="single" w:color="auto" w:sz="4" w:space="0"/>
              <w:bottom w:val="single" w:color="auto" w:sz="4" w:space="0"/>
              <w:right w:val="single" w:color="auto" w:sz="4" w:space="0"/>
            </w:tcBorders>
            <w:tcMar>
              <w:left w:w="0" w:type="dxa"/>
              <w:right w:w="0" w:type="dxa"/>
            </w:tcMar>
            <w:vAlign w:val="center"/>
          </w:tcPr>
          <w:p w14:paraId="6C231AE7">
            <w:pPr>
              <w:widowControl/>
              <w:ind w:firstLine="216" w:firstLineChars="98"/>
              <w:jc w:val="left"/>
              <w:rPr>
                <w:rFonts w:ascii="宋体" w:hAnsi="宋体" w:eastAsia="宋体" w:cs="宋体"/>
                <w:b/>
                <w:bCs/>
                <w:color w:val="000000"/>
                <w:kern w:val="0"/>
                <w:sz w:val="22"/>
              </w:rPr>
            </w:pPr>
          </w:p>
        </w:tc>
      </w:tr>
      <w:tr w14:paraId="55747EE3">
        <w:tblPrEx>
          <w:tblCellMar>
            <w:top w:w="0" w:type="dxa"/>
            <w:left w:w="108" w:type="dxa"/>
            <w:bottom w:w="0" w:type="dxa"/>
            <w:right w:w="108" w:type="dxa"/>
          </w:tblCellMar>
        </w:tblPrEx>
        <w:trPr>
          <w:trHeight w:val="499" w:hRule="atLeast"/>
        </w:trPr>
        <w:tc>
          <w:tcPr>
            <w:tcW w:w="12051"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14:paraId="6063F8F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983" w:type="dxa"/>
            <w:gridSpan w:val="2"/>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14:paraId="2C57EEF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cs="宋体"/>
                <w:b/>
                <w:bCs/>
                <w:color w:val="000000"/>
                <w:kern w:val="0"/>
                <w:sz w:val="24"/>
                <w:szCs w:val="24"/>
                <w:lang w:val="en-US" w:eastAsia="zh-CN"/>
              </w:rPr>
              <w:t>11</w:t>
            </w:r>
            <w:r>
              <w:rPr>
                <w:rFonts w:hint="eastAsia" w:ascii="宋体" w:hAnsi="宋体" w:eastAsia="宋体" w:cs="宋体"/>
                <w:b/>
                <w:bCs/>
                <w:color w:val="000000"/>
                <w:kern w:val="0"/>
                <w:sz w:val="24"/>
                <w:szCs w:val="24"/>
              </w:rPr>
              <w:t>000</w:t>
            </w:r>
          </w:p>
        </w:tc>
      </w:tr>
    </w:tbl>
    <w:p w14:paraId="24D37448">
      <w:pPr>
        <w:pStyle w:val="33"/>
        <w:jc w:val="both"/>
        <w:rPr>
          <w:rFonts w:hint="eastAsia"/>
          <w:b/>
          <w:bCs/>
          <w:color w:val="auto"/>
          <w:sz w:val="24"/>
          <w:szCs w:val="24"/>
        </w:rPr>
      </w:pPr>
      <w:bookmarkStart w:id="20" w:name="_Toc5960"/>
      <w:r>
        <w:rPr>
          <w:rFonts w:hint="eastAsia" w:ascii="宋体" w:hAnsi="宋体" w:eastAsia="宋体" w:cs="Arial"/>
          <w:b/>
          <w:bCs/>
          <w:color w:val="auto"/>
          <w:kern w:val="2"/>
          <w:sz w:val="24"/>
          <w:szCs w:val="24"/>
          <w:lang w:val="en-US" w:eastAsia="zh-CN" w:bidi="ar-SA"/>
        </w:rPr>
        <w:t>本项目具体结算金额以实际完成工作量，按中标供应商所报单价据实结算。</w:t>
      </w:r>
    </w:p>
    <w:p w14:paraId="6AC41F89">
      <w:pPr>
        <w:pStyle w:val="33"/>
        <w:rPr>
          <w:rFonts w:hint="eastAsia"/>
          <w:color w:val="000000" w:themeColor="text1"/>
          <w:sz w:val="24"/>
          <w:szCs w:val="24"/>
          <w14:textFill>
            <w14:solidFill>
              <w14:schemeClr w14:val="tx1"/>
            </w14:solidFill>
          </w14:textFill>
        </w:rPr>
        <w:sectPr>
          <w:pgSz w:w="16838" w:h="11906" w:orient="landscape"/>
          <w:pgMar w:top="1689" w:right="1440" w:bottom="1689" w:left="1440" w:header="851" w:footer="992" w:gutter="0"/>
          <w:cols w:space="0" w:num="1"/>
          <w:rtlGutter w:val="0"/>
          <w:docGrid w:type="lines" w:linePitch="315" w:charSpace="0"/>
        </w:sectPr>
      </w:pPr>
    </w:p>
    <w:p w14:paraId="4E43FBC3">
      <w:pPr>
        <w:pStyle w:val="33"/>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二、商务要求</w:t>
      </w:r>
      <w:bookmarkEnd w:id="19"/>
      <w:bookmarkEnd w:id="20"/>
    </w:p>
    <w:tbl>
      <w:tblPr>
        <w:tblStyle w:val="2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3"/>
        <w:gridCol w:w="6417"/>
      </w:tblGrid>
      <w:tr w14:paraId="6660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94" w:type="dxa"/>
            <w:tcBorders>
              <w:top w:val="single" w:color="auto" w:sz="4" w:space="0"/>
              <w:left w:val="single" w:color="auto" w:sz="4" w:space="0"/>
              <w:bottom w:val="single" w:color="auto" w:sz="4" w:space="0"/>
              <w:right w:val="single" w:color="auto" w:sz="4" w:space="0"/>
            </w:tcBorders>
            <w:vAlign w:val="center"/>
          </w:tcPr>
          <w:p w14:paraId="5CF7EB93">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623" w:type="dxa"/>
            <w:tcBorders>
              <w:top w:val="single" w:color="auto" w:sz="4" w:space="0"/>
              <w:left w:val="nil"/>
              <w:bottom w:val="single" w:color="auto" w:sz="4" w:space="0"/>
              <w:right w:val="single" w:color="auto" w:sz="4" w:space="0"/>
            </w:tcBorders>
            <w:vAlign w:val="center"/>
          </w:tcPr>
          <w:p w14:paraId="41C2C17F">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内容</w:t>
            </w:r>
          </w:p>
        </w:tc>
        <w:tc>
          <w:tcPr>
            <w:tcW w:w="6417" w:type="dxa"/>
            <w:tcBorders>
              <w:top w:val="single" w:color="auto" w:sz="4" w:space="0"/>
              <w:left w:val="nil"/>
              <w:bottom w:val="single" w:color="auto" w:sz="4" w:space="0"/>
              <w:right w:val="single" w:color="auto" w:sz="4" w:space="0"/>
            </w:tcBorders>
            <w:vAlign w:val="center"/>
          </w:tcPr>
          <w:p w14:paraId="240FB45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要   求</w:t>
            </w:r>
          </w:p>
        </w:tc>
      </w:tr>
      <w:tr w14:paraId="07E4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tcBorders>
              <w:top w:val="single" w:color="auto" w:sz="4" w:space="0"/>
              <w:left w:val="single" w:color="auto" w:sz="4" w:space="0"/>
              <w:right w:val="single" w:color="auto" w:sz="4" w:space="0"/>
            </w:tcBorders>
            <w:vAlign w:val="center"/>
          </w:tcPr>
          <w:p w14:paraId="0F94BF5B">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w:t>
            </w:r>
          </w:p>
        </w:tc>
        <w:tc>
          <w:tcPr>
            <w:tcW w:w="1623" w:type="dxa"/>
            <w:tcBorders>
              <w:top w:val="single" w:color="auto" w:sz="4" w:space="0"/>
              <w:left w:val="nil"/>
              <w:right w:val="single" w:color="auto" w:sz="4" w:space="0"/>
            </w:tcBorders>
            <w:vAlign w:val="center"/>
          </w:tcPr>
          <w:p w14:paraId="29795F6C">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项目服务期</w:t>
            </w:r>
          </w:p>
        </w:tc>
        <w:tc>
          <w:tcPr>
            <w:tcW w:w="6417" w:type="dxa"/>
            <w:tcBorders>
              <w:top w:val="single" w:color="auto" w:sz="4" w:space="0"/>
              <w:left w:val="nil"/>
              <w:bottom w:val="single" w:color="auto" w:sz="4" w:space="0"/>
              <w:right w:val="single" w:color="auto" w:sz="4" w:space="0"/>
            </w:tcBorders>
            <w:vAlign w:val="center"/>
          </w:tcPr>
          <w:p w14:paraId="6F87CA2F">
            <w:pPr>
              <w:spacing w:line="360" w:lineRule="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auto"/>
                <w:lang w:val="en-US" w:eastAsia="zh-CN"/>
              </w:rPr>
              <w:t>自合同签订之日起１年，</w:t>
            </w:r>
            <w:r>
              <w:rPr>
                <w:rFonts w:hint="eastAsia"/>
                <w:color w:val="auto"/>
                <w:lang w:val="en-US" w:eastAsia="zh-CN"/>
              </w:rPr>
              <w:t>或完成合同约定的全部内容。</w:t>
            </w:r>
          </w:p>
        </w:tc>
      </w:tr>
      <w:tr w14:paraId="7998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4" w:type="dxa"/>
            <w:tcBorders>
              <w:top w:val="single" w:color="auto" w:sz="4" w:space="0"/>
              <w:left w:val="single" w:color="auto" w:sz="4" w:space="0"/>
              <w:bottom w:val="single" w:color="auto" w:sz="4" w:space="0"/>
              <w:right w:val="single" w:color="auto" w:sz="4" w:space="0"/>
            </w:tcBorders>
            <w:vAlign w:val="center"/>
          </w:tcPr>
          <w:p w14:paraId="60B0873D">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p>
        </w:tc>
        <w:tc>
          <w:tcPr>
            <w:tcW w:w="1623" w:type="dxa"/>
            <w:tcBorders>
              <w:top w:val="single" w:color="auto" w:sz="4" w:space="0"/>
              <w:left w:val="nil"/>
              <w:bottom w:val="single" w:color="auto" w:sz="4" w:space="0"/>
              <w:right w:val="single" w:color="auto" w:sz="4" w:space="0"/>
            </w:tcBorders>
            <w:vAlign w:val="center"/>
          </w:tcPr>
          <w:p w14:paraId="3581CCD6">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验收</w:t>
            </w:r>
          </w:p>
        </w:tc>
        <w:tc>
          <w:tcPr>
            <w:tcW w:w="6417" w:type="dxa"/>
            <w:tcBorders>
              <w:top w:val="single" w:color="auto" w:sz="4" w:space="0"/>
              <w:left w:val="nil"/>
              <w:bottom w:val="single" w:color="auto" w:sz="4" w:space="0"/>
              <w:right w:val="single" w:color="auto" w:sz="4" w:space="0"/>
            </w:tcBorders>
            <w:vAlign w:val="center"/>
          </w:tcPr>
          <w:p w14:paraId="78AF4AB0">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采购人组织验收</w:t>
            </w:r>
          </w:p>
        </w:tc>
      </w:tr>
      <w:tr w14:paraId="2233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4" w:type="dxa"/>
            <w:tcBorders>
              <w:top w:val="single" w:color="auto" w:sz="4" w:space="0"/>
              <w:left w:val="single" w:color="auto" w:sz="4" w:space="0"/>
              <w:bottom w:val="single" w:color="auto" w:sz="4" w:space="0"/>
              <w:right w:val="single" w:color="auto" w:sz="4" w:space="0"/>
            </w:tcBorders>
            <w:vAlign w:val="center"/>
          </w:tcPr>
          <w:p w14:paraId="7A76ED4E">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p>
        </w:tc>
        <w:tc>
          <w:tcPr>
            <w:tcW w:w="1623" w:type="dxa"/>
            <w:tcBorders>
              <w:top w:val="single" w:color="auto" w:sz="4" w:space="0"/>
              <w:left w:val="nil"/>
              <w:bottom w:val="single" w:color="auto" w:sz="4" w:space="0"/>
              <w:right w:val="single" w:color="auto" w:sz="4" w:space="0"/>
            </w:tcBorders>
            <w:vAlign w:val="center"/>
          </w:tcPr>
          <w:p w14:paraId="0B849684">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付款</w:t>
            </w:r>
          </w:p>
        </w:tc>
        <w:tc>
          <w:tcPr>
            <w:tcW w:w="6417" w:type="dxa"/>
            <w:tcBorders>
              <w:top w:val="single" w:color="auto" w:sz="4" w:space="0"/>
              <w:left w:val="nil"/>
              <w:bottom w:val="single" w:color="auto" w:sz="4" w:space="0"/>
              <w:right w:val="single" w:color="auto" w:sz="4" w:space="0"/>
            </w:tcBorders>
            <w:vAlign w:val="center"/>
          </w:tcPr>
          <w:p w14:paraId="5A1BB39A">
            <w:pPr>
              <w:spacing w:line="360" w:lineRule="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付款人：皖北卫生职业学院</w:t>
            </w:r>
          </w:p>
          <w:p w14:paraId="78DA7C7D">
            <w:pPr>
              <w:spacing w:line="360" w:lineRule="auto"/>
              <w:rPr>
                <w:rFonts w:hint="default" w:ascii="宋体" w:hAnsi="宋体" w:eastAsia="宋体" w:cs="宋体"/>
                <w:color w:val="000000" w:themeColor="text1"/>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付款方式：</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bl>
    <w:p w14:paraId="57342A56">
      <w:pPr>
        <w:pStyle w:val="31"/>
        <w:spacing w:line="480" w:lineRule="exact"/>
        <w:rPr>
          <w:rFonts w:hint="eastAsia" w:ascii="黑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21" w:name="_Toc511899300"/>
      <w:bookmarkEnd w:id="21"/>
      <w:bookmarkStart w:id="22" w:name="_Toc55"/>
      <w:r>
        <w:rPr>
          <w:rFonts w:hint="eastAsia" w:ascii="黑体"/>
          <w:color w:val="000000" w:themeColor="text1"/>
          <w14:textFill>
            <w14:solidFill>
              <w14:schemeClr w14:val="tx1"/>
            </w14:solidFill>
          </w14:textFill>
        </w:rPr>
        <w:t>第四章</w:t>
      </w:r>
      <w:bookmarkEnd w:id="22"/>
      <w:r>
        <w:rPr>
          <w:rFonts w:hint="eastAsia" w:ascii="黑体"/>
          <w:color w:val="000000" w:themeColor="text1"/>
          <w:lang w:eastAsia="zh-CN"/>
          <w14:textFill>
            <w14:solidFill>
              <w14:schemeClr w14:val="tx1"/>
            </w14:solidFill>
          </w14:textFill>
        </w:rPr>
        <w:t>、</w:t>
      </w:r>
      <w:r>
        <w:rPr>
          <w:rFonts w:hint="eastAsia" w:ascii="宋体" w:hAnsi="宋体" w:cs="宋体"/>
          <w:b/>
          <w:bCs/>
          <w:sz w:val="32"/>
          <w:szCs w:val="32"/>
        </w:rPr>
        <w:t>资格性和符合性审查</w:t>
      </w:r>
    </w:p>
    <w:p w14:paraId="18CAD75F">
      <w:pPr>
        <w:pStyle w:val="7"/>
        <w:spacing w:before="0" w:after="0" w:line="415" w:lineRule="auto"/>
        <w:ind w:firstLine="2249" w:firstLineChars="700"/>
        <w:rPr>
          <w:rFonts w:hint="eastAsia"/>
          <w:color w:val="000000" w:themeColor="text1"/>
          <w:lang w:val="en-US" w:eastAsia="zh-CN"/>
          <w14:textFill>
            <w14:solidFill>
              <w14:schemeClr w14:val="tx1"/>
            </w14:solidFill>
          </w14:textFill>
        </w:rPr>
      </w:pPr>
      <w:bookmarkStart w:id="23" w:name="_Toc3006"/>
      <w:bookmarkStart w:id="24" w:name="_Toc18817"/>
    </w:p>
    <w:p w14:paraId="02F7E445">
      <w:pPr>
        <w:pStyle w:val="7"/>
        <w:numPr>
          <w:ilvl w:val="0"/>
          <w:numId w:val="4"/>
        </w:numPr>
        <w:spacing w:before="0" w:after="0" w:line="415" w:lineRule="auto"/>
        <w:ind w:firstLine="2891" w:firstLineChars="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资格性审查表</w:t>
      </w:r>
      <w:bookmarkEnd w:id="23"/>
      <w:bookmarkEnd w:id="24"/>
    </w:p>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59"/>
        <w:gridCol w:w="2459"/>
      </w:tblGrid>
      <w:tr w14:paraId="2AC5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14:paraId="060CC5C4">
            <w:pPr>
              <w:adjustRightInd w:val="0"/>
              <w:snapToGrid w:val="0"/>
              <w:spacing w:line="360" w:lineRule="auto"/>
              <w:ind w:right="-10"/>
              <w:jc w:val="center"/>
              <w:rPr>
                <w:rFonts w:hint="eastAsia" w:ascii="宋体" w:hAnsi="宋体" w:cs="宋体"/>
                <w:sz w:val="24"/>
              </w:rPr>
            </w:pPr>
            <w:r>
              <w:rPr>
                <w:rFonts w:hint="eastAsia" w:ascii="宋体" w:hAnsi="宋体" w:cs="宋体"/>
                <w:sz w:val="24"/>
              </w:rPr>
              <w:t>序号</w:t>
            </w:r>
          </w:p>
        </w:tc>
        <w:tc>
          <w:tcPr>
            <w:tcW w:w="2127" w:type="dxa"/>
            <w:tcBorders>
              <w:bottom w:val="single" w:color="auto" w:sz="4" w:space="0"/>
            </w:tcBorders>
            <w:noWrap w:val="0"/>
            <w:vAlign w:val="center"/>
          </w:tcPr>
          <w:p w14:paraId="3E008F9A">
            <w:pPr>
              <w:pStyle w:val="48"/>
              <w:pBdr>
                <w:bottom w:val="none" w:color="auto" w:sz="0" w:space="0"/>
              </w:pBdr>
              <w:snapToGrid w:val="0"/>
              <w:spacing w:line="360" w:lineRule="auto"/>
              <w:ind w:right="-10"/>
              <w:textAlignment w:val="auto"/>
              <w:rPr>
                <w:rFonts w:hint="eastAsia" w:ascii="宋体" w:hAnsi="宋体" w:cs="宋体"/>
                <w:kern w:val="2"/>
                <w:szCs w:val="24"/>
              </w:rPr>
            </w:pPr>
            <w:r>
              <w:rPr>
                <w:rFonts w:hint="eastAsia" w:ascii="宋体" w:hAnsi="宋体" w:cs="宋体"/>
                <w:kern w:val="2"/>
                <w:szCs w:val="24"/>
              </w:rPr>
              <w:t>指标名称</w:t>
            </w:r>
          </w:p>
        </w:tc>
        <w:tc>
          <w:tcPr>
            <w:tcW w:w="3459" w:type="dxa"/>
            <w:tcBorders>
              <w:bottom w:val="single" w:color="auto" w:sz="4" w:space="0"/>
            </w:tcBorders>
            <w:noWrap w:val="0"/>
            <w:vAlign w:val="center"/>
          </w:tcPr>
          <w:p w14:paraId="1D87D7B5">
            <w:pPr>
              <w:adjustRightInd w:val="0"/>
              <w:snapToGrid w:val="0"/>
              <w:spacing w:line="360" w:lineRule="auto"/>
              <w:ind w:right="-10"/>
              <w:jc w:val="center"/>
              <w:rPr>
                <w:rFonts w:hint="eastAsia" w:ascii="宋体" w:hAnsi="宋体" w:cs="宋体"/>
                <w:sz w:val="24"/>
              </w:rPr>
            </w:pPr>
            <w:r>
              <w:rPr>
                <w:rFonts w:hint="eastAsia" w:ascii="宋体" w:hAnsi="宋体" w:cs="宋体"/>
                <w:sz w:val="24"/>
              </w:rPr>
              <w:t>指标要求</w:t>
            </w:r>
          </w:p>
        </w:tc>
        <w:tc>
          <w:tcPr>
            <w:tcW w:w="2459" w:type="dxa"/>
            <w:tcBorders>
              <w:bottom w:val="single" w:color="auto" w:sz="4" w:space="0"/>
            </w:tcBorders>
            <w:noWrap w:val="0"/>
            <w:vAlign w:val="center"/>
          </w:tcPr>
          <w:p w14:paraId="3A5BE521">
            <w:pPr>
              <w:adjustRightInd w:val="0"/>
              <w:snapToGrid w:val="0"/>
              <w:spacing w:line="360" w:lineRule="auto"/>
              <w:ind w:right="-10"/>
              <w:jc w:val="center"/>
              <w:rPr>
                <w:rFonts w:hint="eastAsia" w:ascii="宋体" w:hAnsi="宋体" w:cs="宋体"/>
                <w:sz w:val="24"/>
              </w:rPr>
            </w:pPr>
            <w:r>
              <w:rPr>
                <w:rFonts w:hint="eastAsia" w:ascii="宋体" w:hAnsi="宋体" w:cs="宋体"/>
                <w:sz w:val="24"/>
              </w:rPr>
              <w:t>备注</w:t>
            </w:r>
          </w:p>
        </w:tc>
      </w:tr>
      <w:tr w14:paraId="5A99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14:paraId="6C89BEFC">
            <w:pPr>
              <w:adjustRightInd w:val="0"/>
              <w:snapToGrid w:val="0"/>
              <w:spacing w:line="360" w:lineRule="auto"/>
              <w:ind w:right="-10"/>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13E5E9EF">
            <w:pPr>
              <w:spacing w:after="50" w:line="360" w:lineRule="auto"/>
              <w:ind w:right="-10"/>
              <w:jc w:val="center"/>
              <w:rPr>
                <w:rFonts w:hint="eastAsia" w:ascii="宋体" w:hAnsi="宋体" w:cs="宋体"/>
                <w:sz w:val="24"/>
                <w:szCs w:val="28"/>
              </w:rPr>
            </w:pPr>
            <w:r>
              <w:rPr>
                <w:rFonts w:hint="eastAsia" w:ascii="宋体" w:hAnsi="宋体" w:cs="宋体"/>
                <w:sz w:val="24"/>
                <w:szCs w:val="28"/>
              </w:rPr>
              <w:t>营业执照</w:t>
            </w:r>
          </w:p>
        </w:tc>
        <w:tc>
          <w:tcPr>
            <w:tcW w:w="3459" w:type="dxa"/>
            <w:noWrap w:val="0"/>
            <w:vAlign w:val="center"/>
          </w:tcPr>
          <w:p w14:paraId="495701B7">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合法有效，符合</w:t>
            </w:r>
            <w:r>
              <w:rPr>
                <w:rFonts w:hint="eastAsia" w:ascii="宋体" w:hAnsi="宋体" w:cs="宋体"/>
                <w:sz w:val="24"/>
                <w:szCs w:val="28"/>
                <w:lang w:eastAsia="zh-CN"/>
              </w:rPr>
              <w:t>磋商</w:t>
            </w:r>
            <w:r>
              <w:rPr>
                <w:rFonts w:hint="eastAsia" w:ascii="宋体" w:hAnsi="宋体" w:cs="宋体"/>
                <w:sz w:val="24"/>
                <w:szCs w:val="28"/>
              </w:rPr>
              <w:t>文件第一章要求</w:t>
            </w:r>
          </w:p>
        </w:tc>
        <w:tc>
          <w:tcPr>
            <w:tcW w:w="2459" w:type="dxa"/>
            <w:vMerge w:val="restart"/>
            <w:noWrap w:val="0"/>
            <w:vAlign w:val="center"/>
          </w:tcPr>
          <w:p w14:paraId="42B6BFB3">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提供有效的营业执照和税务登记证的（接受合一的证书），</w:t>
            </w:r>
            <w:r>
              <w:rPr>
                <w:rFonts w:hint="eastAsia" w:ascii="宋体" w:hAnsi="宋体" w:cs="宋体"/>
                <w:b/>
                <w:bCs/>
                <w:szCs w:val="21"/>
              </w:rPr>
              <w:t>应完整的体现出营业执照和税务登记证的全部内容。联合体</w:t>
            </w:r>
            <w:r>
              <w:rPr>
                <w:rFonts w:hint="eastAsia" w:ascii="宋体" w:hAnsi="宋体" w:cs="宋体"/>
                <w:b/>
                <w:bCs/>
                <w:szCs w:val="21"/>
                <w:lang w:eastAsia="zh-CN"/>
              </w:rPr>
              <w:t>磋商</w:t>
            </w:r>
            <w:r>
              <w:rPr>
                <w:rFonts w:hint="eastAsia" w:ascii="宋体" w:hAnsi="宋体" w:cs="宋体"/>
                <w:b/>
                <w:bCs/>
                <w:szCs w:val="21"/>
              </w:rPr>
              <w:t>采购的，联合体各方均须提供。</w:t>
            </w:r>
          </w:p>
        </w:tc>
      </w:tr>
      <w:tr w14:paraId="7F4D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14:paraId="2A13B8B8">
            <w:pPr>
              <w:adjustRightInd w:val="0"/>
              <w:snapToGrid w:val="0"/>
              <w:spacing w:line="360" w:lineRule="auto"/>
              <w:ind w:right="-10"/>
              <w:jc w:val="center"/>
              <w:rPr>
                <w:rFonts w:hint="eastAsia" w:ascii="宋体" w:hAnsi="宋体" w:cs="宋体"/>
                <w:sz w:val="24"/>
              </w:rPr>
            </w:pPr>
            <w:r>
              <w:rPr>
                <w:rFonts w:hint="eastAsia" w:ascii="宋体" w:hAnsi="宋体" w:cs="宋体"/>
                <w:sz w:val="24"/>
              </w:rPr>
              <w:t>2</w:t>
            </w:r>
          </w:p>
        </w:tc>
        <w:tc>
          <w:tcPr>
            <w:tcW w:w="2127" w:type="dxa"/>
            <w:noWrap w:val="0"/>
            <w:vAlign w:val="center"/>
          </w:tcPr>
          <w:p w14:paraId="5F7CBA90">
            <w:pPr>
              <w:spacing w:after="50" w:line="360" w:lineRule="auto"/>
              <w:ind w:right="-10"/>
              <w:jc w:val="center"/>
              <w:rPr>
                <w:rFonts w:hint="eastAsia" w:ascii="宋体" w:hAnsi="宋体" w:cs="宋体"/>
                <w:sz w:val="24"/>
                <w:szCs w:val="28"/>
              </w:rPr>
            </w:pPr>
            <w:r>
              <w:rPr>
                <w:rFonts w:hint="eastAsia" w:ascii="宋体" w:hAnsi="宋体" w:cs="宋体"/>
                <w:sz w:val="24"/>
                <w:szCs w:val="28"/>
              </w:rPr>
              <w:t>税务登记证</w:t>
            </w:r>
          </w:p>
        </w:tc>
        <w:tc>
          <w:tcPr>
            <w:tcW w:w="3459" w:type="dxa"/>
            <w:noWrap w:val="0"/>
            <w:vAlign w:val="center"/>
          </w:tcPr>
          <w:p w14:paraId="1A9D1B5D">
            <w:pPr>
              <w:spacing w:after="50" w:line="360" w:lineRule="auto"/>
              <w:ind w:right="-10"/>
              <w:jc w:val="center"/>
              <w:rPr>
                <w:rFonts w:hint="eastAsia" w:ascii="宋体" w:hAnsi="宋体" w:cs="宋体"/>
                <w:sz w:val="24"/>
                <w:szCs w:val="28"/>
              </w:rPr>
            </w:pPr>
            <w:r>
              <w:rPr>
                <w:rFonts w:hint="eastAsia" w:ascii="宋体" w:hAnsi="宋体" w:cs="宋体"/>
                <w:sz w:val="24"/>
                <w:szCs w:val="28"/>
              </w:rPr>
              <w:t>合法有效</w:t>
            </w:r>
          </w:p>
        </w:tc>
        <w:tc>
          <w:tcPr>
            <w:tcW w:w="2459" w:type="dxa"/>
            <w:vMerge w:val="continue"/>
            <w:noWrap w:val="0"/>
            <w:vAlign w:val="center"/>
          </w:tcPr>
          <w:p w14:paraId="2A6A822C">
            <w:pPr>
              <w:adjustRightInd w:val="0"/>
              <w:snapToGrid w:val="0"/>
              <w:spacing w:line="360" w:lineRule="auto"/>
              <w:ind w:right="-10"/>
              <w:jc w:val="center"/>
              <w:rPr>
                <w:rFonts w:hint="eastAsia" w:ascii="宋体" w:hAnsi="宋体" w:cs="宋体"/>
                <w:sz w:val="24"/>
              </w:rPr>
            </w:pPr>
          </w:p>
        </w:tc>
      </w:tr>
      <w:tr w14:paraId="2768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14:paraId="4652F34F">
            <w:pPr>
              <w:adjustRightInd w:val="0"/>
              <w:snapToGrid w:val="0"/>
              <w:spacing w:line="360" w:lineRule="auto"/>
              <w:ind w:right="-10"/>
              <w:jc w:val="center"/>
              <w:rPr>
                <w:rFonts w:hint="eastAsia" w:ascii="宋体" w:hAnsi="宋体" w:cs="宋体"/>
                <w:sz w:val="24"/>
              </w:rPr>
            </w:pPr>
            <w:r>
              <w:rPr>
                <w:rFonts w:hint="eastAsia" w:ascii="宋体" w:hAnsi="宋体" w:cs="宋体"/>
                <w:sz w:val="24"/>
              </w:rPr>
              <w:t>3</w:t>
            </w:r>
          </w:p>
        </w:tc>
        <w:tc>
          <w:tcPr>
            <w:tcW w:w="2127" w:type="dxa"/>
            <w:noWrap w:val="0"/>
            <w:vAlign w:val="center"/>
          </w:tcPr>
          <w:p w14:paraId="329A2AD7">
            <w:pPr>
              <w:spacing w:line="360" w:lineRule="auto"/>
              <w:ind w:right="-10"/>
              <w:jc w:val="center"/>
              <w:rPr>
                <w:rFonts w:hint="eastAsia" w:ascii="宋体" w:hAnsi="宋体" w:cs="宋体"/>
                <w:szCs w:val="21"/>
              </w:rPr>
            </w:pPr>
            <w:r>
              <w:rPr>
                <w:rFonts w:hint="eastAsia" w:ascii="宋体" w:hAnsi="宋体" w:cs="宋体"/>
                <w:szCs w:val="21"/>
              </w:rPr>
              <w:t>财务状况报告</w:t>
            </w:r>
          </w:p>
        </w:tc>
        <w:tc>
          <w:tcPr>
            <w:tcW w:w="3459" w:type="dxa"/>
            <w:noWrap w:val="0"/>
            <w:vAlign w:val="center"/>
          </w:tcPr>
          <w:p w14:paraId="31C971D9">
            <w:pPr>
              <w:spacing w:line="360" w:lineRule="auto"/>
              <w:ind w:right="-10"/>
              <w:jc w:val="center"/>
              <w:rPr>
                <w:rFonts w:hint="eastAsia" w:ascii="宋体" w:hAnsi="宋体" w:cs="宋体"/>
                <w:sz w:val="24"/>
                <w:szCs w:val="28"/>
              </w:rPr>
            </w:pPr>
            <w:r>
              <w:rPr>
                <w:rFonts w:hint="eastAsia" w:ascii="宋体" w:hAnsi="宋体" w:cs="宋体"/>
                <w:szCs w:val="21"/>
              </w:rPr>
              <w:t>投标时需提供上一年度或近期的财务报表﹝至少包含资产负债表和损益表﹞</w:t>
            </w:r>
          </w:p>
        </w:tc>
        <w:tc>
          <w:tcPr>
            <w:tcW w:w="2459" w:type="dxa"/>
            <w:noWrap w:val="0"/>
            <w:vAlign w:val="center"/>
          </w:tcPr>
          <w:p w14:paraId="7744292A">
            <w:pPr>
              <w:adjustRightInd w:val="0"/>
              <w:snapToGrid w:val="0"/>
              <w:spacing w:line="360" w:lineRule="auto"/>
              <w:ind w:right="-10"/>
              <w:jc w:val="center"/>
              <w:rPr>
                <w:rFonts w:hint="eastAsia" w:ascii="宋体" w:hAnsi="宋体" w:cs="宋体"/>
                <w:sz w:val="24"/>
              </w:rPr>
            </w:pPr>
          </w:p>
        </w:tc>
      </w:tr>
      <w:tr w14:paraId="7E4F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14:paraId="7E0A7375">
            <w:pPr>
              <w:adjustRightInd w:val="0"/>
              <w:snapToGrid w:val="0"/>
              <w:spacing w:line="360" w:lineRule="auto"/>
              <w:ind w:right="-10"/>
              <w:jc w:val="center"/>
              <w:rPr>
                <w:rFonts w:hint="eastAsia" w:ascii="宋体" w:hAnsi="宋体" w:cs="宋体"/>
                <w:sz w:val="24"/>
              </w:rPr>
            </w:pPr>
            <w:r>
              <w:rPr>
                <w:rFonts w:hint="eastAsia" w:ascii="宋体" w:hAnsi="宋体" w:cs="宋体"/>
                <w:sz w:val="24"/>
              </w:rPr>
              <w:t>4</w:t>
            </w:r>
          </w:p>
        </w:tc>
        <w:tc>
          <w:tcPr>
            <w:tcW w:w="2127" w:type="dxa"/>
            <w:noWrap w:val="0"/>
            <w:vAlign w:val="center"/>
          </w:tcPr>
          <w:p w14:paraId="58C585DD">
            <w:pPr>
              <w:ind w:right="-11"/>
              <w:jc w:val="center"/>
              <w:rPr>
                <w:rFonts w:hint="eastAsia" w:ascii="宋体" w:hAnsi="宋体" w:cs="宋体"/>
                <w:szCs w:val="21"/>
              </w:rPr>
            </w:pPr>
            <w:r>
              <w:rPr>
                <w:rFonts w:hint="eastAsia" w:ascii="宋体" w:hAnsi="宋体" w:cs="宋体"/>
                <w:szCs w:val="21"/>
              </w:rPr>
              <w:t>依法缴纳税收的相关材料</w:t>
            </w:r>
          </w:p>
        </w:tc>
        <w:tc>
          <w:tcPr>
            <w:tcW w:w="3459" w:type="dxa"/>
            <w:noWrap w:val="0"/>
            <w:vAlign w:val="center"/>
          </w:tcPr>
          <w:p w14:paraId="0313B489">
            <w:pPr>
              <w:spacing w:line="360" w:lineRule="auto"/>
              <w:ind w:right="-10"/>
              <w:jc w:val="center"/>
              <w:rPr>
                <w:rFonts w:hint="eastAsia" w:ascii="宋体" w:hAnsi="宋体" w:cs="宋体"/>
                <w:sz w:val="24"/>
                <w:szCs w:val="28"/>
              </w:rPr>
            </w:pPr>
            <w:r>
              <w:rPr>
                <w:rFonts w:hint="eastAsia" w:ascii="宋体" w:hAnsi="宋体" w:cs="宋体"/>
                <w:szCs w:val="21"/>
              </w:rPr>
              <w:t>近期纳税相关材料</w:t>
            </w:r>
          </w:p>
        </w:tc>
        <w:tc>
          <w:tcPr>
            <w:tcW w:w="2459" w:type="dxa"/>
            <w:noWrap w:val="0"/>
            <w:vAlign w:val="center"/>
          </w:tcPr>
          <w:p w14:paraId="31616327">
            <w:pPr>
              <w:adjustRightInd w:val="0"/>
              <w:snapToGrid w:val="0"/>
              <w:spacing w:line="360" w:lineRule="auto"/>
              <w:ind w:right="-10"/>
              <w:jc w:val="center"/>
              <w:rPr>
                <w:rFonts w:hint="eastAsia" w:ascii="宋体" w:hAnsi="宋体" w:cs="宋体"/>
                <w:sz w:val="24"/>
              </w:rPr>
            </w:pPr>
          </w:p>
        </w:tc>
      </w:tr>
      <w:tr w14:paraId="31B7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21A8DF68">
            <w:pPr>
              <w:adjustRightInd w:val="0"/>
              <w:snapToGrid w:val="0"/>
              <w:spacing w:line="360" w:lineRule="auto"/>
              <w:ind w:right="-10"/>
              <w:jc w:val="center"/>
              <w:rPr>
                <w:rFonts w:hint="eastAsia" w:ascii="宋体" w:hAnsi="宋体" w:cs="宋体"/>
                <w:sz w:val="24"/>
              </w:rPr>
            </w:pPr>
            <w:r>
              <w:rPr>
                <w:rFonts w:hint="eastAsia" w:ascii="宋体" w:hAnsi="宋体" w:cs="宋体"/>
                <w:sz w:val="24"/>
              </w:rPr>
              <w:t>5</w:t>
            </w:r>
          </w:p>
        </w:tc>
        <w:tc>
          <w:tcPr>
            <w:tcW w:w="2127" w:type="dxa"/>
            <w:noWrap w:val="0"/>
            <w:vAlign w:val="center"/>
          </w:tcPr>
          <w:p w14:paraId="0725BB12">
            <w:pPr>
              <w:spacing w:line="360" w:lineRule="exact"/>
              <w:ind w:right="-11"/>
              <w:jc w:val="center"/>
              <w:rPr>
                <w:rFonts w:hint="eastAsia" w:ascii="宋体" w:hAnsi="宋体" w:cs="宋体"/>
                <w:szCs w:val="21"/>
              </w:rPr>
            </w:pPr>
            <w:r>
              <w:rPr>
                <w:rFonts w:hint="eastAsia" w:ascii="宋体" w:hAnsi="宋体" w:cs="宋体"/>
                <w:szCs w:val="21"/>
              </w:rPr>
              <w:t>依法缴纳社会保障资金的相关材料</w:t>
            </w:r>
          </w:p>
        </w:tc>
        <w:tc>
          <w:tcPr>
            <w:tcW w:w="3459" w:type="dxa"/>
            <w:noWrap w:val="0"/>
            <w:vAlign w:val="center"/>
          </w:tcPr>
          <w:p w14:paraId="5F020223">
            <w:pPr>
              <w:spacing w:line="360" w:lineRule="auto"/>
              <w:ind w:right="-10"/>
              <w:jc w:val="center"/>
              <w:rPr>
                <w:rFonts w:hint="eastAsia" w:ascii="宋体" w:hAnsi="宋体" w:cs="宋体"/>
                <w:bCs/>
                <w:szCs w:val="21"/>
              </w:rPr>
            </w:pPr>
            <w:r>
              <w:rPr>
                <w:rFonts w:hint="eastAsia" w:ascii="宋体" w:hAnsi="宋体" w:cs="宋体"/>
                <w:szCs w:val="21"/>
              </w:rPr>
              <w:t>近期缴纳社保相关材料</w:t>
            </w:r>
          </w:p>
        </w:tc>
        <w:tc>
          <w:tcPr>
            <w:tcW w:w="2459" w:type="dxa"/>
            <w:noWrap w:val="0"/>
            <w:vAlign w:val="center"/>
          </w:tcPr>
          <w:p w14:paraId="7B422B38">
            <w:pPr>
              <w:adjustRightInd w:val="0"/>
              <w:snapToGrid w:val="0"/>
              <w:spacing w:line="360" w:lineRule="auto"/>
              <w:ind w:right="-10"/>
              <w:jc w:val="center"/>
              <w:rPr>
                <w:rFonts w:hint="eastAsia" w:ascii="宋体" w:hAnsi="宋体" w:cs="宋体"/>
                <w:sz w:val="24"/>
              </w:rPr>
            </w:pPr>
          </w:p>
        </w:tc>
      </w:tr>
      <w:tr w14:paraId="53B0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14:paraId="54D3FF90">
            <w:pPr>
              <w:adjustRightInd w:val="0"/>
              <w:snapToGrid w:val="0"/>
              <w:spacing w:line="360" w:lineRule="auto"/>
              <w:ind w:right="-10"/>
              <w:jc w:val="center"/>
              <w:rPr>
                <w:rFonts w:hint="eastAsia" w:ascii="宋体" w:hAnsi="宋体" w:cs="宋体"/>
                <w:sz w:val="24"/>
              </w:rPr>
            </w:pPr>
            <w:r>
              <w:rPr>
                <w:rFonts w:hint="eastAsia" w:ascii="宋体" w:hAnsi="宋体" w:cs="宋体"/>
                <w:sz w:val="24"/>
              </w:rPr>
              <w:t>6</w:t>
            </w:r>
          </w:p>
        </w:tc>
        <w:tc>
          <w:tcPr>
            <w:tcW w:w="2127" w:type="dxa"/>
            <w:noWrap w:val="0"/>
            <w:vAlign w:val="center"/>
          </w:tcPr>
          <w:p w14:paraId="6849129F">
            <w:pPr>
              <w:spacing w:line="360" w:lineRule="exact"/>
              <w:ind w:right="-11"/>
              <w:jc w:val="center"/>
              <w:rPr>
                <w:rFonts w:hint="eastAsia" w:ascii="宋体" w:hAnsi="宋体" w:cs="宋体"/>
                <w:szCs w:val="21"/>
              </w:rPr>
            </w:pPr>
            <w:r>
              <w:rPr>
                <w:rFonts w:hint="eastAsia" w:ascii="宋体" w:hAnsi="宋体" w:cs="宋体"/>
                <w:szCs w:val="21"/>
              </w:rPr>
              <w:t>具备履行合同所必须的设备和专业技术能力的证明材料</w:t>
            </w:r>
          </w:p>
        </w:tc>
        <w:tc>
          <w:tcPr>
            <w:tcW w:w="3459" w:type="dxa"/>
            <w:noWrap w:val="0"/>
            <w:vAlign w:val="center"/>
          </w:tcPr>
          <w:p w14:paraId="32C4B38D">
            <w:pPr>
              <w:spacing w:line="360" w:lineRule="auto"/>
              <w:ind w:right="-10"/>
              <w:jc w:val="center"/>
              <w:rPr>
                <w:rFonts w:hint="eastAsia" w:ascii="宋体" w:hAnsi="宋体" w:cs="宋体"/>
                <w:sz w:val="24"/>
                <w:szCs w:val="28"/>
              </w:rPr>
            </w:pPr>
            <w:r>
              <w:rPr>
                <w:rFonts w:hint="eastAsia" w:ascii="宋体" w:hAnsi="宋体" w:cs="宋体"/>
                <w:szCs w:val="21"/>
              </w:rPr>
              <w:t>如场所、设备照片或技术人员名单、证明等</w:t>
            </w:r>
          </w:p>
        </w:tc>
        <w:tc>
          <w:tcPr>
            <w:tcW w:w="2459" w:type="dxa"/>
            <w:noWrap w:val="0"/>
            <w:vAlign w:val="center"/>
          </w:tcPr>
          <w:p w14:paraId="7ECD83F8">
            <w:pPr>
              <w:adjustRightInd w:val="0"/>
              <w:snapToGrid w:val="0"/>
              <w:spacing w:line="360" w:lineRule="auto"/>
              <w:ind w:right="-10"/>
              <w:jc w:val="center"/>
              <w:rPr>
                <w:rFonts w:hint="eastAsia" w:ascii="宋体" w:hAnsi="宋体" w:cs="宋体"/>
                <w:sz w:val="24"/>
              </w:rPr>
            </w:pPr>
          </w:p>
        </w:tc>
      </w:tr>
      <w:tr w14:paraId="0629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14:paraId="1103E4F9">
            <w:pPr>
              <w:adjustRightInd w:val="0"/>
              <w:snapToGrid w:val="0"/>
              <w:spacing w:line="360" w:lineRule="auto"/>
              <w:ind w:right="-10"/>
              <w:jc w:val="center"/>
              <w:rPr>
                <w:rFonts w:hint="eastAsia" w:ascii="宋体" w:hAnsi="宋体" w:cs="宋体"/>
                <w:sz w:val="24"/>
              </w:rPr>
            </w:pPr>
            <w:r>
              <w:rPr>
                <w:rFonts w:hint="eastAsia" w:ascii="宋体" w:hAnsi="宋体" w:cs="宋体"/>
                <w:sz w:val="24"/>
              </w:rPr>
              <w:t>7</w:t>
            </w:r>
          </w:p>
        </w:tc>
        <w:tc>
          <w:tcPr>
            <w:tcW w:w="2127" w:type="dxa"/>
            <w:noWrap w:val="0"/>
            <w:vAlign w:val="center"/>
          </w:tcPr>
          <w:p w14:paraId="146842B2">
            <w:pPr>
              <w:spacing w:after="50" w:line="360" w:lineRule="auto"/>
              <w:ind w:right="-10"/>
              <w:jc w:val="center"/>
              <w:rPr>
                <w:rFonts w:hint="eastAsia" w:ascii="宋体" w:hAnsi="宋体" w:cs="宋体"/>
                <w:szCs w:val="21"/>
              </w:rPr>
            </w:pPr>
            <w:r>
              <w:rPr>
                <w:rFonts w:hint="eastAsia" w:ascii="宋体" w:hAnsi="宋体" w:cs="宋体"/>
                <w:szCs w:val="21"/>
                <w:lang w:eastAsia="zh-CN"/>
              </w:rPr>
              <w:t>磋商</w:t>
            </w:r>
            <w:r>
              <w:rPr>
                <w:rFonts w:hint="eastAsia" w:ascii="宋体" w:hAnsi="宋体" w:cs="宋体"/>
                <w:szCs w:val="21"/>
              </w:rPr>
              <w:t>保证金</w:t>
            </w:r>
          </w:p>
        </w:tc>
        <w:tc>
          <w:tcPr>
            <w:tcW w:w="3459" w:type="dxa"/>
            <w:noWrap w:val="0"/>
            <w:vAlign w:val="center"/>
          </w:tcPr>
          <w:p w14:paraId="26BE122D">
            <w:pPr>
              <w:spacing w:after="50" w:line="360" w:lineRule="auto"/>
              <w:ind w:right="-10"/>
              <w:jc w:val="center"/>
              <w:rPr>
                <w:rFonts w:hint="eastAsia" w:ascii="宋体" w:hAnsi="宋体" w:eastAsia="宋体" w:cs="宋体"/>
                <w:szCs w:val="21"/>
                <w:lang w:eastAsia="zh-CN"/>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w:t>
            </w:r>
            <w:r>
              <w:rPr>
                <w:rFonts w:hint="eastAsia" w:ascii="宋体" w:hAnsi="宋体" w:cs="宋体"/>
                <w:szCs w:val="21"/>
                <w:lang w:eastAsia="zh-CN"/>
              </w:rPr>
              <w:t>前附表需求</w:t>
            </w:r>
          </w:p>
        </w:tc>
        <w:tc>
          <w:tcPr>
            <w:tcW w:w="2459" w:type="dxa"/>
            <w:noWrap w:val="0"/>
            <w:vAlign w:val="center"/>
          </w:tcPr>
          <w:p w14:paraId="00BA2D59">
            <w:pPr>
              <w:adjustRightInd w:val="0"/>
              <w:snapToGrid w:val="0"/>
              <w:spacing w:line="360" w:lineRule="auto"/>
              <w:ind w:right="-10"/>
              <w:jc w:val="center"/>
              <w:rPr>
                <w:rFonts w:hint="eastAsia" w:ascii="宋体" w:hAnsi="宋体" w:cs="宋体"/>
                <w:sz w:val="24"/>
              </w:rPr>
            </w:pPr>
          </w:p>
        </w:tc>
      </w:tr>
      <w:tr w14:paraId="10DB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14:paraId="3557ECF0">
            <w:pPr>
              <w:adjustRightInd w:val="0"/>
              <w:snapToGrid w:val="0"/>
              <w:spacing w:line="360" w:lineRule="auto"/>
              <w:ind w:right="-10"/>
              <w:jc w:val="center"/>
              <w:rPr>
                <w:rFonts w:hint="eastAsia" w:ascii="宋体" w:hAnsi="宋体" w:cs="宋体"/>
                <w:szCs w:val="21"/>
              </w:rPr>
            </w:pPr>
            <w:r>
              <w:rPr>
                <w:rFonts w:hint="eastAsia" w:ascii="宋体" w:hAnsi="宋体" w:cs="宋体"/>
                <w:szCs w:val="21"/>
              </w:rPr>
              <w:t xml:space="preserve">8 </w:t>
            </w:r>
          </w:p>
        </w:tc>
        <w:tc>
          <w:tcPr>
            <w:tcW w:w="2127" w:type="dxa"/>
            <w:noWrap w:val="0"/>
            <w:vAlign w:val="center"/>
          </w:tcPr>
          <w:p w14:paraId="2D15B0B5">
            <w:pPr>
              <w:spacing w:after="50" w:line="360" w:lineRule="auto"/>
              <w:ind w:right="-10"/>
              <w:jc w:val="center"/>
              <w:rPr>
                <w:rFonts w:hint="default" w:ascii="宋体" w:hAnsi="宋体" w:cs="宋体"/>
                <w:szCs w:val="21"/>
                <w:lang w:val="en-US"/>
              </w:rPr>
            </w:pPr>
            <w:r>
              <w:rPr>
                <w:rFonts w:hint="eastAsia" w:ascii="宋体" w:hAnsi="宋体" w:cs="宋体"/>
                <w:szCs w:val="21"/>
                <w:lang w:val="en-US" w:eastAsia="zh-CN"/>
              </w:rPr>
              <w:t>投标情况</w:t>
            </w:r>
          </w:p>
        </w:tc>
        <w:tc>
          <w:tcPr>
            <w:tcW w:w="3459" w:type="dxa"/>
            <w:noWrap w:val="0"/>
            <w:vAlign w:val="center"/>
          </w:tcPr>
          <w:p w14:paraId="5598DF19">
            <w:pPr>
              <w:spacing w:after="50" w:line="360" w:lineRule="auto"/>
              <w:ind w:right="-10"/>
              <w:jc w:val="center"/>
              <w:rPr>
                <w:rFonts w:hint="eastAsia" w:ascii="宋体" w:hAnsi="宋体" w:cs="宋体"/>
                <w:szCs w:val="21"/>
              </w:rPr>
            </w:pPr>
            <w:r>
              <w:rPr>
                <w:rFonts w:hint="eastAsia"/>
                <w:b/>
                <w:bCs/>
                <w:color w:val="FF0000"/>
              </w:rPr>
              <w:t>供应商须在学校进行报名，否则其递交的投标响应文件将被视为无效</w:t>
            </w:r>
          </w:p>
        </w:tc>
        <w:tc>
          <w:tcPr>
            <w:tcW w:w="2459" w:type="dxa"/>
            <w:noWrap w:val="0"/>
            <w:vAlign w:val="center"/>
          </w:tcPr>
          <w:p w14:paraId="376771C2">
            <w:pPr>
              <w:adjustRightInd w:val="0"/>
              <w:snapToGrid w:val="0"/>
              <w:spacing w:line="360" w:lineRule="auto"/>
              <w:ind w:right="-10"/>
              <w:jc w:val="center"/>
              <w:rPr>
                <w:rFonts w:hint="eastAsia" w:ascii="宋体" w:hAnsi="宋体" w:cs="宋体"/>
                <w:sz w:val="24"/>
              </w:rPr>
            </w:pPr>
          </w:p>
        </w:tc>
      </w:tr>
      <w:tr w14:paraId="195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7507EA05">
            <w:pPr>
              <w:adjustRightInd w:val="0"/>
              <w:snapToGrid w:val="0"/>
              <w:spacing w:line="360" w:lineRule="auto"/>
              <w:ind w:right="-10"/>
              <w:jc w:val="center"/>
              <w:rPr>
                <w:rFonts w:hint="eastAsia" w:ascii="宋体" w:hAnsi="宋体" w:cs="宋体"/>
                <w:szCs w:val="21"/>
              </w:rPr>
            </w:pPr>
            <w:r>
              <w:rPr>
                <w:rFonts w:hint="eastAsia" w:ascii="宋体" w:hAnsi="宋体" w:cs="宋体"/>
                <w:szCs w:val="21"/>
              </w:rPr>
              <w:t>9</w:t>
            </w:r>
          </w:p>
        </w:tc>
        <w:tc>
          <w:tcPr>
            <w:tcW w:w="2127" w:type="dxa"/>
            <w:noWrap w:val="0"/>
            <w:vAlign w:val="center"/>
          </w:tcPr>
          <w:p w14:paraId="60F4F9F8">
            <w:pPr>
              <w:spacing w:after="50" w:line="360" w:lineRule="auto"/>
              <w:ind w:right="-10"/>
              <w:jc w:val="center"/>
              <w:rPr>
                <w:rFonts w:hint="eastAsia" w:ascii="宋体" w:hAnsi="宋体" w:cs="宋体"/>
                <w:szCs w:val="21"/>
              </w:rPr>
            </w:pPr>
            <w:r>
              <w:rPr>
                <w:rFonts w:hint="eastAsia" w:ascii="宋体" w:hAnsi="宋体" w:cs="宋体"/>
                <w:szCs w:val="21"/>
              </w:rPr>
              <w:t>法定代表人授权委托书和身份证明书</w:t>
            </w:r>
          </w:p>
        </w:tc>
        <w:tc>
          <w:tcPr>
            <w:tcW w:w="3459" w:type="dxa"/>
            <w:noWrap w:val="0"/>
            <w:vAlign w:val="center"/>
          </w:tcPr>
          <w:p w14:paraId="749D49FD">
            <w:pPr>
              <w:spacing w:after="50" w:line="360" w:lineRule="auto"/>
              <w:ind w:right="-10"/>
              <w:jc w:val="center"/>
              <w:rPr>
                <w:rFonts w:hint="eastAsia" w:ascii="宋体" w:hAnsi="宋体" w:cs="宋体"/>
                <w:szCs w:val="21"/>
              </w:rPr>
            </w:pPr>
            <w:r>
              <w:rPr>
                <w:rFonts w:hint="eastAsia" w:ascii="宋体" w:hAnsi="宋体" w:cs="宋体"/>
                <w:szCs w:val="21"/>
              </w:rPr>
              <w:t>符合</w:t>
            </w:r>
            <w:r>
              <w:rPr>
                <w:rFonts w:hint="eastAsia" w:ascii="宋体" w:hAnsi="宋体" w:cs="宋体"/>
                <w:szCs w:val="21"/>
                <w:lang w:eastAsia="zh-CN"/>
              </w:rPr>
              <w:t>磋商</w:t>
            </w:r>
            <w:r>
              <w:rPr>
                <w:rFonts w:hint="eastAsia" w:ascii="宋体" w:hAnsi="宋体" w:cs="宋体"/>
                <w:szCs w:val="21"/>
              </w:rPr>
              <w:t>文件要求</w:t>
            </w:r>
          </w:p>
        </w:tc>
        <w:tc>
          <w:tcPr>
            <w:tcW w:w="2459" w:type="dxa"/>
            <w:noWrap w:val="0"/>
            <w:vAlign w:val="center"/>
          </w:tcPr>
          <w:p w14:paraId="3337DC74">
            <w:pPr>
              <w:adjustRightInd w:val="0"/>
              <w:snapToGrid w:val="0"/>
              <w:spacing w:line="360" w:lineRule="auto"/>
              <w:ind w:right="-10"/>
              <w:jc w:val="center"/>
              <w:rPr>
                <w:rFonts w:hint="eastAsia" w:ascii="宋体" w:hAnsi="宋体" w:cs="宋体"/>
                <w:szCs w:val="21"/>
              </w:rPr>
            </w:pPr>
            <w:r>
              <w:rPr>
                <w:rFonts w:hint="eastAsia" w:ascii="宋体" w:hAnsi="宋体" w:cs="宋体"/>
                <w:szCs w:val="21"/>
              </w:rPr>
              <w:t>法人代表参加</w:t>
            </w:r>
            <w:r>
              <w:rPr>
                <w:rFonts w:hint="eastAsia" w:ascii="宋体" w:hAnsi="宋体" w:cs="宋体"/>
                <w:szCs w:val="21"/>
                <w:lang w:eastAsia="zh-CN"/>
              </w:rPr>
              <w:t>磋商</w:t>
            </w:r>
            <w:r>
              <w:rPr>
                <w:rFonts w:hint="eastAsia" w:ascii="宋体" w:hAnsi="宋体" w:cs="宋体"/>
                <w:szCs w:val="21"/>
              </w:rPr>
              <w:t>的无需授权委托书，提供身份证明书即可</w:t>
            </w:r>
          </w:p>
        </w:tc>
      </w:tr>
      <w:tr w14:paraId="798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66481CE5">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2127" w:type="dxa"/>
            <w:noWrap w:val="0"/>
            <w:vAlign w:val="center"/>
          </w:tcPr>
          <w:p w14:paraId="18886858">
            <w:pPr>
              <w:spacing w:after="50" w:line="360" w:lineRule="auto"/>
              <w:ind w:right="-10"/>
              <w:jc w:val="center"/>
              <w:rPr>
                <w:rFonts w:hint="eastAsia" w:ascii="宋体" w:hAnsi="宋体" w:cs="宋体"/>
                <w:b/>
                <w:szCs w:val="21"/>
              </w:rPr>
            </w:pPr>
            <w:r>
              <w:rPr>
                <w:rFonts w:hint="eastAsia" w:ascii="宋体" w:hAnsi="宋体" w:cs="宋体"/>
                <w:szCs w:val="21"/>
              </w:rPr>
              <w:t>联合体</w:t>
            </w:r>
            <w:r>
              <w:rPr>
                <w:rFonts w:hint="eastAsia" w:ascii="宋体" w:hAnsi="宋体" w:cs="宋体"/>
                <w:szCs w:val="21"/>
                <w:lang w:eastAsia="zh-CN"/>
              </w:rPr>
              <w:t>磋商</w:t>
            </w:r>
            <w:r>
              <w:rPr>
                <w:rFonts w:hint="eastAsia" w:ascii="宋体" w:hAnsi="宋体" w:cs="宋体"/>
                <w:szCs w:val="21"/>
              </w:rPr>
              <w:t>采购</w:t>
            </w:r>
          </w:p>
        </w:tc>
        <w:tc>
          <w:tcPr>
            <w:tcW w:w="3459" w:type="dxa"/>
            <w:noWrap w:val="0"/>
            <w:vAlign w:val="center"/>
          </w:tcPr>
          <w:p w14:paraId="2AE87DE6">
            <w:pPr>
              <w:spacing w:after="50" w:line="360" w:lineRule="auto"/>
              <w:ind w:right="-10"/>
              <w:jc w:val="center"/>
              <w:rPr>
                <w:rFonts w:hint="eastAsia" w:ascii="宋体" w:hAnsi="宋体" w:cs="宋体"/>
                <w:szCs w:val="21"/>
              </w:rPr>
            </w:pPr>
            <w:r>
              <w:rPr>
                <w:rFonts w:hint="eastAsia" w:ascii="宋体" w:hAnsi="宋体" w:cs="宋体"/>
                <w:szCs w:val="21"/>
              </w:rPr>
              <w:t>符合第一章供应商资格要求</w:t>
            </w:r>
          </w:p>
        </w:tc>
        <w:tc>
          <w:tcPr>
            <w:tcW w:w="2459" w:type="dxa"/>
            <w:noWrap w:val="0"/>
            <w:vAlign w:val="center"/>
          </w:tcPr>
          <w:p w14:paraId="27A141C1">
            <w:pPr>
              <w:adjustRightInd w:val="0"/>
              <w:snapToGrid w:val="0"/>
              <w:spacing w:line="360" w:lineRule="auto"/>
              <w:ind w:right="-10"/>
              <w:jc w:val="center"/>
              <w:rPr>
                <w:rFonts w:hint="eastAsia" w:ascii="宋体" w:hAnsi="宋体" w:cs="宋体"/>
                <w:sz w:val="24"/>
              </w:rPr>
            </w:pPr>
            <w:r>
              <w:rPr>
                <w:rFonts w:hint="eastAsia" w:ascii="宋体" w:hAnsi="宋体" w:cs="宋体"/>
                <w:sz w:val="24"/>
              </w:rPr>
              <w:t>不接受联合体</w:t>
            </w:r>
          </w:p>
        </w:tc>
      </w:tr>
      <w:tr w14:paraId="6775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459AEA6D">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127" w:type="dxa"/>
            <w:noWrap w:val="0"/>
            <w:vAlign w:val="center"/>
          </w:tcPr>
          <w:p w14:paraId="58F3AFCE">
            <w:pPr>
              <w:spacing w:line="360" w:lineRule="auto"/>
              <w:ind w:right="-10"/>
              <w:jc w:val="center"/>
              <w:rPr>
                <w:rFonts w:hint="eastAsia" w:ascii="宋体" w:hAnsi="宋体" w:cs="宋体"/>
                <w:b/>
                <w:szCs w:val="21"/>
              </w:rPr>
            </w:pPr>
            <w:r>
              <w:rPr>
                <w:rFonts w:hint="eastAsia" w:ascii="宋体" w:hAnsi="宋体" w:cs="宋体"/>
                <w:b/>
                <w:bCs/>
                <w:szCs w:val="21"/>
              </w:rPr>
              <w:t>信誉要求</w:t>
            </w:r>
          </w:p>
        </w:tc>
        <w:tc>
          <w:tcPr>
            <w:tcW w:w="3459" w:type="dxa"/>
            <w:noWrap w:val="0"/>
            <w:vAlign w:val="center"/>
          </w:tcPr>
          <w:p w14:paraId="5F7143CF">
            <w:pPr>
              <w:spacing w:line="400" w:lineRule="exact"/>
              <w:ind w:right="-11"/>
              <w:jc w:val="center"/>
              <w:rPr>
                <w:rFonts w:hint="eastAsia" w:ascii="宋体" w:hAnsi="宋体" w:cs="宋体"/>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71C537E">
            <w:pPr>
              <w:adjustRightInd w:val="0"/>
              <w:snapToGrid w:val="0"/>
              <w:spacing w:line="360" w:lineRule="auto"/>
              <w:ind w:right="-10"/>
              <w:jc w:val="left"/>
              <w:rPr>
                <w:rFonts w:hint="eastAsia" w:ascii="宋体" w:hAnsi="宋体" w:eastAsia="宋体" w:cs="宋体"/>
                <w:sz w:val="24"/>
                <w:lang w:eastAsia="zh-CN"/>
              </w:rPr>
            </w:pPr>
            <w:r>
              <w:rPr>
                <w:rFonts w:hint="eastAsia" w:ascii="宋体" w:hAnsi="宋体" w:cs="宋体"/>
                <w:b/>
                <w:bCs/>
                <w:szCs w:val="21"/>
              </w:rPr>
              <w:t>按</w:t>
            </w:r>
            <w:r>
              <w:rPr>
                <w:rFonts w:hint="eastAsia" w:ascii="宋体" w:hAnsi="宋体" w:cs="宋体"/>
                <w:b/>
                <w:bCs/>
                <w:szCs w:val="21"/>
                <w:lang w:eastAsia="zh-CN"/>
              </w:rPr>
              <w:t>磋商</w:t>
            </w:r>
            <w:r>
              <w:rPr>
                <w:rFonts w:hint="eastAsia" w:ascii="宋体" w:hAnsi="宋体" w:cs="宋体"/>
                <w:b/>
                <w:bCs/>
                <w:szCs w:val="21"/>
              </w:rPr>
              <w:t>公告第二.3条要求提供相关资料（网站查询结果</w:t>
            </w:r>
            <w:r>
              <w:rPr>
                <w:rFonts w:hint="eastAsia" w:ascii="宋体" w:hAnsi="宋体" w:cs="宋体"/>
                <w:b/>
                <w:bCs/>
                <w:szCs w:val="21"/>
                <w:lang w:eastAsia="zh-CN"/>
              </w:rPr>
              <w:t>截图</w:t>
            </w:r>
            <w:r>
              <w:rPr>
                <w:rFonts w:hint="eastAsia" w:ascii="宋体" w:hAnsi="宋体" w:cs="宋体"/>
                <w:b/>
                <w:bCs/>
                <w:szCs w:val="21"/>
              </w:rPr>
              <w:t>）</w:t>
            </w:r>
            <w:r>
              <w:rPr>
                <w:rFonts w:hint="eastAsia" w:ascii="宋体" w:hAnsi="宋体" w:cs="宋体"/>
                <w:b/>
                <w:bCs/>
                <w:szCs w:val="21"/>
                <w:lang w:eastAsia="zh-CN"/>
              </w:rPr>
              <w:t>附于投标文件内</w:t>
            </w:r>
          </w:p>
        </w:tc>
      </w:tr>
      <w:tr w14:paraId="348C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14:paraId="5BEA87CA">
            <w:pPr>
              <w:adjustRightInd w:val="0"/>
              <w:snapToGrid w:val="0"/>
              <w:spacing w:line="360" w:lineRule="auto"/>
              <w:ind w:right="-1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2127" w:type="dxa"/>
            <w:noWrap w:val="0"/>
            <w:vAlign w:val="center"/>
          </w:tcPr>
          <w:p w14:paraId="352B05EB">
            <w:pPr>
              <w:spacing w:line="360" w:lineRule="auto"/>
              <w:ind w:right="-10"/>
              <w:jc w:val="center"/>
              <w:rPr>
                <w:rFonts w:hint="eastAsia" w:ascii="宋体" w:hAnsi="宋体" w:cs="宋体"/>
                <w:b/>
                <w:szCs w:val="21"/>
              </w:rPr>
            </w:pPr>
            <w:r>
              <w:rPr>
                <w:rFonts w:hint="eastAsia" w:ascii="宋体" w:hAnsi="宋体" w:cs="宋体"/>
                <w:b/>
                <w:bCs/>
                <w:color w:val="111111"/>
                <w:sz w:val="24"/>
                <w:szCs w:val="24"/>
              </w:rPr>
              <w:t>无行贿犯罪记录承诺函</w:t>
            </w:r>
          </w:p>
        </w:tc>
        <w:tc>
          <w:tcPr>
            <w:tcW w:w="3459" w:type="dxa"/>
            <w:noWrap w:val="0"/>
            <w:vAlign w:val="center"/>
          </w:tcPr>
          <w:p w14:paraId="022E3C16">
            <w:pPr>
              <w:spacing w:line="400" w:lineRule="exact"/>
              <w:ind w:right="-11"/>
              <w:jc w:val="center"/>
              <w:rPr>
                <w:rFonts w:hint="eastAsia" w:ascii="宋体" w:hAnsi="宋体" w:cs="宋体"/>
                <w:b/>
                <w:bCs/>
                <w:szCs w:val="21"/>
              </w:rPr>
            </w:pPr>
            <w:r>
              <w:rPr>
                <w:rFonts w:hint="eastAsia" w:ascii="宋体" w:hAnsi="宋体" w:cs="宋体"/>
                <w:b/>
                <w:bCs/>
                <w:szCs w:val="21"/>
              </w:rPr>
              <w:t>竞争性</w:t>
            </w:r>
            <w:r>
              <w:rPr>
                <w:rFonts w:hint="eastAsia" w:ascii="宋体" w:hAnsi="宋体" w:cs="宋体"/>
                <w:b/>
                <w:bCs/>
                <w:szCs w:val="21"/>
                <w:lang w:eastAsia="zh-CN"/>
              </w:rPr>
              <w:t>磋商</w:t>
            </w:r>
            <w:r>
              <w:rPr>
                <w:rFonts w:hint="eastAsia" w:ascii="宋体" w:hAnsi="宋体" w:cs="宋体"/>
                <w:b/>
                <w:bCs/>
                <w:szCs w:val="21"/>
              </w:rPr>
              <w:t>公告第二.3条要求</w:t>
            </w:r>
          </w:p>
        </w:tc>
        <w:tc>
          <w:tcPr>
            <w:tcW w:w="2459" w:type="dxa"/>
            <w:noWrap w:val="0"/>
            <w:vAlign w:val="center"/>
          </w:tcPr>
          <w:p w14:paraId="42480734">
            <w:pPr>
              <w:adjustRightInd w:val="0"/>
              <w:snapToGrid w:val="0"/>
              <w:spacing w:line="360" w:lineRule="auto"/>
              <w:ind w:right="-10"/>
              <w:jc w:val="left"/>
              <w:rPr>
                <w:rFonts w:hint="eastAsia" w:ascii="宋体" w:hAnsi="宋体" w:cs="宋体"/>
                <w:b/>
                <w:bCs/>
                <w:sz w:val="24"/>
              </w:rPr>
            </w:pPr>
            <w:r>
              <w:rPr>
                <w:rFonts w:hint="eastAsia" w:ascii="宋体" w:hAnsi="宋体" w:cs="宋体"/>
                <w:b/>
                <w:bCs/>
                <w:sz w:val="24"/>
              </w:rPr>
              <w:t>提供承诺函，添加至投标文件内，格式自拟</w:t>
            </w:r>
          </w:p>
        </w:tc>
      </w:tr>
    </w:tbl>
    <w:p w14:paraId="607AEAE9">
      <w:pPr>
        <w:numPr>
          <w:ilvl w:val="0"/>
          <w:numId w:val="0"/>
        </w:numPr>
      </w:pPr>
    </w:p>
    <w:p w14:paraId="43C7CE9E">
      <w:pPr>
        <w:pStyle w:val="32"/>
        <w:ind w:firstLine="420"/>
        <w:rPr>
          <w:rFonts w:ascii="宋体" w:hAnsi="宋体"/>
          <w:color w:val="000000" w:themeColor="text1"/>
          <w14:textFill>
            <w14:solidFill>
              <w14:schemeClr w14:val="tx1"/>
            </w14:solidFill>
          </w14:textFill>
        </w:rPr>
      </w:pPr>
    </w:p>
    <w:p w14:paraId="469B73D3">
      <w:pPr>
        <w:pStyle w:val="7"/>
        <w:spacing w:before="0" w:after="0" w:line="415" w:lineRule="auto"/>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5" w:name="_Toc1833"/>
    </w:p>
    <w:p w14:paraId="5054C019">
      <w:pPr>
        <w:pStyle w:val="7"/>
        <w:spacing w:before="0" w:after="0" w:line="415" w:lineRule="auto"/>
        <w:ind w:firstLine="2570" w:firstLineChars="800"/>
        <w:rPr>
          <w:color w:val="000000" w:themeColor="text1"/>
          <w14:textFill>
            <w14:solidFill>
              <w14:schemeClr w14:val="tx1"/>
            </w14:solidFill>
          </w14:textFill>
        </w:rPr>
      </w:pPr>
      <w:bookmarkStart w:id="26" w:name="_Toc14744"/>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、符合性审查表</w:t>
      </w:r>
      <w:bookmarkEnd w:id="25"/>
      <w:bookmarkEnd w:id="26"/>
    </w:p>
    <w:p w14:paraId="2A2966F4">
      <w:pPr>
        <w:rPr>
          <w:color w:val="000000" w:themeColor="text1"/>
          <w14:textFill>
            <w14:solidFill>
              <w14:schemeClr w14:val="tx1"/>
            </w14:solidFill>
          </w14:textFill>
        </w:rPr>
      </w:pP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14:paraId="43A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DF818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3C3E4A66">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指标名称</w:t>
            </w:r>
          </w:p>
        </w:tc>
        <w:tc>
          <w:tcPr>
            <w:tcW w:w="3419" w:type="dxa"/>
            <w:tcBorders>
              <w:top w:val="single" w:color="auto" w:sz="4" w:space="0"/>
              <w:left w:val="single" w:color="auto" w:sz="4" w:space="0"/>
              <w:bottom w:val="single" w:color="auto" w:sz="4" w:space="0"/>
              <w:right w:val="single" w:color="auto" w:sz="4" w:space="0"/>
            </w:tcBorders>
            <w:vAlign w:val="center"/>
          </w:tcPr>
          <w:p w14:paraId="3275C093">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指标要求</w:t>
            </w:r>
          </w:p>
        </w:tc>
        <w:tc>
          <w:tcPr>
            <w:tcW w:w="2529" w:type="dxa"/>
            <w:tcBorders>
              <w:top w:val="single" w:color="auto" w:sz="4" w:space="0"/>
              <w:left w:val="single" w:color="auto" w:sz="4" w:space="0"/>
              <w:bottom w:val="single" w:color="auto" w:sz="4" w:space="0"/>
              <w:right w:val="single" w:color="auto" w:sz="4" w:space="0"/>
            </w:tcBorders>
            <w:vAlign w:val="center"/>
          </w:tcPr>
          <w:p w14:paraId="68BF823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15B1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vAlign w:val="center"/>
          </w:tcPr>
          <w:p w14:paraId="3DCD4F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139" w:type="dxa"/>
            <w:vAlign w:val="center"/>
          </w:tcPr>
          <w:p w14:paraId="79C6F20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技术要求响应情况</w:t>
            </w:r>
          </w:p>
        </w:tc>
        <w:tc>
          <w:tcPr>
            <w:tcW w:w="3419" w:type="dxa"/>
            <w:vAlign w:val="center"/>
          </w:tcPr>
          <w:p w14:paraId="675BE8F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货物服务清单及技术要求响应</w:t>
            </w:r>
          </w:p>
        </w:tc>
        <w:tc>
          <w:tcPr>
            <w:tcW w:w="2529" w:type="dxa"/>
            <w:vAlign w:val="center"/>
          </w:tcPr>
          <w:p w14:paraId="6A7ECA2D">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61BB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E73EA29">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139" w:type="dxa"/>
            <w:vAlign w:val="center"/>
          </w:tcPr>
          <w:p w14:paraId="7BD6EA71">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商务要求响应情况</w:t>
            </w:r>
          </w:p>
        </w:tc>
        <w:tc>
          <w:tcPr>
            <w:tcW w:w="3419" w:type="dxa"/>
            <w:vAlign w:val="center"/>
          </w:tcPr>
          <w:p w14:paraId="27B37FD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付款商务报价要求等。</w:t>
            </w:r>
          </w:p>
        </w:tc>
        <w:tc>
          <w:tcPr>
            <w:tcW w:w="2529" w:type="dxa"/>
            <w:vAlign w:val="center"/>
          </w:tcPr>
          <w:p w14:paraId="0FFB706F">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符合投标文件第三章要求</w:t>
            </w:r>
          </w:p>
        </w:tc>
      </w:tr>
      <w:tr w14:paraId="744A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1FC2B172">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139" w:type="dxa"/>
            <w:vAlign w:val="center"/>
          </w:tcPr>
          <w:p w14:paraId="7B0EB5CE">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标书规范性</w:t>
            </w:r>
          </w:p>
        </w:tc>
        <w:tc>
          <w:tcPr>
            <w:tcW w:w="3419" w:type="dxa"/>
            <w:vAlign w:val="center"/>
          </w:tcPr>
          <w:p w14:paraId="6D68F4D0">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符合投标采购文件要求（按照规定的要求进行编制、装订、标记和签署）</w:t>
            </w:r>
          </w:p>
        </w:tc>
        <w:tc>
          <w:tcPr>
            <w:tcW w:w="2529" w:type="dxa"/>
            <w:vAlign w:val="center"/>
          </w:tcPr>
          <w:p w14:paraId="25F10079">
            <w:pPr>
              <w:pStyle w:val="4"/>
              <w:jc w:val="center"/>
              <w:rPr>
                <w:color w:val="000000" w:themeColor="text1"/>
                <w14:textFill>
                  <w14:solidFill>
                    <w14:schemeClr w14:val="tx1"/>
                  </w14:solidFill>
                </w14:textFill>
              </w:rPr>
            </w:pPr>
          </w:p>
        </w:tc>
      </w:tr>
      <w:tr w14:paraId="16F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vAlign w:val="center"/>
          </w:tcPr>
          <w:p w14:paraId="484A92D7">
            <w:pPr>
              <w:pStyle w:val="4"/>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2139" w:type="dxa"/>
            <w:shd w:val="clear" w:color="auto" w:fill="auto"/>
            <w:vAlign w:val="center"/>
          </w:tcPr>
          <w:p w14:paraId="65D20AAA">
            <w:pPr>
              <w:spacing w:line="460" w:lineRule="exact"/>
              <w:ind w:right="-11" w:rightChars="0"/>
              <w:jc w:val="center"/>
              <w:rPr>
                <w:rFonts w:hint="eastAsia" w:ascii="宋体" w:hAnsi="宋体" w:eastAsia="宋体" w:cs="Times New Roman"/>
                <w:kern w:val="2"/>
                <w:sz w:val="21"/>
                <w:szCs w:val="21"/>
                <w:lang w:val="en-US" w:eastAsia="zh-CN" w:bidi="ar-SA"/>
              </w:rPr>
            </w:pPr>
            <w:r>
              <w:rPr>
                <w:rFonts w:hint="eastAsia"/>
              </w:rPr>
              <w:t>磋商响应函</w:t>
            </w:r>
          </w:p>
        </w:tc>
        <w:tc>
          <w:tcPr>
            <w:tcW w:w="3419" w:type="dxa"/>
            <w:shd w:val="clear" w:color="auto" w:fill="auto"/>
            <w:vAlign w:val="center"/>
          </w:tcPr>
          <w:p w14:paraId="06D5A76A">
            <w:pPr>
              <w:spacing w:line="460" w:lineRule="exact"/>
              <w:ind w:right="-11" w:rightChars="0" w:firstLine="840" w:firstLineChars="400"/>
              <w:rPr>
                <w:rFonts w:hint="eastAsia" w:ascii="宋体" w:hAnsi="宋体" w:eastAsia="宋体" w:cs="Times New Roman"/>
                <w:kern w:val="2"/>
                <w:sz w:val="21"/>
                <w:szCs w:val="21"/>
                <w:lang w:val="en-US" w:eastAsia="zh-CN" w:bidi="ar-SA"/>
              </w:rPr>
            </w:pPr>
            <w:r>
              <w:rPr>
                <w:rFonts w:hint="eastAsia" w:ascii="宋体" w:hAnsi="宋体"/>
              </w:rPr>
              <w:t>符合磋商文件要求</w:t>
            </w:r>
          </w:p>
        </w:tc>
        <w:tc>
          <w:tcPr>
            <w:tcW w:w="2529" w:type="dxa"/>
            <w:vAlign w:val="center"/>
          </w:tcPr>
          <w:p w14:paraId="57A34BA0">
            <w:pPr>
              <w:pStyle w:val="4"/>
              <w:jc w:val="center"/>
              <w:rPr>
                <w:color w:val="000000" w:themeColor="text1"/>
                <w14:textFill>
                  <w14:solidFill>
                    <w14:schemeClr w14:val="tx1"/>
                  </w14:solidFill>
                </w14:textFill>
              </w:rPr>
            </w:pPr>
          </w:p>
        </w:tc>
      </w:tr>
    </w:tbl>
    <w:p w14:paraId="22FD63F0">
      <w:pPr>
        <w:pStyle w:val="3"/>
        <w:spacing w:line="360" w:lineRule="auto"/>
        <w:ind w:right="-10"/>
        <w:rPr>
          <w:rFonts w:ascii="宋体" w:hAnsi="宋体"/>
          <w:bCs/>
          <w:color w:val="000000" w:themeColor="text1"/>
          <w:szCs w:val="21"/>
          <w14:textFill>
            <w14:solidFill>
              <w14:schemeClr w14:val="tx1"/>
            </w14:solidFill>
          </w14:textFill>
        </w:rPr>
      </w:pPr>
    </w:p>
    <w:p w14:paraId="486C2784">
      <w:pPr>
        <w:pStyle w:val="3"/>
        <w:spacing w:line="360" w:lineRule="auto"/>
        <w:ind w:right="-10"/>
        <w:rPr>
          <w:rFonts w:ascii="宋体" w:hAnsi="宋体"/>
          <w:bCs/>
          <w:color w:val="000000" w:themeColor="text1"/>
          <w:szCs w:val="21"/>
          <w14:textFill>
            <w14:solidFill>
              <w14:schemeClr w14:val="tx1"/>
            </w14:solidFill>
          </w14:textFill>
        </w:rPr>
      </w:pPr>
    </w:p>
    <w:p w14:paraId="5552830C">
      <w:pPr>
        <w:pStyle w:val="32"/>
        <w:ind w:left="0" w:leftChars="0" w:firstLine="0" w:firstLineChars="0"/>
        <w:rPr>
          <w:rFonts w:ascii="黑体"/>
          <w:color w:val="000000" w:themeColor="text1"/>
          <w14:textFill>
            <w14:solidFill>
              <w14:schemeClr w14:val="tx1"/>
            </w14:solidFill>
          </w14:textFill>
        </w:rPr>
      </w:pPr>
      <w:bookmarkStart w:id="27" w:name="_Toc511899301"/>
      <w:bookmarkEnd w:id="27"/>
      <w:r>
        <w:rPr>
          <w:rFonts w:hint="eastAsia"/>
          <w:color w:val="000000" w:themeColor="text1"/>
          <w14:textFill>
            <w14:solidFill>
              <w14:schemeClr w14:val="tx1"/>
            </w14:solidFill>
          </w14:textFill>
        </w:rPr>
        <w:br w:type="page"/>
      </w:r>
      <w:bookmarkStart w:id="28" w:name="_Toc511899303"/>
      <w:bookmarkEnd w:id="28"/>
    </w:p>
    <w:p w14:paraId="5B736328">
      <w:pPr>
        <w:pStyle w:val="32"/>
        <w:numPr>
          <w:ilvl w:val="0"/>
          <w:numId w:val="5"/>
        </w:numPr>
        <w:ind w:firstLine="0" w:firstLineChars="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评分办法</w:t>
      </w:r>
    </w:p>
    <w:p w14:paraId="1D82751A">
      <w:pPr>
        <w:pStyle w:val="32"/>
        <w:numPr>
          <w:ilvl w:val="0"/>
          <w:numId w:val="0"/>
        </w:numPr>
        <w:jc w:val="both"/>
        <w:rPr>
          <w:rFonts w:hint="eastAsia"/>
          <w:b/>
          <w:bCs/>
          <w:color w:val="000000" w:themeColor="text1"/>
          <w:sz w:val="32"/>
          <w:szCs w:val="32"/>
          <w14:textFill>
            <w14:solidFill>
              <w14:schemeClr w14:val="tx1"/>
            </w14:solidFill>
          </w14:textFill>
        </w:rPr>
      </w:pP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3"/>
        <w:gridCol w:w="5231"/>
        <w:gridCol w:w="1069"/>
      </w:tblGrid>
      <w:tr w14:paraId="08A5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14:paraId="292352D1">
            <w:pPr>
              <w:spacing w:line="440" w:lineRule="exact"/>
              <w:jc w:val="center"/>
              <w:rPr>
                <w:rFonts w:ascii="宋体" w:hAnsi="宋体"/>
                <w:color w:val="000000" w:themeColor="text1"/>
                <w14:textFill>
                  <w14:solidFill>
                    <w14:schemeClr w14:val="tx1"/>
                  </w14:solidFill>
                </w14:textFill>
              </w:rPr>
            </w:pPr>
            <w:bookmarkStart w:id="29" w:name="_Toc511899304"/>
            <w:bookmarkEnd w:id="29"/>
            <w:bookmarkStart w:id="30" w:name="_Toc28130"/>
            <w:r>
              <w:rPr>
                <w:rFonts w:hint="eastAsia" w:ascii="宋体" w:hAnsi="宋体"/>
                <w:color w:val="000000" w:themeColor="text1"/>
                <w14:textFill>
                  <w14:solidFill>
                    <w14:schemeClr w14:val="tx1"/>
                  </w14:solidFill>
                </w14:textFill>
              </w:rPr>
              <w:t>评审项目</w:t>
            </w:r>
          </w:p>
        </w:tc>
        <w:tc>
          <w:tcPr>
            <w:tcW w:w="1513" w:type="dxa"/>
            <w:vAlign w:val="center"/>
          </w:tcPr>
          <w:p w14:paraId="47926EA4">
            <w:pPr>
              <w:spacing w:line="440" w:lineRule="exact"/>
              <w:ind w:firstLine="105" w:firstLineChars="5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分值</w:t>
            </w:r>
          </w:p>
        </w:tc>
        <w:tc>
          <w:tcPr>
            <w:tcW w:w="5231" w:type="dxa"/>
            <w:vAlign w:val="center"/>
          </w:tcPr>
          <w:p w14:paraId="1D09BA29">
            <w:pPr>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评审内容及标准</w:t>
            </w:r>
          </w:p>
        </w:tc>
        <w:tc>
          <w:tcPr>
            <w:tcW w:w="1069" w:type="dxa"/>
            <w:vAlign w:val="center"/>
          </w:tcPr>
          <w:p w14:paraId="20D9273D">
            <w:pPr>
              <w:tabs>
                <w:tab w:val="left" w:pos="657"/>
              </w:tabs>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7538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restart"/>
            <w:vAlign w:val="center"/>
          </w:tcPr>
          <w:p w14:paraId="18FA3172">
            <w:pPr>
              <w:spacing w:line="440" w:lineRule="exact"/>
              <w:jc w:val="center"/>
              <w:rPr>
                <w:rFonts w:ascii="宋体" w:hAnsi="宋体"/>
                <w:b/>
                <w:bCs/>
                <w:color w:val="auto"/>
              </w:rPr>
            </w:pPr>
            <w:r>
              <w:rPr>
                <w:rFonts w:hint="eastAsia" w:ascii="宋体" w:hAnsi="宋体"/>
                <w:b/>
                <w:bCs/>
                <w:color w:val="auto"/>
              </w:rPr>
              <w:t>技术分</w:t>
            </w:r>
          </w:p>
          <w:p w14:paraId="579901EA">
            <w:pPr>
              <w:spacing w:line="440" w:lineRule="exact"/>
              <w:jc w:val="center"/>
              <w:rPr>
                <w:rFonts w:ascii="宋体" w:hAnsi="宋体"/>
                <w:b/>
                <w:bCs/>
                <w:color w:val="auto"/>
              </w:rPr>
            </w:pPr>
            <w:r>
              <w:rPr>
                <w:rFonts w:hint="eastAsia" w:ascii="宋体" w:hAnsi="宋体"/>
                <w:b/>
                <w:bCs/>
                <w:color w:val="auto"/>
              </w:rPr>
              <w:t>（</w:t>
            </w:r>
            <w:r>
              <w:rPr>
                <w:rFonts w:hint="eastAsia" w:ascii="宋体" w:hAnsi="宋体"/>
                <w:b/>
                <w:bCs/>
                <w:color w:val="auto"/>
                <w:lang w:val="en-US" w:eastAsia="zh-CN"/>
              </w:rPr>
              <w:t>7</w:t>
            </w:r>
            <w:r>
              <w:rPr>
                <w:rFonts w:hint="eastAsia" w:ascii="宋体" w:hAnsi="宋体"/>
                <w:b/>
                <w:bCs/>
                <w:color w:val="auto"/>
              </w:rPr>
              <w:t>0分）</w:t>
            </w:r>
          </w:p>
        </w:tc>
        <w:tc>
          <w:tcPr>
            <w:tcW w:w="1513" w:type="dxa"/>
            <w:vAlign w:val="center"/>
          </w:tcPr>
          <w:p w14:paraId="10BC97D5">
            <w:pPr>
              <w:spacing w:line="440" w:lineRule="exact"/>
              <w:jc w:val="center"/>
              <w:rPr>
                <w:rFonts w:ascii="宋体" w:hAnsi="宋体"/>
                <w:b/>
                <w:bCs/>
                <w:color w:val="auto"/>
              </w:rPr>
            </w:pPr>
            <w:r>
              <w:rPr>
                <w:rFonts w:ascii="宋体" w:hAnsi="宋体"/>
                <w:b/>
                <w:bCs/>
                <w:color w:val="auto"/>
              </w:rPr>
              <w:t>技术服务水平</w:t>
            </w:r>
          </w:p>
          <w:p w14:paraId="5D7AC023">
            <w:pPr>
              <w:spacing w:line="440" w:lineRule="exact"/>
              <w:ind w:firstLine="105" w:firstLineChars="50"/>
              <w:jc w:val="center"/>
              <w:rPr>
                <w:rFonts w:ascii="宋体" w:hAnsi="宋体"/>
                <w:color w:val="auto"/>
              </w:rPr>
            </w:pPr>
            <w:r>
              <w:rPr>
                <w:rFonts w:ascii="宋体" w:hAnsi="宋体"/>
                <w:b/>
                <w:bCs/>
                <w:color w:val="auto"/>
              </w:rPr>
              <w:t>（</w:t>
            </w:r>
            <w:r>
              <w:rPr>
                <w:rFonts w:hint="eastAsia" w:ascii="宋体" w:hAnsi="宋体"/>
                <w:b/>
                <w:bCs/>
                <w:color w:val="auto"/>
                <w:lang w:val="en-US" w:eastAsia="zh-CN"/>
              </w:rPr>
              <w:t>15</w:t>
            </w:r>
            <w:r>
              <w:rPr>
                <w:rFonts w:hint="eastAsia" w:ascii="宋体" w:hAnsi="宋体"/>
                <w:b/>
                <w:bCs/>
                <w:color w:val="auto"/>
              </w:rPr>
              <w:t>分</w:t>
            </w:r>
            <w:r>
              <w:rPr>
                <w:rFonts w:ascii="宋体" w:hAnsi="宋体"/>
                <w:b/>
                <w:bCs/>
                <w:color w:val="auto"/>
              </w:rPr>
              <w:t>）</w:t>
            </w:r>
          </w:p>
        </w:tc>
        <w:tc>
          <w:tcPr>
            <w:tcW w:w="5231" w:type="dxa"/>
            <w:vAlign w:val="center"/>
          </w:tcPr>
          <w:p w14:paraId="4FE36FC9">
            <w:pPr>
              <w:adjustRightInd w:val="0"/>
              <w:snapToGrid w:val="0"/>
              <w:spacing w:line="360" w:lineRule="auto"/>
              <w:rPr>
                <w:rFonts w:hint="default" w:ascii="宋体" w:hAnsi="宋体" w:eastAsia="宋体"/>
                <w:b/>
                <w:bCs/>
                <w:color w:val="auto"/>
                <w:szCs w:val="21"/>
                <w:lang w:val="en-US" w:eastAsia="zh-CN"/>
              </w:rPr>
            </w:pPr>
            <w:r>
              <w:rPr>
                <w:rFonts w:hint="eastAsia" w:ascii="宋体" w:hAnsi="宋体"/>
                <w:b/>
                <w:bCs/>
                <w:color w:val="auto"/>
                <w:szCs w:val="21"/>
                <w:lang w:val="en-US" w:eastAsia="zh-CN"/>
              </w:rPr>
              <w:t>一、服务方案（10分）</w:t>
            </w:r>
          </w:p>
          <w:p w14:paraId="6318EEBE">
            <w:pPr>
              <w:adjustRightInd w:val="0"/>
              <w:snapToGrid w:val="0"/>
              <w:spacing w:line="360" w:lineRule="auto"/>
              <w:rPr>
                <w:rFonts w:ascii="宋体" w:hAnsi="宋体"/>
                <w:color w:val="auto"/>
                <w:szCs w:val="21"/>
              </w:rPr>
            </w:pPr>
            <w:r>
              <w:rPr>
                <w:rFonts w:hint="eastAsia" w:ascii="宋体" w:hAnsi="宋体"/>
                <w:color w:val="auto"/>
                <w:szCs w:val="21"/>
              </w:rPr>
              <w:t>根据供应商对招生宣传服务内容和要求理解程度，整理服务实施方案是否切实可行，是否突出本校特色亮点等几项内容进行综合评审，每项内容均全面覆盖且执行方案科学合理：</w:t>
            </w:r>
          </w:p>
          <w:p w14:paraId="65C03B87">
            <w:pPr>
              <w:adjustRightInd w:val="0"/>
              <w:snapToGrid w:val="0"/>
              <w:spacing w:line="360" w:lineRule="auto"/>
              <w:rPr>
                <w:rFonts w:ascii="宋体" w:hAnsi="宋体"/>
                <w:color w:val="auto"/>
                <w:szCs w:val="21"/>
              </w:rPr>
            </w:pPr>
            <w:r>
              <w:rPr>
                <w:rFonts w:hint="eastAsia" w:ascii="宋体" w:hAnsi="宋体"/>
                <w:color w:val="auto"/>
                <w:szCs w:val="21"/>
              </w:rPr>
              <w:t>1.内容全面，方案科学，针对性及可行性强，得10分；</w:t>
            </w:r>
          </w:p>
          <w:p w14:paraId="07C1E824">
            <w:pPr>
              <w:adjustRightInd w:val="0"/>
              <w:snapToGrid w:val="0"/>
              <w:spacing w:line="360" w:lineRule="auto"/>
              <w:rPr>
                <w:rFonts w:ascii="宋体" w:hAnsi="宋体"/>
                <w:color w:val="auto"/>
                <w:szCs w:val="21"/>
              </w:rPr>
            </w:pPr>
            <w:r>
              <w:rPr>
                <w:rFonts w:hint="eastAsia" w:ascii="宋体" w:hAnsi="宋体"/>
                <w:color w:val="auto"/>
                <w:szCs w:val="21"/>
              </w:rPr>
              <w:t>2.内容完整，方案合理，针对性及可行性较强，得6分；</w:t>
            </w:r>
          </w:p>
          <w:p w14:paraId="778C65BF">
            <w:pPr>
              <w:adjustRightInd w:val="0"/>
              <w:snapToGrid w:val="0"/>
              <w:spacing w:line="360" w:lineRule="auto"/>
              <w:rPr>
                <w:rFonts w:ascii="宋体" w:hAnsi="宋体"/>
                <w:color w:val="auto"/>
                <w:szCs w:val="21"/>
              </w:rPr>
            </w:pPr>
            <w:r>
              <w:rPr>
                <w:rFonts w:hint="eastAsia" w:ascii="宋体" w:hAnsi="宋体"/>
                <w:color w:val="auto"/>
                <w:szCs w:val="21"/>
              </w:rPr>
              <w:t>3.方案一般，针对性及可行性不强，得3分；</w:t>
            </w:r>
          </w:p>
          <w:p w14:paraId="46F525A3">
            <w:pPr>
              <w:spacing w:line="440" w:lineRule="exact"/>
              <w:jc w:val="left"/>
              <w:rPr>
                <w:rFonts w:hint="eastAsia" w:ascii="宋体" w:hAnsi="宋体"/>
                <w:color w:val="auto"/>
                <w:szCs w:val="21"/>
              </w:rPr>
            </w:pPr>
            <w:r>
              <w:rPr>
                <w:rFonts w:hint="eastAsia" w:ascii="宋体" w:hAnsi="宋体"/>
                <w:color w:val="auto"/>
                <w:szCs w:val="21"/>
              </w:rPr>
              <w:t>4.方案较差或未提供不得分。</w:t>
            </w:r>
          </w:p>
          <w:p w14:paraId="19E29A1F">
            <w:pPr>
              <w:pStyle w:val="11"/>
              <w:ind w:left="0" w:leftChars="0" w:firstLine="0" w:firstLineChars="0"/>
              <w:rPr>
                <w:rFonts w:hint="eastAsia" w:ascii="宋体" w:hAnsi="宋体"/>
                <w:b/>
                <w:bCs/>
                <w:color w:val="auto"/>
                <w:szCs w:val="21"/>
                <w:lang w:val="en-US" w:eastAsia="zh-CN"/>
              </w:rPr>
            </w:pPr>
          </w:p>
          <w:p w14:paraId="610FA8C6">
            <w:pPr>
              <w:pStyle w:val="11"/>
              <w:ind w:left="0" w:leftChars="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二、人员配备（5分）</w:t>
            </w:r>
          </w:p>
          <w:p w14:paraId="23B47289">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供应商为该项目配置专业的服务团队，人员安排合理，针对性强的，完全满足本项目采购需求的得5分；</w:t>
            </w:r>
          </w:p>
          <w:p w14:paraId="4FD19212">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人员安排基本合理，具有一定的针对性的，基本满足本项目采购需求的得3分；</w:t>
            </w:r>
          </w:p>
          <w:p w14:paraId="440A370C">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人员安排不合理，针对性不强，需要进一步完善才能满足本项目采购需求的1分。</w:t>
            </w:r>
          </w:p>
          <w:p w14:paraId="55B63ED6">
            <w:pPr>
              <w:pStyle w:val="11"/>
              <w:ind w:left="0" w:leftChars="0" w:firstLine="0" w:firstLineChars="0"/>
              <w:rPr>
                <w:rFonts w:hint="default" w:ascii="宋体" w:hAnsi="宋体"/>
                <w:color w:val="auto"/>
                <w:szCs w:val="21"/>
                <w:lang w:val="en-US" w:eastAsia="zh-CN"/>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不提供不得分。</w:t>
            </w:r>
          </w:p>
        </w:tc>
        <w:tc>
          <w:tcPr>
            <w:tcW w:w="1069" w:type="dxa"/>
            <w:vAlign w:val="center"/>
          </w:tcPr>
          <w:p w14:paraId="2BCD38C2">
            <w:pPr>
              <w:tabs>
                <w:tab w:val="left" w:pos="657"/>
              </w:tabs>
              <w:spacing w:line="440" w:lineRule="exact"/>
              <w:jc w:val="center"/>
              <w:rPr>
                <w:rFonts w:ascii="宋体" w:hAnsi="宋体"/>
                <w:color w:val="000000" w:themeColor="text1"/>
                <w14:textFill>
                  <w14:solidFill>
                    <w14:schemeClr w14:val="tx1"/>
                  </w14:solidFill>
                </w14:textFill>
              </w:rPr>
            </w:pPr>
          </w:p>
        </w:tc>
      </w:tr>
      <w:tr w14:paraId="357C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15F08CBE">
            <w:pPr>
              <w:spacing w:line="440" w:lineRule="exact"/>
              <w:jc w:val="center"/>
              <w:rPr>
                <w:rFonts w:ascii="宋体" w:hAnsi="宋体"/>
                <w:b/>
                <w:bCs/>
                <w:color w:val="auto"/>
              </w:rPr>
            </w:pPr>
          </w:p>
        </w:tc>
        <w:tc>
          <w:tcPr>
            <w:tcW w:w="1513" w:type="dxa"/>
            <w:tcBorders>
              <w:right w:val="single" w:color="auto" w:sz="4" w:space="0"/>
            </w:tcBorders>
            <w:vAlign w:val="center"/>
          </w:tcPr>
          <w:p w14:paraId="32D677C8">
            <w:pPr>
              <w:spacing w:line="440" w:lineRule="exact"/>
              <w:jc w:val="center"/>
              <w:rPr>
                <w:rFonts w:ascii="宋体" w:hAnsi="宋体"/>
                <w:b/>
                <w:bCs/>
                <w:color w:val="auto"/>
              </w:rPr>
            </w:pPr>
            <w:r>
              <w:rPr>
                <w:rFonts w:ascii="宋体" w:hAnsi="宋体"/>
                <w:b/>
                <w:bCs/>
                <w:color w:val="auto"/>
              </w:rPr>
              <w:t xml:space="preserve">履约能力 </w:t>
            </w:r>
          </w:p>
          <w:p w14:paraId="45F69EDD">
            <w:pPr>
              <w:spacing w:line="440" w:lineRule="exact"/>
              <w:jc w:val="center"/>
              <w:rPr>
                <w:rFonts w:ascii="宋体" w:hAnsi="宋体"/>
                <w:b/>
                <w:bCs/>
                <w:color w:val="auto"/>
              </w:rPr>
            </w:pPr>
            <w:r>
              <w:rPr>
                <w:rFonts w:ascii="宋体" w:hAnsi="宋体"/>
                <w:b/>
                <w:bCs/>
                <w:color w:val="auto"/>
              </w:rPr>
              <w:t>(</w:t>
            </w:r>
            <w:r>
              <w:rPr>
                <w:rFonts w:hint="eastAsia" w:ascii="宋体" w:hAnsi="宋体"/>
                <w:b/>
                <w:bCs/>
                <w:color w:val="auto"/>
                <w:lang w:val="en-US" w:eastAsia="zh-CN"/>
              </w:rPr>
              <w:t>50</w:t>
            </w:r>
            <w:r>
              <w:rPr>
                <w:rFonts w:hint="eastAsia" w:ascii="宋体" w:hAnsi="宋体"/>
                <w:b/>
                <w:bCs/>
                <w:color w:val="auto"/>
              </w:rPr>
              <w:t>分</w:t>
            </w:r>
            <w:r>
              <w:rPr>
                <w:rFonts w:ascii="宋体" w:hAnsi="宋体"/>
                <w:b/>
                <w:bCs/>
                <w:color w:val="auto"/>
              </w:rPr>
              <w:t>)</w:t>
            </w:r>
          </w:p>
        </w:tc>
        <w:tc>
          <w:tcPr>
            <w:tcW w:w="5231" w:type="dxa"/>
            <w:tcBorders>
              <w:left w:val="single" w:color="auto" w:sz="4" w:space="0"/>
            </w:tcBorders>
            <w:vAlign w:val="center"/>
          </w:tcPr>
          <w:p w14:paraId="6FC3641B">
            <w:pPr>
              <w:spacing w:line="360" w:lineRule="auto"/>
              <w:jc w:val="both"/>
              <w:rPr>
                <w:rFonts w:ascii="宋体" w:hAnsi="宋体"/>
                <w:color w:val="auto"/>
                <w:szCs w:val="21"/>
              </w:rPr>
            </w:pPr>
            <w:r>
              <w:rPr>
                <w:rFonts w:hint="eastAsia" w:ascii="宋体" w:hAnsi="宋体" w:cs="@仿宋_GB2312"/>
                <w:color w:val="auto"/>
                <w:szCs w:val="21"/>
                <w:lang w:val="en-US" w:eastAsia="zh-CN"/>
              </w:rPr>
              <w:t>一、</w:t>
            </w:r>
            <w:r>
              <w:rPr>
                <w:rFonts w:hint="eastAsia" w:ascii="宋体" w:hAnsi="宋体"/>
                <w:color w:val="auto"/>
                <w:szCs w:val="21"/>
              </w:rPr>
              <w:t>供应商的网站具有互联网信息办或者主管部门颁发的“互联网新闻信息服务许可证”，得5分。</w:t>
            </w:r>
          </w:p>
          <w:p w14:paraId="4D3D190B">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注：提供证书扫描件或影印件，学校保留对原件查看的权利，如有虚假，取消成交资格。</w:t>
            </w:r>
          </w:p>
          <w:p w14:paraId="1BBA915E">
            <w:pPr>
              <w:spacing w:line="360" w:lineRule="auto"/>
              <w:jc w:val="left"/>
              <w:rPr>
                <w:rFonts w:ascii="宋体" w:hAnsi="宋体" w:cs="宋体"/>
                <w:color w:val="auto"/>
                <w:kern w:val="0"/>
                <w:szCs w:val="21"/>
              </w:rPr>
            </w:pPr>
            <w:r>
              <w:rPr>
                <w:rFonts w:hint="eastAsia" w:ascii="宋体" w:hAnsi="宋体" w:cs="宋体"/>
                <w:color w:val="auto"/>
                <w:kern w:val="0"/>
                <w:szCs w:val="21"/>
                <w:lang w:val="en-US" w:eastAsia="zh-CN"/>
              </w:rPr>
              <w:t>二、自</w:t>
            </w:r>
            <w:r>
              <w:rPr>
                <w:rFonts w:hint="eastAsia" w:ascii="宋体" w:hAnsi="宋体" w:cs="宋体"/>
                <w:color w:val="auto"/>
                <w:kern w:val="0"/>
                <w:szCs w:val="21"/>
              </w:rPr>
              <w:t>202</w:t>
            </w:r>
            <w:r>
              <w:rPr>
                <w:rFonts w:ascii="宋体" w:hAnsi="宋体" w:cs="宋体"/>
                <w:color w:val="auto"/>
                <w:kern w:val="0"/>
                <w:szCs w:val="21"/>
              </w:rPr>
              <w:t>1</w:t>
            </w:r>
            <w:r>
              <w:rPr>
                <w:rFonts w:hint="eastAsia" w:ascii="宋体" w:hAnsi="宋体" w:cs="宋体"/>
                <w:color w:val="auto"/>
                <w:kern w:val="0"/>
                <w:szCs w:val="21"/>
              </w:rPr>
              <w:t>年1月1日以来（以合同签订时间为准），供应商具有类似高校招生宣传的合作协议，每提供一份合作协议的扫描件或影印件得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1</w:t>
            </w:r>
            <w:r>
              <w:rPr>
                <w:rFonts w:ascii="宋体" w:hAnsi="宋体" w:cs="宋体"/>
                <w:color w:val="auto"/>
                <w:kern w:val="0"/>
                <w:szCs w:val="21"/>
              </w:rPr>
              <w:t>0</w:t>
            </w:r>
            <w:r>
              <w:rPr>
                <w:rFonts w:hint="eastAsia" w:ascii="宋体" w:hAnsi="宋体" w:cs="宋体"/>
                <w:color w:val="auto"/>
                <w:kern w:val="0"/>
                <w:szCs w:val="21"/>
              </w:rPr>
              <w:t>分。</w:t>
            </w:r>
          </w:p>
          <w:p w14:paraId="0F6E1A1A">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注：响应文件中须提供合同扫描件或影印件，学校保留对原件查看的权利，如有虚假，取消成交资格。</w:t>
            </w:r>
          </w:p>
          <w:p w14:paraId="31C90A9E">
            <w:pPr>
              <w:spacing w:line="360" w:lineRule="auto"/>
              <w:rPr>
                <w:color w:val="auto"/>
              </w:rPr>
            </w:pPr>
            <w:r>
              <w:rPr>
                <w:rFonts w:hint="eastAsia" w:ascii="宋体" w:hAnsi="宋体"/>
                <w:color w:val="auto"/>
                <w:kern w:val="0"/>
                <w:szCs w:val="21"/>
                <w:lang w:val="en-US" w:eastAsia="zh-CN"/>
              </w:rPr>
              <w:t>三、自</w:t>
            </w:r>
            <w:r>
              <w:rPr>
                <w:rFonts w:hint="eastAsia" w:ascii="宋体" w:hAnsi="宋体"/>
                <w:color w:val="auto"/>
                <w:kern w:val="0"/>
                <w:szCs w:val="21"/>
              </w:rPr>
              <w:t>2021年1月1日以来（以合同签订时间为准），供应商具有与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各地市（县、区）教育局、各地市（县、区）招生主管部门签约的关于招生宣传的合作协议，每提供一份合作协议的扫描件或影印件得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w:t>
            </w:r>
            <w:r>
              <w:rPr>
                <w:rFonts w:hint="eastAsia" w:ascii="宋体" w:hAnsi="宋体"/>
                <w:color w:val="auto"/>
                <w:kern w:val="0"/>
                <w:szCs w:val="21"/>
                <w:lang w:val="en-US" w:eastAsia="zh-CN"/>
              </w:rPr>
              <w:t>1</w:t>
            </w:r>
            <w:r>
              <w:rPr>
                <w:rFonts w:ascii="宋体" w:hAnsi="宋体"/>
                <w:color w:val="auto"/>
                <w:kern w:val="0"/>
                <w:szCs w:val="21"/>
              </w:rPr>
              <w:t>0</w:t>
            </w:r>
            <w:r>
              <w:rPr>
                <w:rFonts w:hint="eastAsia" w:ascii="宋体" w:hAnsi="宋体"/>
                <w:color w:val="auto"/>
                <w:kern w:val="0"/>
                <w:szCs w:val="21"/>
              </w:rPr>
              <w:t>分。</w:t>
            </w:r>
          </w:p>
          <w:p w14:paraId="5C98A0E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5AB15BAF">
            <w:pPr>
              <w:spacing w:line="360" w:lineRule="auto"/>
              <w:rPr>
                <w:rFonts w:ascii="宋体" w:hAnsi="宋体"/>
                <w:color w:val="auto"/>
                <w:kern w:val="0"/>
                <w:szCs w:val="21"/>
              </w:rPr>
            </w:pPr>
            <w:r>
              <w:rPr>
                <w:rFonts w:hint="eastAsia" w:ascii="宋体" w:hAnsi="宋体"/>
                <w:color w:val="auto"/>
                <w:kern w:val="0"/>
                <w:szCs w:val="21"/>
                <w:lang w:val="en-US" w:eastAsia="zh-CN"/>
              </w:rPr>
              <w:t>四、自</w:t>
            </w:r>
            <w:r>
              <w:rPr>
                <w:rFonts w:hint="eastAsia" w:ascii="宋体" w:hAnsi="宋体"/>
                <w:color w:val="auto"/>
                <w:kern w:val="0"/>
                <w:szCs w:val="21"/>
              </w:rPr>
              <w:t>202</w:t>
            </w:r>
            <w:r>
              <w:rPr>
                <w:rFonts w:ascii="宋体" w:hAnsi="宋体"/>
                <w:color w:val="auto"/>
                <w:kern w:val="0"/>
                <w:szCs w:val="21"/>
              </w:rPr>
              <w:t>1</w:t>
            </w:r>
            <w:r>
              <w:rPr>
                <w:rFonts w:hint="eastAsia" w:ascii="宋体" w:hAnsi="宋体"/>
                <w:color w:val="auto"/>
                <w:kern w:val="0"/>
                <w:szCs w:val="21"/>
              </w:rPr>
              <w:t>年1月1日以来（以合同签订时间为准），供应商具有与</w:t>
            </w:r>
            <w:r>
              <w:rPr>
                <w:rFonts w:hint="eastAsia" w:ascii="宋体" w:hAnsi="宋体"/>
                <w:color w:val="auto"/>
                <w:kern w:val="0"/>
                <w:szCs w:val="21"/>
                <w:lang w:val="en-US" w:eastAsia="zh-CN"/>
              </w:rPr>
              <w:t>全省</w:t>
            </w:r>
            <w:r>
              <w:rPr>
                <w:rFonts w:hint="eastAsia" w:ascii="宋体" w:hAnsi="宋体"/>
                <w:color w:val="auto"/>
                <w:kern w:val="0"/>
                <w:szCs w:val="21"/>
              </w:rPr>
              <w:t>各地市高中（包含中职学校）签约的关于招生宣传合作协议，每提供一份合作协议的扫描件或影印件得</w:t>
            </w:r>
            <w:r>
              <w:rPr>
                <w:rFonts w:hint="eastAsia" w:ascii="宋体" w:hAnsi="宋体"/>
                <w:color w:val="auto"/>
                <w:kern w:val="0"/>
                <w:szCs w:val="21"/>
                <w:lang w:val="en-US" w:eastAsia="zh-CN"/>
              </w:rPr>
              <w:t>1</w:t>
            </w:r>
            <w:r>
              <w:rPr>
                <w:rFonts w:hint="eastAsia" w:ascii="宋体" w:hAnsi="宋体"/>
                <w:color w:val="auto"/>
                <w:kern w:val="0"/>
                <w:szCs w:val="21"/>
              </w:rPr>
              <w:t>分，满分得</w:t>
            </w:r>
            <w:r>
              <w:rPr>
                <w:rFonts w:hint="eastAsia" w:ascii="宋体" w:hAnsi="宋体"/>
                <w:color w:val="auto"/>
                <w:kern w:val="0"/>
                <w:szCs w:val="21"/>
                <w:lang w:val="en-US" w:eastAsia="zh-CN"/>
              </w:rPr>
              <w:t>15</w:t>
            </w:r>
            <w:r>
              <w:rPr>
                <w:rFonts w:hint="eastAsia" w:ascii="宋体" w:hAnsi="宋体"/>
                <w:color w:val="auto"/>
                <w:kern w:val="0"/>
                <w:szCs w:val="21"/>
              </w:rPr>
              <w:t>分。</w:t>
            </w:r>
          </w:p>
          <w:p w14:paraId="36F2F5E2">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注：响应文件中须提供合同或协议材料扫描件或影印件，学校保留对原件查看的权利，如有虚假，取消成交资格。</w:t>
            </w:r>
          </w:p>
          <w:p w14:paraId="759933C5">
            <w:pPr>
              <w:snapToGrid w:val="0"/>
              <w:spacing w:line="360" w:lineRule="auto"/>
              <w:rPr>
                <w:rFonts w:ascii="宋体" w:hAnsi="宋体"/>
                <w:color w:val="auto"/>
                <w:kern w:val="0"/>
                <w:szCs w:val="21"/>
              </w:rPr>
            </w:pPr>
            <w:r>
              <w:rPr>
                <w:rFonts w:hint="eastAsia" w:ascii="宋体" w:hAnsi="宋体"/>
                <w:color w:val="auto"/>
                <w:kern w:val="0"/>
                <w:szCs w:val="21"/>
                <w:lang w:val="en-US" w:eastAsia="zh-CN"/>
              </w:rPr>
              <w:t>五、</w:t>
            </w:r>
            <w:r>
              <w:rPr>
                <w:rFonts w:hint="eastAsia" w:ascii="宋体" w:hAnsi="宋体"/>
                <w:color w:val="auto"/>
                <w:kern w:val="0"/>
                <w:szCs w:val="21"/>
              </w:rPr>
              <w:t>供应商具有独立运营的网站、微信公众号，且有新媒体矩阵宣传平台（学习强国号、人民日报号、新华网号、今日头条、百度、搜狐、网易，抖音、微信视频号、快手、B站、西瓜视频号等）得2分。</w:t>
            </w:r>
          </w:p>
          <w:p w14:paraId="0DCB71CC">
            <w:pPr>
              <w:pStyle w:val="11"/>
              <w:snapToGrid w:val="0"/>
              <w:spacing w:after="0" w:line="360" w:lineRule="auto"/>
              <w:ind w:left="0" w:leftChars="0" w:right="0" w:rightChars="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 xml:space="preserve"> 满足上述任意5项及以上，且总的宣传途径可以覆盖到50万人次及以上，得4分；</w:t>
            </w:r>
          </w:p>
          <w:p w14:paraId="47C7FC6C">
            <w:pPr>
              <w:pStyle w:val="11"/>
              <w:snapToGrid w:val="0"/>
              <w:spacing w:after="0" w:line="360" w:lineRule="auto"/>
              <w:ind w:left="0" w:leftChars="0" w:right="0" w:rightChars="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w:t>
            </w:r>
            <w:r>
              <w:rPr>
                <w:rFonts w:hint="eastAsia" w:ascii="宋体" w:hAnsi="宋体"/>
                <w:color w:val="auto"/>
                <w:kern w:val="0"/>
                <w:szCs w:val="21"/>
              </w:rPr>
              <w:t>满足其中任意8项及以上，且总的宣传途径可以覆盖到</w:t>
            </w:r>
            <w:r>
              <w:rPr>
                <w:rFonts w:ascii="宋体" w:hAnsi="宋体"/>
                <w:color w:val="auto"/>
                <w:kern w:val="0"/>
                <w:szCs w:val="21"/>
              </w:rPr>
              <w:t>100</w:t>
            </w:r>
            <w:r>
              <w:rPr>
                <w:rFonts w:hint="eastAsia" w:ascii="宋体" w:hAnsi="宋体"/>
                <w:color w:val="auto"/>
                <w:kern w:val="0"/>
                <w:szCs w:val="21"/>
              </w:rPr>
              <w:t>万人次及以上，得</w:t>
            </w:r>
            <w:r>
              <w:rPr>
                <w:rFonts w:ascii="宋体" w:hAnsi="宋体"/>
                <w:color w:val="auto"/>
                <w:kern w:val="0"/>
                <w:szCs w:val="21"/>
              </w:rPr>
              <w:t>8</w:t>
            </w:r>
            <w:r>
              <w:rPr>
                <w:rFonts w:hint="eastAsia" w:ascii="宋体" w:hAnsi="宋体"/>
                <w:color w:val="auto"/>
                <w:kern w:val="0"/>
                <w:szCs w:val="21"/>
              </w:rPr>
              <w:t>分；</w:t>
            </w:r>
          </w:p>
          <w:p w14:paraId="7AFEE4F2">
            <w:pPr>
              <w:snapToGrid w:val="0"/>
              <w:spacing w:line="360" w:lineRule="auto"/>
              <w:rPr>
                <w:rFonts w:hint="eastAsia" w:ascii="宋体" w:hAnsi="宋体"/>
                <w:color w:val="auto"/>
                <w:kern w:val="0"/>
                <w:szCs w:val="21"/>
              </w:rPr>
            </w:pPr>
            <w:r>
              <w:rPr>
                <w:rFonts w:hint="eastAsia" w:ascii="宋体" w:hAnsi="宋体"/>
                <w:color w:val="auto"/>
                <w:kern w:val="0"/>
                <w:szCs w:val="21"/>
              </w:rPr>
              <w:t>3</w:t>
            </w:r>
            <w:r>
              <w:rPr>
                <w:rFonts w:ascii="宋体" w:hAnsi="宋体"/>
                <w:color w:val="auto"/>
                <w:kern w:val="0"/>
                <w:szCs w:val="21"/>
              </w:rPr>
              <w:t>.</w:t>
            </w:r>
            <w:r>
              <w:rPr>
                <w:rFonts w:hint="eastAsia" w:ascii="宋体" w:hAnsi="宋体"/>
                <w:color w:val="auto"/>
                <w:kern w:val="0"/>
                <w:szCs w:val="21"/>
              </w:rPr>
              <w:t xml:space="preserve"> 满足其中任意10项及以上，总的宣传途径可以覆盖到200万人次及以上，得10分。</w:t>
            </w:r>
          </w:p>
          <w:p w14:paraId="543FD557">
            <w:pPr>
              <w:pStyle w:val="23"/>
              <w:ind w:left="0" w:leftChars="0" w:right="-21" w:firstLine="0" w:firstLineChars="0"/>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注：响应文件中提供独立网站截图、微信公众号截图、新媒体矩阵截图、覆盖人数（包括网站首页浏览人数、微信公众号关注人数、新媒体矩阵点赞量）的相关截图作为评审依据。</w:t>
            </w:r>
          </w:p>
        </w:tc>
        <w:tc>
          <w:tcPr>
            <w:tcW w:w="1069" w:type="dxa"/>
          </w:tcPr>
          <w:p w14:paraId="4CDB30B3">
            <w:pPr>
              <w:spacing w:line="440" w:lineRule="exact"/>
              <w:jc w:val="left"/>
              <w:rPr>
                <w:rFonts w:ascii="宋体" w:hAnsi="宋体"/>
                <w:color w:val="000000" w:themeColor="text1"/>
                <w14:textFill>
                  <w14:solidFill>
                    <w14:schemeClr w14:val="tx1"/>
                  </w14:solidFill>
                </w14:textFill>
              </w:rPr>
            </w:pPr>
          </w:p>
        </w:tc>
      </w:tr>
      <w:tr w14:paraId="43C7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54" w:type="dxa"/>
            <w:vMerge w:val="continue"/>
            <w:vAlign w:val="center"/>
          </w:tcPr>
          <w:p w14:paraId="5E7957D8">
            <w:pPr>
              <w:spacing w:line="440" w:lineRule="exact"/>
              <w:jc w:val="center"/>
              <w:rPr>
                <w:rFonts w:ascii="宋体" w:hAnsi="宋体"/>
                <w:b/>
                <w:bCs/>
                <w:color w:val="auto"/>
              </w:rPr>
            </w:pPr>
          </w:p>
        </w:tc>
        <w:tc>
          <w:tcPr>
            <w:tcW w:w="1513" w:type="dxa"/>
            <w:tcBorders>
              <w:right w:val="single" w:color="auto" w:sz="4" w:space="0"/>
            </w:tcBorders>
            <w:vAlign w:val="center"/>
          </w:tcPr>
          <w:p w14:paraId="7842403E">
            <w:pPr>
              <w:spacing w:line="440" w:lineRule="exact"/>
              <w:jc w:val="center"/>
              <w:rPr>
                <w:rFonts w:hint="eastAsia" w:ascii="宋体" w:hAnsi="宋体"/>
                <w:b/>
                <w:bCs/>
                <w:color w:val="auto"/>
                <w:lang w:val="en-US" w:eastAsia="zh-CN"/>
              </w:rPr>
            </w:pPr>
            <w:r>
              <w:rPr>
                <w:rFonts w:hint="eastAsia" w:ascii="宋体" w:hAnsi="宋体"/>
                <w:b/>
                <w:bCs/>
                <w:color w:val="auto"/>
                <w:lang w:val="en-US" w:eastAsia="zh-CN"/>
              </w:rPr>
              <w:t>售后服务</w:t>
            </w:r>
          </w:p>
          <w:p w14:paraId="634152B9">
            <w:pPr>
              <w:spacing w:line="440" w:lineRule="exact"/>
              <w:jc w:val="center"/>
              <w:rPr>
                <w:rFonts w:hint="default" w:ascii="宋体" w:hAnsi="宋体" w:eastAsia="宋体"/>
                <w:b/>
                <w:bCs/>
                <w:color w:val="auto"/>
                <w:lang w:val="en-US" w:eastAsia="zh-CN"/>
              </w:rPr>
            </w:pPr>
            <w:r>
              <w:rPr>
                <w:rFonts w:hint="eastAsia" w:ascii="宋体" w:hAnsi="宋体"/>
                <w:b/>
                <w:bCs/>
                <w:color w:val="auto"/>
                <w:lang w:val="en-US" w:eastAsia="zh-CN"/>
              </w:rPr>
              <w:t>5分</w:t>
            </w:r>
          </w:p>
        </w:tc>
        <w:tc>
          <w:tcPr>
            <w:tcW w:w="5231" w:type="dxa"/>
            <w:tcBorders>
              <w:left w:val="single" w:color="auto" w:sz="4" w:space="0"/>
            </w:tcBorders>
            <w:vAlign w:val="center"/>
          </w:tcPr>
          <w:p w14:paraId="5C85480B">
            <w:pPr>
              <w:pStyle w:val="23"/>
              <w:ind w:left="0" w:leftChars="0" w:right="-21" w:firstLine="0" w:firstLineChars="0"/>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售后服务方案</w:t>
            </w:r>
          </w:p>
          <w:p w14:paraId="0C370072">
            <w:pPr>
              <w:pStyle w:val="23"/>
              <w:ind w:left="0" w:leftChars="0" w:right="-21" w:firstLine="0" w:firstLineChars="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供应商根据本项目实际需求及自身情况提供售后服务方案，内容包括售后服务承诺、售后服务期限、服务响应时间等</w:t>
            </w:r>
          </w:p>
          <w:p w14:paraId="15386D99">
            <w:pPr>
              <w:pStyle w:val="23"/>
              <w:numPr>
                <w:ilvl w:val="0"/>
                <w:numId w:val="0"/>
              </w:numPr>
              <w:ind w:leftChars="0" w:right="-21" w:rightChars="-10"/>
              <w:rPr>
                <w:rFonts w:hint="eastAsia"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方案内容详细全面，科学可行，安排合理得</w:t>
            </w:r>
            <w:r>
              <w:rPr>
                <w:rFonts w:hint="eastAsia" w:ascii="宋体" w:eastAsia="宋体" w:cs="Times New Roman"/>
                <w:b w:val="0"/>
                <w:bCs w:val="0"/>
                <w:kern w:val="2"/>
                <w:sz w:val="21"/>
                <w:szCs w:val="21"/>
                <w:lang w:val="en-US" w:eastAsia="zh-CN" w:bidi="ar-SA"/>
              </w:rPr>
              <w:t>5</w:t>
            </w:r>
            <w:r>
              <w:rPr>
                <w:rFonts w:hint="eastAsia" w:ascii="宋体" w:hAnsi="宋体" w:eastAsia="宋体" w:cs="Times New Roman"/>
                <w:b w:val="0"/>
                <w:bCs w:val="0"/>
                <w:kern w:val="2"/>
                <w:sz w:val="21"/>
                <w:szCs w:val="21"/>
                <w:lang w:val="en-US" w:eastAsia="zh-CN" w:bidi="ar-SA"/>
              </w:rPr>
              <w:t>分；</w:t>
            </w:r>
          </w:p>
          <w:p w14:paraId="2D263872">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2.</w:t>
            </w:r>
            <w:r>
              <w:rPr>
                <w:rFonts w:hint="eastAsia" w:ascii="宋体" w:hAnsi="宋体" w:eastAsia="宋体" w:cs="Times New Roman"/>
                <w:b w:val="0"/>
                <w:bCs w:val="0"/>
                <w:kern w:val="2"/>
                <w:sz w:val="21"/>
                <w:szCs w:val="21"/>
                <w:lang w:val="en-US" w:eastAsia="zh-CN" w:bidi="ar-SA"/>
              </w:rPr>
              <w:t>方案内容基本全面，基本可行，安排基本合理得</w:t>
            </w: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分；</w:t>
            </w:r>
          </w:p>
          <w:p w14:paraId="4658AECB">
            <w:pPr>
              <w:pStyle w:val="23"/>
              <w:numPr>
                <w:ilvl w:val="0"/>
                <w:numId w:val="0"/>
              </w:numPr>
              <w:ind w:leftChars="0" w:right="-21" w:rightChars="-10"/>
              <w:rPr>
                <w:rFonts w:hint="default" w:ascii="宋体" w:hAnsi="宋体" w:eastAsia="宋体" w:cs="Times New Roman"/>
                <w:b w:val="0"/>
                <w:bCs w:val="0"/>
                <w:kern w:val="2"/>
                <w:sz w:val="21"/>
                <w:szCs w:val="21"/>
                <w:lang w:val="en-US" w:eastAsia="zh-CN" w:bidi="ar-SA"/>
              </w:rPr>
            </w:pPr>
            <w:r>
              <w:rPr>
                <w:rFonts w:hint="eastAsia" w:ascii="宋体" w:eastAsia="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方案内容欠缺较差，安排不合理，得</w:t>
            </w:r>
            <w:r>
              <w:rPr>
                <w:rFonts w:hint="eastAsia" w:asci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分；</w:t>
            </w:r>
          </w:p>
          <w:p w14:paraId="7D68204B">
            <w:pPr>
              <w:pStyle w:val="23"/>
              <w:numPr>
                <w:ilvl w:val="0"/>
                <w:numId w:val="0"/>
              </w:numPr>
              <w:ind w:leftChars="0" w:right="-21" w:rightChars="-10"/>
              <w:rPr>
                <w:rFonts w:hint="default" w:ascii="宋体" w:hAnsi="宋体" w:eastAsia="宋体" w:cs="Times New Roman"/>
                <w:b/>
                <w:bCs/>
                <w:kern w:val="2"/>
                <w:sz w:val="21"/>
                <w:szCs w:val="21"/>
                <w:lang w:val="en-US" w:eastAsia="zh-CN" w:bidi="ar-SA"/>
              </w:rPr>
            </w:pPr>
            <w:r>
              <w:rPr>
                <w:rFonts w:hint="eastAsia" w:ascii="宋体" w:eastAsia="宋体" w:cs="Times New Roman"/>
                <w:b w:val="0"/>
                <w:bCs w:val="0"/>
                <w:kern w:val="2"/>
                <w:sz w:val="21"/>
                <w:szCs w:val="21"/>
                <w:lang w:val="en-US" w:eastAsia="zh-CN" w:bidi="ar-SA"/>
              </w:rPr>
              <w:t>4.</w:t>
            </w:r>
            <w:r>
              <w:rPr>
                <w:rFonts w:hint="eastAsia" w:ascii="宋体" w:hAnsi="宋体" w:eastAsia="宋体" w:cs="Times New Roman"/>
                <w:b w:val="0"/>
                <w:bCs w:val="0"/>
                <w:kern w:val="2"/>
                <w:sz w:val="21"/>
                <w:szCs w:val="21"/>
                <w:lang w:val="en-US" w:eastAsia="zh-CN" w:bidi="ar-SA"/>
              </w:rPr>
              <w:t>未提供或有重大偏差的，不得分。</w:t>
            </w:r>
          </w:p>
        </w:tc>
        <w:tc>
          <w:tcPr>
            <w:tcW w:w="1069" w:type="dxa"/>
          </w:tcPr>
          <w:p w14:paraId="01593C24">
            <w:pPr>
              <w:spacing w:line="440" w:lineRule="exact"/>
              <w:jc w:val="left"/>
              <w:rPr>
                <w:rFonts w:ascii="宋体" w:hAnsi="宋体"/>
                <w:color w:val="000000" w:themeColor="text1"/>
                <w14:textFill>
                  <w14:solidFill>
                    <w14:schemeClr w14:val="tx1"/>
                  </w14:solidFill>
                </w14:textFill>
              </w:rPr>
            </w:pPr>
          </w:p>
        </w:tc>
      </w:tr>
      <w:tr w14:paraId="5A5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54" w:type="dxa"/>
            <w:vAlign w:val="center"/>
          </w:tcPr>
          <w:p w14:paraId="7C35DF8B">
            <w:pPr>
              <w:spacing w:line="440" w:lineRule="exact"/>
              <w:jc w:val="center"/>
              <w:rPr>
                <w:rFonts w:ascii="宋体" w:hAnsi="宋体"/>
                <w:b/>
                <w:bCs/>
                <w:color w:val="auto"/>
              </w:rPr>
            </w:pPr>
            <w:r>
              <w:rPr>
                <w:rFonts w:hint="eastAsia" w:ascii="宋体" w:hAnsi="宋体"/>
                <w:b/>
                <w:bCs/>
                <w:color w:val="auto"/>
              </w:rPr>
              <w:t>商务分</w:t>
            </w:r>
          </w:p>
          <w:p w14:paraId="0CF7FF46">
            <w:pPr>
              <w:widowControl/>
              <w:spacing w:line="440" w:lineRule="exact"/>
              <w:jc w:val="center"/>
              <w:rPr>
                <w:rFonts w:ascii="宋体" w:hAnsi="宋体"/>
                <w:color w:val="auto"/>
              </w:rPr>
            </w:pPr>
            <w:r>
              <w:rPr>
                <w:rFonts w:hint="eastAsia" w:ascii="宋体" w:hAnsi="宋体"/>
                <w:b/>
                <w:bCs/>
                <w:color w:val="auto"/>
              </w:rPr>
              <w:t>(</w:t>
            </w:r>
            <w:r>
              <w:rPr>
                <w:rFonts w:hint="eastAsia" w:ascii="宋体" w:hAnsi="宋体"/>
                <w:b/>
                <w:bCs/>
                <w:color w:val="auto"/>
                <w:lang w:val="en-US" w:eastAsia="zh-CN"/>
              </w:rPr>
              <w:t>30</w:t>
            </w:r>
            <w:r>
              <w:rPr>
                <w:rFonts w:hint="eastAsia" w:ascii="宋体" w:hAnsi="宋体"/>
                <w:b/>
                <w:bCs/>
                <w:color w:val="auto"/>
              </w:rPr>
              <w:t>分）</w:t>
            </w:r>
          </w:p>
        </w:tc>
        <w:tc>
          <w:tcPr>
            <w:tcW w:w="6744" w:type="dxa"/>
            <w:gridSpan w:val="2"/>
            <w:vAlign w:val="center"/>
          </w:tcPr>
          <w:p w14:paraId="710BBB56">
            <w:pPr>
              <w:spacing w:line="440" w:lineRule="exact"/>
              <w:rPr>
                <w:color w:val="auto"/>
              </w:rPr>
            </w:pPr>
            <w:r>
              <w:rPr>
                <w:rFonts w:hint="eastAsia"/>
                <w:color w:val="auto"/>
              </w:rPr>
              <w:t xml:space="preserve">价格标经评审满足本文件要求且在预算范围内的投标人的总报价中，最低价格为磋商基准价格，得满分；其他投标人的价格分统一按照下列公式计算：磋商报价得分＝（磋商基准价/最后磋商报价）× </w:t>
            </w:r>
            <w:r>
              <w:rPr>
                <w:rFonts w:hint="eastAsia"/>
                <w:color w:val="auto"/>
                <w:lang w:val="en-US" w:eastAsia="zh-CN"/>
              </w:rPr>
              <w:t>3</w:t>
            </w:r>
            <w:r>
              <w:rPr>
                <w:rFonts w:hint="eastAsia"/>
                <w:color w:val="auto"/>
              </w:rPr>
              <w:t>0%×100（取小数点后两位）。</w:t>
            </w:r>
          </w:p>
        </w:tc>
        <w:tc>
          <w:tcPr>
            <w:tcW w:w="1069" w:type="dxa"/>
            <w:tcBorders>
              <w:top w:val="single" w:color="auto" w:sz="4" w:space="0"/>
              <w:bottom w:val="single" w:color="auto" w:sz="4" w:space="0"/>
            </w:tcBorders>
          </w:tcPr>
          <w:p w14:paraId="0B7B83FF">
            <w:pPr>
              <w:spacing w:line="440" w:lineRule="exact"/>
              <w:rPr>
                <w:rFonts w:ascii="宋体" w:hAnsi="宋体"/>
                <w:color w:val="000000" w:themeColor="text1"/>
                <w14:textFill>
                  <w14:solidFill>
                    <w14:schemeClr w14:val="tx1"/>
                  </w14:solidFill>
                </w14:textFill>
              </w:rPr>
            </w:pPr>
          </w:p>
        </w:tc>
      </w:tr>
    </w:tbl>
    <w:p w14:paraId="4627F8FF">
      <w:pPr>
        <w:rPr>
          <w:color w:val="000000" w:themeColor="text1"/>
          <w14:textFill>
            <w14:solidFill>
              <w14:schemeClr w14:val="tx1"/>
            </w14:solidFill>
          </w14:textFill>
        </w:rPr>
      </w:pPr>
    </w:p>
    <w:p w14:paraId="1E6B2EB5">
      <w:pPr>
        <w:pStyle w:val="3"/>
        <w:spacing w:line="360" w:lineRule="auto"/>
        <w:ind w:right="-10"/>
        <w:rPr>
          <w:rFonts w:hint="eastAsia" w:ascii="宋体" w:hAnsi="宋体"/>
          <w:b/>
          <w:bCs/>
          <w:color w:val="000000" w:themeColor="text1"/>
          <w:sz w:val="24"/>
          <w14:textFill>
            <w14:solidFill>
              <w14:schemeClr w14:val="tx1"/>
            </w14:solidFill>
          </w14:textFill>
        </w:rPr>
      </w:pPr>
    </w:p>
    <w:p w14:paraId="0C5CBC2F">
      <w:pPr>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31" w:name="_Toc17460"/>
    </w:p>
    <w:p w14:paraId="17D413AA">
      <w:pPr>
        <w:pStyle w:val="31"/>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第六章供应商须知</w:t>
      </w:r>
      <w:bookmarkEnd w:id="30"/>
      <w:bookmarkEnd w:id="31"/>
    </w:p>
    <w:p w14:paraId="4D7CF985">
      <w:pPr>
        <w:pStyle w:val="33"/>
        <w:rPr>
          <w:color w:val="000000" w:themeColor="text1"/>
          <w14:textFill>
            <w14:solidFill>
              <w14:schemeClr w14:val="tx1"/>
            </w14:solidFill>
          </w14:textFill>
        </w:rPr>
      </w:pPr>
      <w:bookmarkStart w:id="32" w:name="_Toc511899305"/>
      <w:bookmarkEnd w:id="32"/>
      <w:bookmarkStart w:id="33" w:name="_Toc31883"/>
      <w:bookmarkStart w:id="34" w:name="_Toc25200"/>
      <w:r>
        <w:rPr>
          <w:rFonts w:hint="eastAsia"/>
          <w:color w:val="000000" w:themeColor="text1"/>
          <w14:textFill>
            <w14:solidFill>
              <w14:schemeClr w14:val="tx1"/>
            </w14:solidFill>
          </w14:textFill>
        </w:rPr>
        <w:t>一、总则</w:t>
      </w:r>
      <w:bookmarkEnd w:id="33"/>
      <w:bookmarkEnd w:id="34"/>
    </w:p>
    <w:p w14:paraId="7FF2BF57">
      <w:pPr>
        <w:numPr>
          <w:ilvl w:val="0"/>
          <w:numId w:val="6"/>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适用范围</w:t>
      </w:r>
    </w:p>
    <w:p w14:paraId="6B1AFD86">
      <w:pPr>
        <w:spacing w:line="500" w:lineRule="exact"/>
        <w:ind w:left="267" w:leftChars="127"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1.1本磋商文件仅适用于本次采购项目。</w:t>
      </w:r>
    </w:p>
    <w:p w14:paraId="52B3E3F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1.2本磋商文件的最终解释权归采购单位所有。</w:t>
      </w:r>
    </w:p>
    <w:p w14:paraId="4880BDFF">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2、定义</w:t>
      </w:r>
    </w:p>
    <w:p w14:paraId="226089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2.1货物服务：既是指本范本适用于货物采购或服务采购，也是指货物采购所伴随的服务或服务采购中伴随的货物采购。</w:t>
      </w:r>
    </w:p>
    <w:p w14:paraId="27814A7C">
      <w:pPr>
        <w:tabs>
          <w:tab w:val="center" w:pos="4153"/>
        </w:tabs>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2.2工程：既是指本范本适用于</w:t>
      </w:r>
      <w:r>
        <w:rPr>
          <w:rFonts w:hint="eastAsia" w:ascii="宋体" w:hAnsi="宋体" w:cs="Arial"/>
          <w:color w:val="000000" w:themeColor="text1"/>
          <w14:textFill>
            <w14:solidFill>
              <w14:schemeClr w14:val="tx1"/>
            </w14:solidFill>
          </w14:textFill>
        </w:rPr>
        <w:tab/>
      </w:r>
      <w:r>
        <w:rPr>
          <w:rFonts w:hint="eastAsia" w:ascii="宋体" w:hAnsi="宋体" w:cs="Arial"/>
          <w:color w:val="000000" w:themeColor="text1"/>
          <w14:textFill>
            <w14:solidFill>
              <w14:schemeClr w14:val="tx1"/>
            </w14:solidFill>
          </w14:textFill>
        </w:rPr>
        <w:t>按照招标投标法及其实施条例必须进行招标的工程建设项目以外的</w:t>
      </w:r>
      <w:r>
        <w:rPr>
          <w:rFonts w:ascii="宋体" w:hAnsi="宋体" w:cs="Arial"/>
          <w:color w:val="000000" w:themeColor="text1"/>
          <w14:textFill>
            <w14:solidFill>
              <w14:schemeClr w14:val="tx1"/>
            </w14:solidFill>
          </w14:textFill>
        </w:rPr>
        <w:t>工程建设项目。</w:t>
      </w:r>
    </w:p>
    <w:p w14:paraId="55C6F52C">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2.3采购单位：是指具体负责和从事采购业务的社会中介代理机构和采购人的总称。</w:t>
      </w:r>
    </w:p>
    <w:p w14:paraId="7F723D15">
      <w:pPr>
        <w:spacing w:line="500" w:lineRule="exact"/>
        <w:ind w:firstLine="413" w:firstLineChars="19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 xml:space="preserve">3、供应商要求 </w:t>
      </w:r>
    </w:p>
    <w:p w14:paraId="1C7A378A">
      <w:pPr>
        <w:spacing w:line="500" w:lineRule="exact"/>
        <w:rPr>
          <w:rFonts w:ascii="宋体" w:hAnsi="宋体" w:cs="Arial"/>
          <w:color w:val="000000" w:themeColor="text1"/>
          <w14:textFill>
            <w14:solidFill>
              <w14:schemeClr w14:val="tx1"/>
            </w14:solidFill>
          </w14:textFill>
        </w:rPr>
      </w:pPr>
      <w:bookmarkStart w:id="35" w:name="_Toc12596"/>
      <w:bookmarkEnd w:id="35"/>
      <w:bookmarkStart w:id="36" w:name="_Toc8996"/>
      <w:bookmarkEnd w:id="36"/>
      <w:bookmarkStart w:id="37" w:name="_Toc9010"/>
      <w:bookmarkEnd w:id="37"/>
      <w:r>
        <w:rPr>
          <w:rFonts w:hint="eastAsia" w:ascii="宋体" w:hAnsi="宋体" w:cs="Arial"/>
          <w:b/>
          <w:bCs/>
          <w:color w:val="000000" w:themeColor="text1"/>
          <w14:textFill>
            <w14:solidFill>
              <w14:schemeClr w14:val="tx1"/>
            </w14:solidFill>
          </w14:textFill>
        </w:rPr>
        <w:t>3.1 供应商资格要求详见竞争性磋商公告</w:t>
      </w:r>
      <w:r>
        <w:rPr>
          <w:rFonts w:hint="eastAsia" w:ascii="宋体" w:hAnsi="宋体" w:cs="Arial"/>
          <w:color w:val="000000" w:themeColor="text1"/>
          <w14:textFill>
            <w14:solidFill>
              <w14:schemeClr w14:val="tx1"/>
            </w14:solidFill>
          </w14:textFill>
        </w:rPr>
        <w:t>。</w:t>
      </w:r>
    </w:p>
    <w:p w14:paraId="11E3D28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3.2 为采购项目提供整体设计、规范编制或者项目管理、监理、检测等服务的供应商，不得再参加该采购项目的其他采购活动。</w:t>
      </w:r>
    </w:p>
    <w:p w14:paraId="2838ADDD">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3.3供应商存在以下不良信用记录情形之一的，不得推荐为成交候选供应商，不得确定为成交供应商：</w:t>
      </w:r>
    </w:p>
    <w:p w14:paraId="63F6DE0C">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（1）供应商被人民法院列入失信被执行人的；</w:t>
      </w:r>
    </w:p>
    <w:p w14:paraId="0C4A6BFA">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（2）供应商或其法定代表人或拟派项目经理（项目负责人）被列入行贿犯罪档案的；</w:t>
      </w:r>
    </w:p>
    <w:p w14:paraId="2E3F154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（3）供应商被工商行政管理部门列入企业经营异常名录的；</w:t>
      </w:r>
    </w:p>
    <w:p w14:paraId="54FCB679">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（4）供应商被税务部门列入重大税收违法案件当事人名单的；</w:t>
      </w:r>
    </w:p>
    <w:p w14:paraId="69DA4DD1">
      <w:pPr>
        <w:spacing w:line="500" w:lineRule="exact"/>
        <w:ind w:firstLine="210" w:firstLineChars="1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（5）供应商被政府采购监管部门列入政府采购严重违法失信行为记录名单的。</w:t>
      </w:r>
    </w:p>
    <w:p w14:paraId="27506F53">
      <w:pPr>
        <w:wordWrap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以上情形第（1）（3）（4）（5）以“信用中国”（http://www.creditchina.gov.cn）或其他指定媒介[国家税务总局网站（www.chinatax.gov.cn）、中国政府采购网（www.ccgp.gov.cn）、国家企业信用信息公示系统网站（www.gsxt.gov.cn）]发布的为准，查询截止时点为投标截止时间。</w:t>
      </w:r>
    </w:p>
    <w:p w14:paraId="76CCDD53">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情形（2）由供应商提供无行贿犯罪记录承诺函。</w:t>
      </w:r>
    </w:p>
    <w:p w14:paraId="22A91BF8">
      <w:pPr>
        <w:numPr>
          <w:ilvl w:val="0"/>
          <w:numId w:val="7"/>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供应商参与磋商活动的费用</w:t>
      </w:r>
    </w:p>
    <w:p w14:paraId="2B482D1E">
      <w:pPr>
        <w:spacing w:line="500" w:lineRule="exact"/>
        <w:ind w:firstLine="499" w:firstLineChars="238"/>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4.1供应商必须自行承担所有与参采购活动的有关费用。不论结果如何，采购单位在任何情况下均无义务和责任承担这些费用。</w:t>
      </w:r>
    </w:p>
    <w:p w14:paraId="6CBB69F0">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5、保密</w:t>
      </w:r>
    </w:p>
    <w:p w14:paraId="5825D78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参与政府采购活动的各方主体应对磋商文件和磋商响应文件中的商业和技术等秘密保密，违者应对由此造成的后果承担法律责任。</w:t>
      </w:r>
    </w:p>
    <w:p w14:paraId="171F5E05">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6、语言文字</w:t>
      </w:r>
    </w:p>
    <w:p w14:paraId="6C85D609">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磋商及磋商响应文件使用的语言文字、</w:t>
      </w:r>
      <w:r>
        <w:rPr>
          <w:rFonts w:hint="eastAsia" w:ascii="宋体" w:hAnsi="宋体" w:cs="Arial"/>
          <w:color w:val="000000" w:themeColor="text1"/>
          <w14:textFill>
            <w14:solidFill>
              <w14:schemeClr w14:val="tx1"/>
            </w14:solidFill>
          </w14:textFill>
        </w:rPr>
        <w:t>以及供应商与采购单位就磋商相关事项的所有往来函电均须使用</w:t>
      </w:r>
      <w:r>
        <w:rPr>
          <w:rFonts w:hint="eastAsia" w:ascii="宋体" w:hAnsi="宋体"/>
          <w:color w:val="000000" w:themeColor="text1"/>
          <w14:textFill>
            <w14:solidFill>
              <w14:schemeClr w14:val="tx1"/>
            </w14:solidFill>
          </w14:textFill>
        </w:rPr>
        <w:t>简体中文（部分专用术语需使用外文的除外）。</w:t>
      </w:r>
    </w:p>
    <w:p w14:paraId="057CD02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7、计量单位</w:t>
      </w:r>
    </w:p>
    <w:p w14:paraId="7A60188C">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139277BF">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8、勘察现场（供应商自行踏勘）</w:t>
      </w:r>
    </w:p>
    <w:p w14:paraId="6EC7E6B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采购单位根据项目的具体情况，可以组织潜在供应商现场考察或者召开开标前答疑会，但不得单独或者分别组织只有一个供应商参加的现场考察。本项目不组织。</w:t>
      </w:r>
    </w:p>
    <w:p w14:paraId="516ACBC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9、偏离</w:t>
      </w:r>
    </w:p>
    <w:p w14:paraId="357F1B38">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磋商文件允许磋商响应文件偏离某些要求的，偏离应当符合磋商文件规定的偏离范围和幅度。</w:t>
      </w:r>
    </w:p>
    <w:p w14:paraId="34C5CA85">
      <w:pPr>
        <w:pStyle w:val="33"/>
        <w:rPr>
          <w:color w:val="000000" w:themeColor="text1"/>
          <w14:textFill>
            <w14:solidFill>
              <w14:schemeClr w14:val="tx1"/>
            </w14:solidFill>
          </w14:textFill>
        </w:rPr>
      </w:pPr>
      <w:bookmarkStart w:id="38" w:name="_Toc511899306"/>
      <w:bookmarkEnd w:id="38"/>
      <w:bookmarkStart w:id="39" w:name="_Toc27346"/>
      <w:bookmarkStart w:id="40" w:name="_Toc17878"/>
      <w:r>
        <w:rPr>
          <w:rFonts w:hint="eastAsia"/>
          <w:color w:val="000000" w:themeColor="text1"/>
          <w14:textFill>
            <w14:solidFill>
              <w14:schemeClr w14:val="tx1"/>
            </w14:solidFill>
          </w14:textFill>
        </w:rPr>
        <w:t>二、竞争性磋商文件</w:t>
      </w:r>
      <w:bookmarkEnd w:id="39"/>
      <w:bookmarkEnd w:id="40"/>
    </w:p>
    <w:p w14:paraId="419EA080">
      <w:pPr>
        <w:numPr>
          <w:ilvl w:val="1"/>
          <w:numId w:val="8"/>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竞争性磋商文件构成</w:t>
      </w:r>
    </w:p>
    <w:p w14:paraId="6CD0E28E">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10.1竞争性磋商文件包括：</w:t>
      </w:r>
    </w:p>
    <w:p w14:paraId="30F6903F">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第一章 竞争性磋商公告</w:t>
      </w:r>
    </w:p>
    <w:p w14:paraId="460ECFA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第二章 供应商须知前附表</w:t>
      </w:r>
    </w:p>
    <w:p w14:paraId="73BEC36A">
      <w:pPr>
        <w:spacing w:line="54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第三章 项目要求</w:t>
      </w:r>
    </w:p>
    <w:p w14:paraId="58A88D42">
      <w:pPr>
        <w:spacing w:line="54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第四章 </w:t>
      </w:r>
      <w:r>
        <w:rPr>
          <w:rFonts w:hint="eastAsia" w:ascii="宋体" w:hAnsi="宋体"/>
          <w:color w:val="000000" w:themeColor="text1"/>
          <w14:textFill>
            <w14:solidFill>
              <w14:schemeClr w14:val="tx1"/>
            </w14:solidFill>
          </w14:textFill>
        </w:rPr>
        <w:t>实质性响应审查</w:t>
      </w:r>
    </w:p>
    <w:p w14:paraId="296D3062">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第五章 评分办法</w:t>
      </w:r>
    </w:p>
    <w:p w14:paraId="414B412E">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第六章 供应商须知</w:t>
      </w:r>
    </w:p>
    <w:p w14:paraId="4C7D9726">
      <w:pPr>
        <w:spacing w:line="540" w:lineRule="exact"/>
        <w:ind w:firstLine="518" w:firstLineChars="247"/>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第七章 合同条款及格式</w:t>
      </w:r>
    </w:p>
    <w:p w14:paraId="3FE8840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第八章 磋商响应文件</w:t>
      </w:r>
    </w:p>
    <w:p w14:paraId="60A980B4">
      <w:pPr>
        <w:spacing w:line="500" w:lineRule="exact"/>
        <w:ind w:left="267" w:leftChars="127"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10.2供应商应认真阅读和充分理解竞争性磋商文件中所有的内容。如果其磋商响应书没有满足竞争性磋商文件的有关要求，其风险由供应商自行承担。</w:t>
      </w:r>
    </w:p>
    <w:p w14:paraId="70E219E7">
      <w:pPr>
        <w:spacing w:line="500" w:lineRule="exact"/>
        <w:ind w:firstLine="632" w:firstLineChars="3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11、竞争性磋商文件的澄清和修改</w:t>
      </w:r>
    </w:p>
    <w:p w14:paraId="2BAE7DBD">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11.1</w:t>
      </w:r>
      <w:r>
        <w:rPr>
          <w:rFonts w:hint="eastAsia" w:ascii="宋体" w:hAnsi="宋体" w:cs="Arial"/>
          <w:b/>
          <w:bCs/>
          <w:color w:val="000000" w:themeColor="text1"/>
          <w14:textFill>
            <w14:solidFill>
              <w14:schemeClr w14:val="tx1"/>
            </w14:solidFill>
          </w14:textFill>
        </w:rPr>
        <w:t>采购人可以对竞争性磋商文件中的有关问题进行澄清、修改。</w:t>
      </w:r>
    </w:p>
    <w:p w14:paraId="5C6C9EE3">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采购人、代理机构或者磋商小组在提交首次磋商响应文件截止时间前可以对已发出的竞争性磋商文件进行必要的澄清或者修改，澄清或修改将在本项目公示网站上公布，但不指明问题的来源，所有潜在供应商均有义务自行查看该澄清或修改的内容。采购人、代理机构</w:t>
      </w:r>
      <w:r>
        <w:rPr>
          <w:rFonts w:hint="eastAsia" w:ascii="宋体" w:hAnsi="宋体" w:cs="Arial"/>
          <w:color w:val="000000" w:themeColor="text1"/>
          <w14:textFill>
            <w14:solidFill>
              <w14:schemeClr w14:val="tx1"/>
            </w14:solidFill>
          </w14:textFill>
        </w:rPr>
        <w:t>对竞争性磋商文件进行</w:t>
      </w:r>
      <w:r>
        <w:rPr>
          <w:rFonts w:hint="eastAsia" w:ascii="宋体" w:hAnsi="宋体"/>
          <w:color w:val="000000" w:themeColor="text1"/>
          <w14:textFill>
            <w14:solidFill>
              <w14:schemeClr w14:val="tx1"/>
            </w14:solidFill>
          </w14:textFill>
        </w:rPr>
        <w:t>澄清或者修改的内容作为磋商文件的组成部分。澄清或者修改的内容可能影响响应文件编制的，采购人或者代理机构应当在递交首次磋商响应文件截止之日5日前发布，不足</w:t>
      </w: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日的，应当顺延提交响应文件截止之日。</w:t>
      </w:r>
    </w:p>
    <w:p w14:paraId="0CB467D4">
      <w:pPr>
        <w:spacing w:line="500" w:lineRule="exact"/>
        <w:ind w:firstLine="527" w:firstLineChars="250"/>
        <w:rPr>
          <w:rFonts w:ascii="宋体" w:hAnsi="宋体" w:cs="Arial"/>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12、竞争性磋商文件</w:t>
      </w:r>
      <w:r>
        <w:rPr>
          <w:rFonts w:hint="eastAsia" w:ascii="宋体" w:hAnsi="宋体"/>
          <w:b/>
          <w:bCs/>
          <w:color w:val="000000" w:themeColor="text1"/>
          <w14:textFill>
            <w14:solidFill>
              <w14:schemeClr w14:val="tx1"/>
            </w14:solidFill>
          </w14:textFill>
        </w:rPr>
        <w:t>的质疑和答复</w:t>
      </w:r>
    </w:p>
    <w:p w14:paraId="37B154C9">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w:t>
      </w:r>
      <w:r>
        <w:rPr>
          <w:rFonts w:ascii="宋体" w:hAnsi="宋体" w:cs="Arial"/>
          <w:color w:val="000000" w:themeColor="text1"/>
          <w14:textFill>
            <w14:solidFill>
              <w14:schemeClr w14:val="tx1"/>
            </w14:solidFill>
          </w14:textFill>
        </w:rPr>
        <w:t>潜在供应商已依法获取</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文件的</w:t>
      </w:r>
      <w:r>
        <w:rPr>
          <w:rFonts w:hint="eastAsia" w:ascii="宋体" w:hAnsi="宋体" w:cs="Arial"/>
          <w:color w:val="000000" w:themeColor="text1"/>
          <w14:textFill>
            <w14:solidFill>
              <w14:schemeClr w14:val="tx1"/>
            </w14:solidFill>
          </w14:textFill>
        </w:rPr>
        <w:t>（应提供依法获取磋商文件的证明材料）</w:t>
      </w:r>
      <w:r>
        <w:rPr>
          <w:rFonts w:ascii="宋体" w:hAnsi="宋体" w:cs="Arial"/>
          <w:color w:val="000000" w:themeColor="text1"/>
          <w14:textFill>
            <w14:solidFill>
              <w14:schemeClr w14:val="tx1"/>
            </w14:solidFill>
          </w14:textFill>
        </w:rPr>
        <w:t>，可以对</w:t>
      </w:r>
      <w:r>
        <w:rPr>
          <w:rFonts w:hint="eastAsia" w:ascii="宋体" w:hAnsi="宋体" w:cs="Arial"/>
          <w:color w:val="000000" w:themeColor="text1"/>
          <w14:textFill>
            <w14:solidFill>
              <w14:schemeClr w14:val="tx1"/>
            </w14:solidFill>
          </w14:textFill>
        </w:rPr>
        <w:t>本磋商</w:t>
      </w:r>
      <w:r>
        <w:rPr>
          <w:rFonts w:ascii="宋体" w:hAnsi="宋体" w:cs="Arial"/>
          <w:color w:val="000000" w:themeColor="text1"/>
          <w14:textFill>
            <w14:solidFill>
              <w14:schemeClr w14:val="tx1"/>
            </w14:solidFill>
          </w14:textFill>
        </w:rPr>
        <w:t>文件提出质疑。</w:t>
      </w:r>
      <w:r>
        <w:rPr>
          <w:rFonts w:hint="eastAsia" w:ascii="宋体" w:hAnsi="宋体" w:cs="Arial"/>
          <w:color w:val="000000" w:themeColor="text1"/>
          <w14:textFill>
            <w14:solidFill>
              <w14:schemeClr w14:val="tx1"/>
            </w14:solidFill>
          </w14:textFill>
        </w:rPr>
        <w:t>质疑</w:t>
      </w:r>
      <w:r>
        <w:rPr>
          <w:rFonts w:ascii="宋体" w:hAnsi="宋体" w:cs="Arial"/>
          <w:color w:val="000000" w:themeColor="text1"/>
          <w14:textFill>
            <w14:solidFill>
              <w14:schemeClr w14:val="tx1"/>
            </w14:solidFill>
          </w14:textFill>
        </w:rPr>
        <w:t>应当在获取</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文件或者</w:t>
      </w:r>
      <w:r>
        <w:rPr>
          <w:rFonts w:hint="eastAsia" w:ascii="宋体" w:hAnsi="宋体" w:cs="Arial"/>
          <w:color w:val="000000" w:themeColor="text1"/>
          <w14:textFill>
            <w14:solidFill>
              <w14:schemeClr w14:val="tx1"/>
            </w14:solidFill>
          </w14:textFill>
        </w:rPr>
        <w:t>磋商</w:t>
      </w:r>
      <w:r>
        <w:rPr>
          <w:rFonts w:ascii="宋体" w:hAnsi="宋体" w:cs="Arial"/>
          <w:color w:val="000000" w:themeColor="text1"/>
          <w14:textFill>
            <w14:solidFill>
              <w14:schemeClr w14:val="tx1"/>
            </w14:solidFill>
          </w14:textFill>
        </w:rPr>
        <w:t>文件公告期限届满之日起</w:t>
      </w:r>
      <w:r>
        <w:rPr>
          <w:rFonts w:ascii="Arial" w:hAnsi="Arial" w:cs="Arial"/>
          <w:color w:val="000000" w:themeColor="text1"/>
          <w14:textFill>
            <w14:solidFill>
              <w14:schemeClr w14:val="tx1"/>
            </w14:solidFill>
          </w14:textFill>
        </w:rPr>
        <w:t>7</w:t>
      </w:r>
      <w:r>
        <w:rPr>
          <w:rFonts w:ascii="宋体" w:hAnsi="宋体" w:cs="Arial"/>
          <w:color w:val="000000" w:themeColor="text1"/>
          <w14:textFill>
            <w14:solidFill>
              <w14:schemeClr w14:val="tx1"/>
            </w14:solidFill>
          </w14:textFill>
        </w:rPr>
        <w:t>个工作日内</w:t>
      </w:r>
      <w:r>
        <w:rPr>
          <w:rFonts w:hint="eastAsia" w:ascii="宋体" w:hAnsi="宋体"/>
          <w:color w:val="000000" w:themeColor="text1"/>
          <w14:textFill>
            <w14:solidFill>
              <w14:schemeClr w14:val="tx1"/>
            </w14:solidFill>
          </w14:textFill>
        </w:rPr>
        <w:t>以书面形式向采购人或代理机构提出，质疑函的内容应包括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w:t>
      </w:r>
    </w:p>
    <w:p w14:paraId="5C1E0BE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12.2供应商对</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文件有质疑的，应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，采购人或代理机构不再接受同一供应商针对同一磋商文件提出的再次质疑（对同一质疑的补充除外）。</w:t>
      </w:r>
    </w:p>
    <w:p w14:paraId="6BDAD21F">
      <w:pPr>
        <w:pStyle w:val="35"/>
        <w:widowControl w:val="0"/>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12.3采购人或代理机构应当在收到质疑后7个工作日内作出答复。答复内容将在本项目公示网站中公布，所有获取</w:t>
      </w:r>
      <w:r>
        <w:rPr>
          <w:rFonts w:hint="eastAsia" w:ascii="宋体" w:hAnsi="宋体" w:cs="Arial"/>
          <w:color w:val="000000" w:themeColor="text1"/>
          <w14:textFill>
            <w14:solidFill>
              <w14:schemeClr w14:val="tx1"/>
            </w14:solidFill>
          </w14:textFill>
        </w:rPr>
        <w:t>磋商</w:t>
      </w:r>
      <w:r>
        <w:rPr>
          <w:rFonts w:hint="eastAsia" w:ascii="宋体" w:hAnsi="宋体"/>
          <w:color w:val="000000" w:themeColor="text1"/>
          <w14:textFill>
            <w14:solidFill>
              <w14:schemeClr w14:val="tx1"/>
            </w14:solidFill>
          </w14:textFill>
        </w:rPr>
        <w:t>文件的潜在供应商均有义务自行查看该答复内容。</w:t>
      </w:r>
    </w:p>
    <w:p w14:paraId="00BBBF52">
      <w:pPr>
        <w:spacing w:line="500" w:lineRule="exact"/>
        <w:ind w:left="1365" w:hanging="735"/>
        <w:rPr>
          <w:rFonts w:ascii="宋体" w:hAnsi="宋体" w:cs="Arial"/>
          <w:color w:val="000000" w:themeColor="text1"/>
          <w14:textFill>
            <w14:solidFill>
              <w14:schemeClr w14:val="tx1"/>
            </w14:solidFill>
          </w14:textFill>
        </w:rPr>
      </w:pPr>
    </w:p>
    <w:p w14:paraId="61404E6B">
      <w:pPr>
        <w:pStyle w:val="33"/>
        <w:rPr>
          <w:color w:val="000000" w:themeColor="text1"/>
          <w14:textFill>
            <w14:solidFill>
              <w14:schemeClr w14:val="tx1"/>
            </w14:solidFill>
          </w14:textFill>
        </w:rPr>
      </w:pPr>
      <w:bookmarkStart w:id="41" w:name="_Toc511899307"/>
      <w:bookmarkEnd w:id="41"/>
      <w:bookmarkStart w:id="42" w:name="_Toc20676"/>
      <w:bookmarkStart w:id="43" w:name="_Toc31012"/>
      <w:r>
        <w:rPr>
          <w:rFonts w:hint="eastAsia"/>
          <w:color w:val="000000" w:themeColor="text1"/>
          <w14:textFill>
            <w14:solidFill>
              <w14:schemeClr w14:val="tx1"/>
            </w14:solidFill>
          </w14:textFill>
        </w:rPr>
        <w:t>三、磋商响应文件的编制</w:t>
      </w:r>
      <w:bookmarkEnd w:id="42"/>
      <w:bookmarkEnd w:id="43"/>
    </w:p>
    <w:p w14:paraId="3C9D550A">
      <w:pPr>
        <w:spacing w:line="500" w:lineRule="exact"/>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13、磋商响应文件构成</w:t>
      </w:r>
    </w:p>
    <w:p w14:paraId="20017EE2">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13.1磋商响应文件应包括下列内容：</w:t>
      </w:r>
      <w:r>
        <w:rPr>
          <w:rFonts w:hint="eastAsia" w:ascii="宋体" w:hAnsi="宋体"/>
          <w:color w:val="000000" w:themeColor="text1"/>
          <w14:textFill>
            <w14:solidFill>
              <w14:schemeClr w14:val="tx1"/>
            </w14:solidFill>
          </w14:textFill>
        </w:rPr>
        <w:t>磋商响应</w:t>
      </w:r>
      <w:r>
        <w:rPr>
          <w:rFonts w:hint="eastAsia" w:ascii="宋体" w:hAnsi="宋体" w:cs="Arial"/>
          <w:color w:val="000000" w:themeColor="text1"/>
          <w14:textFill>
            <w14:solidFill>
              <w14:schemeClr w14:val="tx1"/>
            </w14:solidFill>
          </w14:textFill>
        </w:rPr>
        <w:t>函、开标一览表、项目要求响应情况表、商务要求响应情况表、本项目实施方案、资格证明文件及其他重要资料等。</w:t>
      </w:r>
    </w:p>
    <w:p w14:paraId="23B8CD4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13.1.1证明供应商合格的资格文件</w:t>
      </w:r>
    </w:p>
    <w:p w14:paraId="5854E76B">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应包括磋商文件要求的证明，以证明其有资格参加磋商，以及中标后有能力履行合同所必需的生产、技术、服务和财务管理等方面能力的证明文件。</w:t>
      </w:r>
    </w:p>
    <w:p w14:paraId="3985F3C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13.2供应商必须对其磋商响应文件的真实性与准确性负责。一旦中标，其磋商响应文件将作为合同的重要组成部分。 </w:t>
      </w:r>
    </w:p>
    <w:p w14:paraId="2FCCF25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13.3供应商应在磋商响应文件中体现本文件要求的内容。</w:t>
      </w:r>
    </w:p>
    <w:p w14:paraId="51CBED98">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14、磋商报价</w:t>
      </w:r>
    </w:p>
    <w:p w14:paraId="377DE7A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14.1本项目只允许有一个方案、一个报价。多方案、多报价的磋商响应文件将不被接受。</w:t>
      </w:r>
    </w:p>
    <w:p w14:paraId="579954B9">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14.2开标一览表中的投标总报价应包括完成本项目的所有费用、税费等所有费用，即为履行合同的最终价格。</w:t>
      </w:r>
    </w:p>
    <w:p w14:paraId="7DBD7E86">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14.3价格标的服务分项报价表上应清楚地标明供应商拟提供的服务或工程费用等内容，其合计价格应与开标一览表中的投标总报价保持一致。</w:t>
      </w:r>
    </w:p>
    <w:p w14:paraId="63202CB7">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14.4供应商投标的货币为人民币。</w:t>
      </w:r>
    </w:p>
    <w:p w14:paraId="56ECF119">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15、磋商保证金</w:t>
      </w:r>
    </w:p>
    <w:p w14:paraId="64906069">
      <w:pPr>
        <w:spacing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供应商在递交磋商响应文件的同时，应按供应商须知前附表规定的金额和形式递交磋商保证金。联合体参加磋商的，其磋商保证金由牵头人递交，并应符合供应商须知前附表的规定。</w:t>
      </w:r>
    </w:p>
    <w:p w14:paraId="2F5DDC92">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15.2</w:t>
      </w:r>
      <w:r>
        <w:rPr>
          <w:rFonts w:hint="eastAsia" w:ascii="宋体" w:hAnsi="宋体"/>
          <w:color w:val="000000" w:themeColor="text1"/>
          <w14:textFill>
            <w14:solidFill>
              <w14:schemeClr w14:val="tx1"/>
            </w14:solidFill>
          </w14:textFill>
        </w:rPr>
        <w:t>供应商不按供应商须知前附表要求提交磋商保证金的，其响应文件无效。</w:t>
      </w:r>
    </w:p>
    <w:p w14:paraId="2B976880">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15.3</w:t>
      </w:r>
      <w:r>
        <w:rPr>
          <w:rFonts w:hint="eastAsia" w:ascii="宋体" w:hAnsi="宋体"/>
          <w:color w:val="000000" w:themeColor="text1"/>
          <w14:textFill>
            <w14:solidFill>
              <w14:schemeClr w14:val="tx1"/>
            </w14:solidFill>
          </w14:textFill>
        </w:rPr>
        <w:t>未成交供应商的磋商保证金应当在成交通知书发出后</w:t>
      </w:r>
      <w:r>
        <w:rPr>
          <w:rFonts w:ascii="宋体" w:hAnsi="宋体"/>
          <w:color w:val="000000" w:themeColor="text1"/>
          <w14:textFill>
            <w14:solidFill>
              <w14:schemeClr w14:val="tx1"/>
            </w14:solidFill>
          </w14:textFill>
        </w:rPr>
        <w:t>5个工作日内退还</w:t>
      </w:r>
      <w:r>
        <w:rPr>
          <w:rFonts w:hint="eastAsia" w:ascii="宋体" w:hAnsi="宋体" w:cs="Arial"/>
          <w:color w:val="000000" w:themeColor="text1"/>
          <w14:textFill>
            <w14:solidFill>
              <w14:schemeClr w14:val="tx1"/>
            </w14:solidFill>
          </w14:textFill>
        </w:rPr>
        <w:t>。</w:t>
      </w:r>
    </w:p>
    <w:p w14:paraId="4B74DE3F">
      <w:pPr>
        <w:spacing w:line="500" w:lineRule="exact"/>
        <w:ind w:firstLine="525" w:firstLineChars="25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15.4</w:t>
      </w:r>
      <w:r>
        <w:rPr>
          <w:rFonts w:ascii="宋体" w:hAnsi="宋体"/>
          <w:color w:val="000000" w:themeColor="text1"/>
          <w14:textFill>
            <w14:solidFill>
              <w14:schemeClr w14:val="tx1"/>
            </w14:solidFill>
          </w14:textFill>
        </w:rPr>
        <w:t>成交供应商的磋商保证金应当在采购合同签订后5个工作日内退还</w:t>
      </w:r>
      <w:r>
        <w:rPr>
          <w:rFonts w:hint="eastAsia" w:ascii="宋体" w:hAnsi="宋体"/>
          <w:color w:val="000000" w:themeColor="text1"/>
          <w14:textFill>
            <w14:solidFill>
              <w14:schemeClr w14:val="tx1"/>
            </w14:solidFill>
          </w14:textFill>
        </w:rPr>
        <w:t>。</w:t>
      </w:r>
    </w:p>
    <w:p w14:paraId="3A2D3765">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15.5有下列情形之一的，不予退还磋商保证金：</w:t>
      </w:r>
    </w:p>
    <w:p w14:paraId="54E39220">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15.5.1供应商在提交响应文件截止时间后撤回响应文件的；</w:t>
      </w:r>
    </w:p>
    <w:p w14:paraId="524EBA2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15.5.2</w:t>
      </w:r>
      <w:r>
        <w:rPr>
          <w:rFonts w:ascii="宋体" w:hAnsi="宋体" w:cs="Arial"/>
          <w:color w:val="000000" w:themeColor="text1"/>
          <w14:textFill>
            <w14:solidFill>
              <w14:schemeClr w14:val="tx1"/>
            </w14:solidFill>
          </w14:textFill>
        </w:rPr>
        <w:t>供应商在响应文件中提供虚假材料的；</w:t>
      </w:r>
    </w:p>
    <w:p w14:paraId="6D6C37DA">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15.5.3</w:t>
      </w:r>
      <w:r>
        <w:rPr>
          <w:rFonts w:ascii="宋体" w:hAnsi="宋体" w:cs="Arial"/>
          <w:color w:val="000000" w:themeColor="text1"/>
          <w14:textFill>
            <w14:solidFill>
              <w14:schemeClr w14:val="tx1"/>
            </w14:solidFill>
          </w14:textFill>
        </w:rPr>
        <w:t>除因不可抗力或磋商文件认可的情形以外，成交供应商不与采购人签订合同的；</w:t>
      </w:r>
    </w:p>
    <w:p w14:paraId="09593C66">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15.5.4</w:t>
      </w:r>
      <w:r>
        <w:rPr>
          <w:rFonts w:ascii="宋体" w:hAnsi="宋体" w:cs="Arial"/>
          <w:color w:val="000000" w:themeColor="text1"/>
          <w14:textFill>
            <w14:solidFill>
              <w14:schemeClr w14:val="tx1"/>
            </w14:solidFill>
          </w14:textFill>
        </w:rPr>
        <w:t>供应商与采购人、其他供应商或者采购代理机构恶意串通的；</w:t>
      </w:r>
    </w:p>
    <w:p w14:paraId="1F10AD45">
      <w:pPr>
        <w:spacing w:line="500" w:lineRule="exact"/>
        <w:ind w:firstLine="525" w:firstLineChars="250"/>
        <w:rPr>
          <w:rFonts w:ascii="宋体" w:hAnsi="宋体"/>
          <w:color w:val="000000" w:themeColor="text1"/>
          <w:kern w:val="0"/>
          <w14:textFill>
            <w14:solidFill>
              <w14:schemeClr w14:val="tx1"/>
            </w14:solidFill>
          </w14:textFill>
        </w:rPr>
      </w:pPr>
      <w:r>
        <w:rPr>
          <w:rFonts w:hint="eastAsia" w:ascii="宋体" w:hAnsi="宋体" w:cs="Arial"/>
          <w:color w:val="000000" w:themeColor="text1"/>
          <w14:textFill>
            <w14:solidFill>
              <w14:schemeClr w14:val="tx1"/>
            </w14:solidFill>
          </w14:textFill>
        </w:rPr>
        <w:t>15.5.5</w:t>
      </w:r>
      <w:r>
        <w:rPr>
          <w:rFonts w:hint="eastAsia" w:ascii="宋体" w:hAnsi="宋体"/>
          <w:color w:val="000000" w:themeColor="text1"/>
          <w:kern w:val="0"/>
          <w14:textFill>
            <w14:solidFill>
              <w14:schemeClr w14:val="tx1"/>
            </w14:solidFill>
          </w14:textFill>
        </w:rPr>
        <w:t>供应商在规定的磋商有效期内撤销或修改其磋商响应文件或放弃候选供应商资格的；</w:t>
      </w:r>
    </w:p>
    <w:p w14:paraId="538F286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15.5.6成交人在收到中标通知书后，未按磋商文件规定提交履约担保。</w:t>
      </w:r>
    </w:p>
    <w:p w14:paraId="31657FDC">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16、磋商有效期</w:t>
      </w:r>
    </w:p>
    <w:p w14:paraId="4AFAC6F1">
      <w:pPr>
        <w:spacing w:line="500" w:lineRule="exact"/>
        <w:ind w:firstLine="514" w:firstLineChars="245"/>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16.1磋商有效期在“供应商须知前附表”中有明确的规定。供应商如未就此提出异议，则视同接受；如承诺的磋商有效期短于此规定时间的，将被视为非响应性投标而予以拒绝。</w:t>
      </w:r>
    </w:p>
    <w:p w14:paraId="57FEDFEF">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16.2在特殊情况下，采购单位可于原磋商有效期满之前，向供应商提出延长磋商有效期的要求。</w:t>
      </w:r>
      <w:r>
        <w:rPr>
          <w:rFonts w:hint="eastAsia" w:ascii="宋体" w:hAnsi="宋体"/>
          <w:color w:val="000000" w:themeColor="text1"/>
          <w14:textFill>
            <w14:solidFill>
              <w14:schemeClr w14:val="tx1"/>
            </w14:solidFill>
          </w14:textFill>
        </w:rPr>
        <w:t>供应商同意延长的，应相应延长其磋商保证金的有效期，但不得要求或被允许修改或撤销其磋商响应文件。供应商拒绝延长的</w:t>
      </w:r>
      <w:r>
        <w:rPr>
          <w:rFonts w:hint="eastAsia" w:ascii="宋体" w:hAnsi="宋体" w:cs="Arial"/>
          <w:color w:val="000000" w:themeColor="text1"/>
          <w14:textFill>
            <w14:solidFill>
              <w14:schemeClr w14:val="tx1"/>
            </w14:solidFill>
          </w14:textFill>
        </w:rPr>
        <w:t>，可以书面形式拒绝采购单位的这种要求而不失去其磋商保证金。如在规定的时间内未提出书面意见表示拒绝，将视为同意延长磋商有效期</w:t>
      </w:r>
      <w:r>
        <w:rPr>
          <w:rFonts w:hint="eastAsia" w:ascii="宋体" w:hAnsi="宋体"/>
          <w:color w:val="000000" w:themeColor="text1"/>
          <w14:textFill>
            <w14:solidFill>
              <w14:schemeClr w14:val="tx1"/>
            </w14:solidFill>
          </w14:textFill>
        </w:rPr>
        <w:t>。</w:t>
      </w:r>
    </w:p>
    <w:p w14:paraId="737219E8">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16.3在磋商有效期内，供应商撤销或修改其磋商响应文件的，应承担责任。</w:t>
      </w:r>
    </w:p>
    <w:p w14:paraId="473BAE7E">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17、磋商响应文件签署</w:t>
      </w:r>
    </w:p>
    <w:p w14:paraId="796D492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17.1磋商响应文件应由供应商的法定代表人或其被授权代表正确签署。被授权代表须将法定代表人以书面形式出具的“法定代表人授权书”附在磋商响应文件中。</w:t>
      </w:r>
    </w:p>
    <w:p w14:paraId="3A9CACE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17.2磋商响应文件不得行间插字、涂改或增删。如有修改错漏处，必须由供应商的法定代表人或其授权代表签字。</w:t>
      </w:r>
    </w:p>
    <w:p w14:paraId="29DCAD5B">
      <w:pPr>
        <w:spacing w:line="500" w:lineRule="exact"/>
        <w:rPr>
          <w:rFonts w:ascii="宋体" w:hAnsi="宋体" w:cs="Arial"/>
          <w:color w:val="000000" w:themeColor="text1"/>
          <w14:textFill>
            <w14:solidFill>
              <w14:schemeClr w14:val="tx1"/>
            </w14:solidFill>
          </w14:textFill>
        </w:rPr>
      </w:pPr>
    </w:p>
    <w:p w14:paraId="3C0B2684">
      <w:pPr>
        <w:pStyle w:val="33"/>
        <w:rPr>
          <w:color w:val="000000" w:themeColor="text1"/>
          <w14:textFill>
            <w14:solidFill>
              <w14:schemeClr w14:val="tx1"/>
            </w14:solidFill>
          </w14:textFill>
        </w:rPr>
      </w:pPr>
      <w:bookmarkStart w:id="44" w:name="_Toc511899308"/>
      <w:bookmarkEnd w:id="44"/>
      <w:bookmarkStart w:id="45" w:name="_Toc26763"/>
      <w:bookmarkStart w:id="46" w:name="_Toc9389"/>
      <w:r>
        <w:rPr>
          <w:rFonts w:hint="eastAsia"/>
          <w:color w:val="000000" w:themeColor="text1"/>
          <w14:textFill>
            <w14:solidFill>
              <w14:schemeClr w14:val="tx1"/>
            </w14:solidFill>
          </w14:textFill>
        </w:rPr>
        <w:t>四、磋商响应文件的提交</w:t>
      </w:r>
      <w:bookmarkEnd w:id="45"/>
      <w:bookmarkEnd w:id="46"/>
    </w:p>
    <w:p w14:paraId="378F880D">
      <w:pPr>
        <w:spacing w:line="500" w:lineRule="exact"/>
        <w:ind w:left="426"/>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18、磋商响应文件的封装</w:t>
      </w:r>
    </w:p>
    <w:p w14:paraId="54CC923D">
      <w:pPr>
        <w:spacing w:before="93" w:after="93" w:line="54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18.1</w:t>
      </w:r>
      <w:r>
        <w:rPr>
          <w:rFonts w:hint="eastAsia" w:ascii="宋体" w:hAnsi="宋体" w:cs="Arial"/>
          <w:b/>
          <w:bCs/>
          <w:color w:val="000000" w:themeColor="text1"/>
          <w14:textFill>
            <w14:solidFill>
              <w14:schemeClr w14:val="tx1"/>
            </w14:solidFill>
          </w14:textFill>
        </w:rPr>
        <w:t>磋商响应文件(纸质版)应胶装装订，封面加盖公章。密封包装，在封套的封口处（也可加贴封条）加盖供应商公章及法定代表人签名或盖章（或代理人签名）。</w:t>
      </w:r>
      <w:r>
        <w:rPr>
          <w:rFonts w:hint="eastAsia" w:ascii="宋体" w:hAnsi="宋体" w:cs="Arial"/>
          <w:color w:val="000000" w:themeColor="text1"/>
          <w14:textFill>
            <w14:solidFill>
              <w14:schemeClr w14:val="tx1"/>
            </w14:solidFill>
          </w14:textFill>
        </w:rPr>
        <w:t>磋商响应文件包装袋上必须清楚写明项目的名称、项目编号及供应商全称。</w:t>
      </w:r>
    </w:p>
    <w:p w14:paraId="56295073">
      <w:pPr>
        <w:spacing w:before="93" w:after="93" w:line="540" w:lineRule="exact"/>
        <w:ind w:left="359" w:leftChars="171" w:firstLine="211" w:firstLineChars="1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19、磋商响应文件的递交</w:t>
      </w:r>
    </w:p>
    <w:p w14:paraId="7440AFA4">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19.1供应商应按供应商须知前附表中规定的截止时间前递交磋商响应文件。</w:t>
      </w:r>
    </w:p>
    <w:p w14:paraId="50FAAC1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19.2供应商递交磋商响应文件的地点：详见供应商须知前附表。</w:t>
      </w:r>
    </w:p>
    <w:p w14:paraId="11D5B45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19.3供应商所递交的磋商响应文件在磋商开始后不予退还。</w:t>
      </w:r>
    </w:p>
    <w:p w14:paraId="383950A3">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19.4采购单位收到磋商响应文件后，应及时登记并由供应商签字确认。</w:t>
      </w:r>
    </w:p>
    <w:p w14:paraId="63AB272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19.5有下列情形之一的，</w:t>
      </w:r>
      <w:r>
        <w:rPr>
          <w:rFonts w:hint="eastAsia" w:ascii="宋体" w:hAnsi="宋体" w:cs="Arial"/>
          <w:b/>
          <w:bCs/>
          <w:color w:val="000000" w:themeColor="text1"/>
          <w14:textFill>
            <w14:solidFill>
              <w14:schemeClr w14:val="tx1"/>
            </w14:solidFill>
          </w14:textFill>
        </w:rPr>
        <w:t>采购人将不予受理</w:t>
      </w:r>
      <w:r>
        <w:rPr>
          <w:rFonts w:hint="eastAsia" w:ascii="宋体" w:hAnsi="宋体" w:cs="Arial"/>
          <w:color w:val="000000" w:themeColor="text1"/>
          <w14:textFill>
            <w14:solidFill>
              <w14:schemeClr w14:val="tx1"/>
            </w14:solidFill>
          </w14:textFill>
        </w:rPr>
        <w:t>：</w:t>
      </w:r>
    </w:p>
    <w:p w14:paraId="2AA89405">
      <w:pPr>
        <w:spacing w:line="50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19.5.1逾期送达的或者未送达指定地点的磋商响应文件。</w:t>
      </w:r>
    </w:p>
    <w:p w14:paraId="438B279B">
      <w:pPr>
        <w:spacing w:line="54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19.5.2未按本文件18.1、18.2条的要求密封和加写标记的磋商响应文件。</w:t>
      </w:r>
    </w:p>
    <w:p w14:paraId="0F1A4EFD">
      <w:pPr>
        <w:spacing w:line="500" w:lineRule="exact"/>
        <w:ind w:firstLine="422" w:firstLineChars="20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20、磋商响应文件的修改和撤回</w:t>
      </w:r>
    </w:p>
    <w:p w14:paraId="76502D0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20.1在供应商须知前附表规定的磋商响应文件递交截止时间前，供应商可以修改或撤回已递交的磋商响应文件，但应以书面形式通知采购人。</w:t>
      </w:r>
    </w:p>
    <w:p w14:paraId="54A6DCFA">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20.2供应商修改或撤回已递交磋商响应文件的书面通知应按照本文件第17条的要求签字或盖章。</w:t>
      </w:r>
    </w:p>
    <w:p w14:paraId="12E6884F">
      <w:pPr>
        <w:pStyle w:val="35"/>
        <w:widowControl w:val="0"/>
        <w:spacing w:line="400" w:lineRule="atLeas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20.3供应商撤回磋商响应文件的，受托人自收到供应商书面撤回通知之日起5个工作日内退还已收取的磋商保证金。</w:t>
      </w:r>
    </w:p>
    <w:p w14:paraId="39F56D07">
      <w:pPr>
        <w:pStyle w:val="35"/>
        <w:widowControl w:val="0"/>
        <w:spacing w:line="50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20.4修改的内容为磋商响应文件的组成部分。修改的磋商响应文件应按照本文件的要求进行编制、密封、标记和递交，并标明“修改”字样。</w:t>
      </w:r>
    </w:p>
    <w:p w14:paraId="39873E1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21、联合体参加磋商（本项目不适用）</w:t>
      </w:r>
    </w:p>
    <w:p w14:paraId="388A4BA2">
      <w:pPr>
        <w:spacing w:before="93" w:after="93" w:line="540" w:lineRule="exact"/>
        <w:ind w:firstLine="567" w:firstLineChars="27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由两家或两家以上供应商组成的联合体参与磋商时，应满足以下要求;</w:t>
      </w:r>
    </w:p>
    <w:p w14:paraId="7295195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21.1联合体成员除必须满足供应商资格的要求外，如本项目还有其他特定条件的，联合体各方中至少有一方符合特定的条件。</w:t>
      </w:r>
    </w:p>
    <w:p w14:paraId="7E34456F">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21.2联合体应签订联合体协议，明确各方承担的职责和相应的责任，并授权其中的一个成员作为磋商代表，具体进行磋商、签署磋商响应文件、签订合同等事务。联合体协议应作为磋商响应文件的一部分。</w:t>
      </w:r>
    </w:p>
    <w:p w14:paraId="6612125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21.3联合体代表应能全权处理磋商过程中的有关问题。一旦成为成交供应商，该联合体代表应负责签订合同并负责合同的全面实施，包括合同款项的收付。</w:t>
      </w:r>
    </w:p>
    <w:p w14:paraId="220C33AE">
      <w:pPr>
        <w:spacing w:line="50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21.4联合体各方不得再以自己的名义单独参与同一项目磋商，也不得再组成新的联合体参与同一项目中的磋商。</w:t>
      </w:r>
    </w:p>
    <w:p w14:paraId="1FFD682B">
      <w:pPr>
        <w:spacing w:line="500" w:lineRule="exact"/>
        <w:rPr>
          <w:rFonts w:ascii="宋体" w:hAnsi="宋体" w:cs="Arial"/>
          <w:color w:val="000000" w:themeColor="text1"/>
          <w14:textFill>
            <w14:solidFill>
              <w14:schemeClr w14:val="tx1"/>
            </w14:solidFill>
          </w14:textFill>
        </w:rPr>
      </w:pPr>
    </w:p>
    <w:p w14:paraId="41060A7A">
      <w:pPr>
        <w:pStyle w:val="33"/>
        <w:rPr>
          <w:color w:val="000000" w:themeColor="text1"/>
          <w14:textFill>
            <w14:solidFill>
              <w14:schemeClr w14:val="tx1"/>
            </w14:solidFill>
          </w14:textFill>
        </w:rPr>
      </w:pPr>
      <w:bookmarkStart w:id="47" w:name="_Toc511899309"/>
      <w:bookmarkEnd w:id="47"/>
      <w:bookmarkStart w:id="48" w:name="_Toc30695"/>
      <w:bookmarkStart w:id="49" w:name="_Toc28816"/>
      <w:r>
        <w:rPr>
          <w:rFonts w:hint="eastAsia"/>
          <w:color w:val="000000" w:themeColor="text1"/>
          <w14:textFill>
            <w14:solidFill>
              <w14:schemeClr w14:val="tx1"/>
            </w14:solidFill>
          </w14:textFill>
        </w:rPr>
        <w:t>五、磋商与评审</w:t>
      </w:r>
      <w:bookmarkEnd w:id="48"/>
      <w:bookmarkEnd w:id="49"/>
    </w:p>
    <w:p w14:paraId="762E4FCD">
      <w:pPr>
        <w:spacing w:line="360" w:lineRule="auto"/>
        <w:ind w:firstLine="517" w:firstLineChars="245"/>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22、磋商</w:t>
      </w:r>
    </w:p>
    <w:p w14:paraId="76A0846E">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22.1采购单位将在“供应商须知前附表”规定的时间和地点组织磋商。</w:t>
      </w:r>
    </w:p>
    <w:p w14:paraId="37411EC5">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w:t>
      </w:r>
      <w:r>
        <w:rPr>
          <w:rFonts w:hint="eastAsia" w:ascii="宋体" w:hAnsi="宋体" w:cs="Arial"/>
          <w:color w:val="000000" w:themeColor="text1"/>
          <w14:textFill>
            <w14:solidFill>
              <w14:schemeClr w14:val="tx1"/>
            </w14:solidFill>
          </w14:textFill>
        </w:rPr>
        <w:t>采购单位按规定组成三人或以上的磋商小组。</w:t>
      </w:r>
    </w:p>
    <w:p w14:paraId="4D7C436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53A4BFA8">
      <w:pPr>
        <w:spacing w:line="360" w:lineRule="auto"/>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磋商小组成员有下列情形之一的，应当回避：</w:t>
      </w:r>
    </w:p>
    <w:p w14:paraId="4A23A8F0">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（1）参加采购活动前三年内，与供应商存在劳动关系，或者担任过供应商的董事、监事，或者是供应商的控股股东或实际控制人；</w:t>
      </w:r>
    </w:p>
    <w:p w14:paraId="21B96792">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）与供应商的法定代表人或者负责人有夫妻、直系血亲、三代以内旁系血亲或者近姻亲关系；</w:t>
      </w:r>
    </w:p>
    <w:p w14:paraId="6A9082F5">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）与供应商有其他可能影响政府采购活动公平、公正进行的关系。</w:t>
      </w:r>
    </w:p>
    <w:p w14:paraId="33D227D8">
      <w:pPr>
        <w:pStyle w:val="35"/>
        <w:widowControl w:val="0"/>
        <w:spacing w:line="5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另外，磋商小组成员</w:t>
      </w:r>
      <w:r>
        <w:rPr>
          <w:rFonts w:ascii="宋体" w:hAnsi="宋体"/>
          <w:color w:val="000000" w:themeColor="text1"/>
          <w14:textFill>
            <w14:solidFill>
              <w14:schemeClr w14:val="tx1"/>
            </w14:solidFill>
          </w14:textFill>
        </w:rPr>
        <w:t>发现本人与参加采购活动的供应商有利害关系的，应当主动提出回避。采购人或者采购代理机构发现评审专家与参加采购活动的供应商有利害关系的，应当要求其回避。</w:t>
      </w:r>
    </w:p>
    <w:p w14:paraId="3990C17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34861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22.3竞争性磋商活动采用综合评分法评审。</w:t>
      </w:r>
    </w:p>
    <w:p w14:paraId="21E3276F">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综合评分法，是指响应文件满足磋商文件全部实质性要求且按评审因素的量化指标评审得分最高的供应商为成交候选供应商的评审方法。</w:t>
      </w:r>
    </w:p>
    <w:p w14:paraId="68B7E890">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22.4为保证磋商活动顺利进行，供应商可派相关技术人员进行现场答疑。</w:t>
      </w:r>
    </w:p>
    <w:p w14:paraId="16ED2832">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23、评审</w:t>
      </w:r>
    </w:p>
    <w:p w14:paraId="5CDCA47A">
      <w:pPr>
        <w:spacing w:line="360" w:lineRule="auto"/>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23.1实质性响应审查。（详见第四章）</w:t>
      </w:r>
    </w:p>
    <w:p w14:paraId="782B7533">
      <w:pPr>
        <w:spacing w:line="360" w:lineRule="auto"/>
        <w:ind w:firstLine="420" w:firstLineChars="200"/>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59B3CF">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23.2综合评审。（评分办法详见第五章）</w:t>
      </w:r>
    </w:p>
    <w:p w14:paraId="70EFC858">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磋商小组只对实质上响应磋商文件要求的磋商响应文件按照评分细则进行综合评审。</w:t>
      </w:r>
    </w:p>
    <w:p w14:paraId="783B5F4E">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23.2.1各供应商通过抽签方式随机产生磋商排列顺序，磋商小组将按顺序分别与供应商就商务技术内容进行磋商并进行商务技术评分。</w:t>
      </w:r>
    </w:p>
    <w:p w14:paraId="345E5E26">
      <w:pPr>
        <w:spacing w:line="360" w:lineRule="auto"/>
        <w:ind w:firstLine="411" w:firstLineChars="196"/>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23.2.2磋商小组所有成员按顺序集中与单一供应商分别进行磋商，并给予所有参加磋商的供应商平等的磋商机会。磋商并不限定只进行二轮报价，如果磋商小组认为有必要，可以要求供应商进行多轮报价。</w:t>
      </w:r>
      <w:r>
        <w:rPr>
          <w:rFonts w:hint="eastAsia" w:ascii="宋体" w:hAnsi="宋体"/>
          <w:b/>
          <w:bCs/>
          <w:color w:val="000000" w:themeColor="text1"/>
          <w14:textFill>
            <w14:solidFill>
              <w14:schemeClr w14:val="tx1"/>
            </w14:solidFill>
          </w14:textFill>
        </w:rPr>
        <w:t>在磋商内容不做实质性变更及重大调整的前提下，供应商下轮报价不得高于上一轮报价。</w:t>
      </w:r>
    </w:p>
    <w:p w14:paraId="5F1E3E00">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2BA7563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23.2.3磋商小组将供应商的商务技术分和价格分汇总后得到供应商的最终评审得分，按照最终评审得分由高到低推荐成交候选人。</w:t>
      </w:r>
    </w:p>
    <w:p w14:paraId="3A8B685D">
      <w:pPr>
        <w:spacing w:line="360" w:lineRule="auto"/>
        <w:ind w:firstLine="413" w:firstLineChars="196"/>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最终评审得分出现两家或两家以上相同者，按最后报价由低到高排序确定成交候选供应商；评审总得分且最后报价相同的供应商，按照技术指标优劣顺序推荐。</w:t>
      </w:r>
    </w:p>
    <w:p w14:paraId="05D0263D">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98AD295">
      <w:pPr>
        <w:spacing w:line="360" w:lineRule="auto"/>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54F3C6F8">
      <w:pPr>
        <w:spacing w:line="500" w:lineRule="exact"/>
        <w:ind w:firstLine="315" w:firstLineChars="150"/>
        <w:jc w:val="left"/>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14:paraId="5E787C9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24、异常情况处理</w:t>
      </w:r>
    </w:p>
    <w:p w14:paraId="54914518">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24.1磋商时出现以下情况之一的，将重新组织磋商：</w:t>
      </w:r>
    </w:p>
    <w:p w14:paraId="1B0F2479">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1）供应商的报价均超过了采购预算，经过多轮磋商仍不能降到预算内、且采购人不能支付的；</w:t>
      </w:r>
    </w:p>
    <w:p w14:paraId="3AC663CF">
      <w:pPr>
        <w:spacing w:line="500" w:lineRule="exact"/>
        <w:ind w:left="54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2）经过磋商，供应商所提供的货物服务仍无法满足磋商文件实质性要求、影响工作的；</w:t>
      </w:r>
    </w:p>
    <w:p w14:paraId="2F0BFCD2">
      <w:pPr>
        <w:numPr>
          <w:ilvl w:val="0"/>
          <w:numId w:val="9"/>
        </w:num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出现影响采购公正的违法、违规行为的。</w:t>
      </w:r>
    </w:p>
    <w:p w14:paraId="7720C09E">
      <w:pPr>
        <w:spacing w:line="500" w:lineRule="exact"/>
        <w:rPr>
          <w:rFonts w:ascii="宋体" w:hAnsi="宋体" w:cs="Arial"/>
          <w:color w:val="000000" w:themeColor="text1"/>
          <w14:textFill>
            <w14:solidFill>
              <w14:schemeClr w14:val="tx1"/>
            </w14:solidFill>
          </w14:textFill>
        </w:rPr>
      </w:pPr>
    </w:p>
    <w:p w14:paraId="47F07804">
      <w:pPr>
        <w:pStyle w:val="33"/>
        <w:rPr>
          <w:color w:val="000000" w:themeColor="text1"/>
          <w14:textFill>
            <w14:solidFill>
              <w14:schemeClr w14:val="tx1"/>
            </w14:solidFill>
          </w14:textFill>
        </w:rPr>
      </w:pPr>
      <w:bookmarkStart w:id="50" w:name="_Toc511899310"/>
      <w:bookmarkEnd w:id="50"/>
      <w:bookmarkStart w:id="51" w:name="_Toc9704"/>
      <w:bookmarkStart w:id="52" w:name="_Toc18987"/>
      <w:r>
        <w:rPr>
          <w:rFonts w:hint="eastAsia"/>
          <w:color w:val="000000" w:themeColor="text1"/>
          <w14:textFill>
            <w14:solidFill>
              <w14:schemeClr w14:val="tx1"/>
            </w14:solidFill>
          </w14:textFill>
        </w:rPr>
        <w:t>六、定标和授予合同</w:t>
      </w:r>
      <w:bookmarkEnd w:id="51"/>
      <w:bookmarkEnd w:id="52"/>
    </w:p>
    <w:p w14:paraId="0AF8F66B">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25、定标方式</w:t>
      </w:r>
    </w:p>
    <w:p w14:paraId="31E9A33B">
      <w:pPr>
        <w:spacing w:line="500" w:lineRule="exact"/>
        <w:ind w:firstLine="525" w:firstLineChars="250"/>
        <w:rPr>
          <w:rFonts w:ascii="宋体" w:hAns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25.1采购人应当在收到评审报告后</w:t>
      </w:r>
      <w:r>
        <w:rPr>
          <w:rFonts w:hint="eastAsia"/>
          <w:color w:val="000000" w:themeColor="text1"/>
          <w:shd w:val="clear" w:color="auto" w:fill="FFFFFF"/>
          <w14:textFill>
            <w14:solidFill>
              <w14:schemeClr w14:val="tx1"/>
            </w14:solidFill>
          </w14:textFill>
        </w:rPr>
        <w:t>5</w:t>
      </w:r>
      <w:r>
        <w:rPr>
          <w:rFonts w:hint="eastAsia" w:ascii="宋体" w:hAnsi="宋体"/>
          <w:color w:val="000000" w:themeColor="text1"/>
          <w:shd w:val="clear" w:color="auto" w:fill="FFFFFF"/>
          <w14:textFill>
            <w14:solidFill>
              <w14:schemeClr w14:val="tx1"/>
            </w14:solidFill>
          </w14:textFill>
        </w:rPr>
        <w:t>个工作日内，从评审报告提出的成交候选人中，按照排序由高到低的原则确定成交供应商。</w:t>
      </w:r>
    </w:p>
    <w:p w14:paraId="123CF60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73E9A02A">
      <w:pPr>
        <w:spacing w:line="500" w:lineRule="exact"/>
        <w:ind w:firstLine="527" w:firstLineChars="250"/>
        <w:rPr>
          <w:rFonts w:ascii="宋体" w:hAnsi="宋体"/>
          <w:color w:val="000000" w:themeColor="text1"/>
          <w:shd w:val="clear" w:color="auto" w:fill="FFFFFF"/>
          <w14:textFill>
            <w14:solidFill>
              <w14:schemeClr w14:val="tx1"/>
            </w14:solidFill>
          </w14:textFill>
        </w:rPr>
      </w:pPr>
      <w:r>
        <w:rPr>
          <w:rFonts w:hint="eastAsia" w:ascii="宋体" w:hAnsi="宋体" w:cs="Arial"/>
          <w:b/>
          <w:bCs/>
          <w:color w:val="000000" w:themeColor="text1"/>
          <w14:textFill>
            <w14:solidFill>
              <w14:schemeClr w14:val="tx1"/>
            </w14:solidFill>
          </w14:textFill>
        </w:rPr>
        <w:t>26、签订合同</w:t>
      </w:r>
    </w:p>
    <w:p w14:paraId="22937084">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26.1采购人与成交人应当在成交通知书发出之日起</w:t>
      </w:r>
      <w:r>
        <w:rPr>
          <w:rFonts w:hint="eastAsia" w:ascii="宋体" w:hAnsi="宋体"/>
          <w:color w:val="000000" w:themeColor="text1"/>
          <w:shd w:val="clear" w:color="auto" w:fill="FFFFFF"/>
          <w:lang w:val="en-US" w:eastAsia="zh-CN"/>
          <w14:textFill>
            <w14:solidFill>
              <w14:schemeClr w14:val="tx1"/>
            </w14:solidFill>
          </w14:textFill>
        </w:rPr>
        <w:t>7个工作日</w:t>
      </w:r>
      <w:r>
        <w:rPr>
          <w:rFonts w:hint="eastAsia" w:ascii="宋体" w:hAnsi="宋体"/>
          <w:color w:val="000000" w:themeColor="text1"/>
          <w:shd w:val="clear" w:color="auto" w:fill="FFFFFF"/>
          <w14:textFill>
            <w14:solidFill>
              <w14:schemeClr w14:val="tx1"/>
            </w14:solidFill>
          </w14:textFill>
        </w:rPr>
        <w:t>内</w:t>
      </w:r>
      <w:r>
        <w:rPr>
          <w:rFonts w:hint="eastAsia" w:ascii="宋体" w:hAnsi="宋体" w:cs="Arial"/>
          <w:color w:val="000000" w:themeColor="text1"/>
          <w14:textFill>
            <w14:solidFill>
              <w14:schemeClr w14:val="tx1"/>
            </w14:solidFill>
          </w14:textFill>
        </w:rPr>
        <w:t>（具体时限本文件有约定的，按约定执行</w:t>
      </w:r>
      <w:r>
        <w:rPr>
          <w:rFonts w:hint="eastAsia" w:ascii="宋体" w:hAnsi="宋体"/>
          <w:color w:val="000000" w:themeColor="text1"/>
          <w:shd w:val="clear" w:color="auto" w:fill="FFFFFF"/>
          <w14:textFill>
            <w14:solidFill>
              <w14:schemeClr w14:val="tx1"/>
            </w14:solidFill>
          </w14:textFill>
        </w:rPr>
        <w:t>），按照磋商文件确定的合同文本以及采购标的、规格型号、采购金额、采购数量、技术和服务要求等事项签订政府采购合同。</w:t>
      </w:r>
    </w:p>
    <w:p w14:paraId="55589969">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26.2采购人在签订合同时，可以在不改变合同其他条款的前提下变更采购数量，但变更的金额不得超过成交人原来总价的10%。</w:t>
      </w:r>
    </w:p>
    <w:p w14:paraId="0E76F72B">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26.3中标通知书发出后，采购人无正当理由不与成交供应商签订采购合同的，将依据相关规定给予处理。</w:t>
      </w:r>
    </w:p>
    <w:p w14:paraId="6A510DA6">
      <w:pPr>
        <w:numPr>
          <w:ilvl w:val="0"/>
          <w:numId w:val="10"/>
        </w:numPr>
        <w:spacing w:line="500" w:lineRule="exac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履约保证金</w:t>
      </w:r>
    </w:p>
    <w:p w14:paraId="4917041C">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27.1 成交供应商在签订合同前必须按竞争性磋商文件的规定，及时、足额向采购人交纳履约保证金。</w:t>
      </w:r>
    </w:p>
    <w:p w14:paraId="047E712B">
      <w:pPr>
        <w:spacing w:before="93" w:after="93" w:line="540" w:lineRule="exact"/>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27.2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70FAE60B">
      <w:pPr>
        <w:spacing w:line="500" w:lineRule="exact"/>
        <w:ind w:left="840" w:hanging="840"/>
        <w:rPr>
          <w:rFonts w:ascii="宋体" w:hAnsi="宋体" w:cs="Arial"/>
          <w:color w:val="000000" w:themeColor="text1"/>
          <w14:textFill>
            <w14:solidFill>
              <w14:schemeClr w14:val="tx1"/>
            </w14:solidFill>
          </w14:textFill>
        </w:rPr>
      </w:pPr>
    </w:p>
    <w:p w14:paraId="1FCB7D94">
      <w:pPr>
        <w:pStyle w:val="33"/>
        <w:rPr>
          <w:color w:val="000000" w:themeColor="text1"/>
          <w14:textFill>
            <w14:solidFill>
              <w14:schemeClr w14:val="tx1"/>
            </w14:solidFill>
          </w14:textFill>
        </w:rPr>
      </w:pPr>
      <w:bookmarkStart w:id="53" w:name="_Toc511899311"/>
      <w:bookmarkEnd w:id="53"/>
      <w:bookmarkStart w:id="54" w:name="_Toc18233"/>
      <w:bookmarkStart w:id="55" w:name="_Toc11095"/>
      <w:r>
        <w:rPr>
          <w:rFonts w:hint="eastAsia"/>
          <w:color w:val="000000" w:themeColor="text1"/>
          <w14:textFill>
            <w14:solidFill>
              <w14:schemeClr w14:val="tx1"/>
            </w14:solidFill>
          </w14:textFill>
        </w:rPr>
        <w:t>七、质疑与投诉</w:t>
      </w:r>
      <w:bookmarkEnd w:id="54"/>
      <w:bookmarkEnd w:id="55"/>
    </w:p>
    <w:p w14:paraId="247D49F4">
      <w:pPr>
        <w:spacing w:line="500" w:lineRule="exact"/>
        <w:ind w:left="517"/>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28、质疑</w:t>
      </w:r>
    </w:p>
    <w:p w14:paraId="6EB8AAE3">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28.1</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供应商（即递交了磋商响应文件的供应商）对成交结果提出质疑的，最迟可以在成交结果公告期限届满之日起七个工作日内，以书面形式向采购人或代理机构提出质疑。</w:t>
      </w:r>
    </w:p>
    <w:p w14:paraId="00C73437">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28.2</w:t>
      </w:r>
      <w:r>
        <w:rPr>
          <w:rFonts w:ascii="宋体" w:hAnsi="宋体" w:cs="Arial"/>
          <w:color w:val="000000" w:themeColor="text1"/>
          <w14:textFill>
            <w14:solidFill>
              <w14:schemeClr w14:val="tx1"/>
            </w14:solidFill>
          </w14:textFill>
        </w:rPr>
        <w:t>参与</w:t>
      </w:r>
      <w:r>
        <w:rPr>
          <w:rFonts w:hint="eastAsia" w:ascii="宋体" w:hAnsi="宋体" w:cs="Arial"/>
          <w:color w:val="000000" w:themeColor="text1"/>
          <w14:textFill>
            <w14:solidFill>
              <w14:schemeClr w14:val="tx1"/>
            </w14:solidFill>
          </w14:textFill>
        </w:rPr>
        <w:t>本</w:t>
      </w:r>
      <w:r>
        <w:rPr>
          <w:rFonts w:ascii="宋体" w:hAnsi="宋体" w:cs="Arial"/>
          <w:color w:val="000000" w:themeColor="text1"/>
          <w14:textFill>
            <w14:solidFill>
              <w14:schemeClr w14:val="tx1"/>
            </w14:solidFill>
          </w14:textFill>
        </w:rPr>
        <w:t>项目采购活动的</w:t>
      </w:r>
      <w:r>
        <w:rPr>
          <w:rFonts w:hint="eastAsia" w:ascii="宋体" w:hAnsi="宋体" w:cs="Arial"/>
          <w:color w:val="000000" w:themeColor="text1"/>
          <w14:textFill>
            <w14:solidFill>
              <w14:schemeClr w14:val="tx1"/>
            </w14:solidFill>
          </w14:textFill>
        </w:rPr>
        <w:t>供应商（即递交了磋商响应文件的供应商）认为采购过程使自己的权益受到损害的，可以在各采购程序环节结束之日起七个工作日内，以书面形式向采购人或代理机构提出质疑。</w:t>
      </w:r>
    </w:p>
    <w:p w14:paraId="51ECFD1E">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28.3</w:t>
      </w:r>
      <w:r>
        <w:rPr>
          <w:rFonts w:hint="eastAsia" w:ascii="宋体" w:hAnsi="宋体"/>
          <w:color w:val="000000" w:themeColor="text1"/>
          <w14:textFill>
            <w14:solidFill>
              <w14:schemeClr w14:val="tx1"/>
            </w14:solidFill>
          </w14:textFill>
        </w:rPr>
        <w:t>质疑函的内容应包括</w:t>
      </w:r>
      <w:r>
        <w:rPr>
          <w:rFonts w:ascii="宋体" w:hAnsi="宋体" w:cs="Arial"/>
          <w:color w:val="000000" w:themeColor="text1"/>
          <w14:textFill>
            <w14:solidFill>
              <w14:schemeClr w14:val="tx1"/>
            </w14:solidFill>
          </w14:textFill>
        </w:rPr>
        <w:t>《政府采购质疑和投诉办法》</w:t>
      </w:r>
      <w:r>
        <w:rPr>
          <w:rFonts w:hint="eastAsia" w:ascii="宋体" w:hAnsi="宋体" w:cs="Arial"/>
          <w:color w:val="000000" w:themeColor="text1"/>
          <w14:textFill>
            <w14:solidFill>
              <w14:schemeClr w14:val="tx1"/>
            </w14:solidFill>
          </w14:textFill>
        </w:rPr>
        <w:t>（财政部令第</w:t>
      </w:r>
      <w:r>
        <w:rPr>
          <w:rFonts w:hint="eastAsia" w:ascii="Arial" w:hAnsi="Arial" w:cs="Arial"/>
          <w:color w:val="000000" w:themeColor="text1"/>
          <w14:textFill>
            <w14:solidFill>
              <w14:schemeClr w14:val="tx1"/>
            </w14:solidFill>
          </w14:textFill>
        </w:rPr>
        <w:t>94</w:t>
      </w:r>
      <w:r>
        <w:rPr>
          <w:rFonts w:hint="eastAsia" w:ascii="宋体" w:hAnsi="宋体" w:cs="Arial"/>
          <w:color w:val="000000" w:themeColor="text1"/>
          <w14:textFill>
            <w14:solidFill>
              <w14:schemeClr w14:val="tx1"/>
            </w14:solidFill>
          </w14:textFill>
        </w:rPr>
        <w:t>号）第十二条规定的内容，质疑函的格式可参照</w:t>
      </w:r>
      <w:r>
        <w:rPr>
          <w:rFonts w:hint="eastAsia" w:ascii="宋体" w:hAnsi="宋体"/>
          <w:color w:val="000000" w:themeColor="text1"/>
          <w14:textFill>
            <w14:solidFill>
              <w14:schemeClr w14:val="tx1"/>
            </w14:solidFill>
          </w14:textFill>
        </w:rPr>
        <w:t>宿州市公共资源交易中心门户网站办事流程--资料下载中的质疑函范本</w:t>
      </w:r>
      <w:r>
        <w:rPr>
          <w:rFonts w:hint="eastAsia" w:ascii="宋体" w:hAnsi="宋体" w:cs="Arial"/>
          <w:color w:val="000000" w:themeColor="text1"/>
          <w14:textFill>
            <w14:solidFill>
              <w14:schemeClr w14:val="tx1"/>
            </w14:solidFill>
          </w14:textFill>
        </w:rPr>
        <w:t>。</w:t>
      </w:r>
    </w:p>
    <w:p w14:paraId="678142FF">
      <w:pPr>
        <w:spacing w:line="500" w:lineRule="exact"/>
        <w:ind w:firstLine="525" w:firstLineChars="2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14:paraId="67959407">
      <w:pPr>
        <w:spacing w:line="500" w:lineRule="exact"/>
        <w:ind w:firstLine="514" w:firstLineChars="245"/>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28.5</w:t>
      </w:r>
      <w:r>
        <w:rPr>
          <w:rFonts w:hint="eastAsia" w:ascii="宋体" w:hAnsi="宋体"/>
          <w:color w:val="000000" w:themeColor="text1"/>
          <w14:textFill>
            <w14:solidFill>
              <w14:schemeClr w14:val="tx1"/>
            </w14:solidFill>
          </w14:textFill>
        </w:rPr>
        <w:t>供应商对同一环节的质疑，应</w:t>
      </w:r>
      <w:r>
        <w:rPr>
          <w:rFonts w:ascii="宋体" w:hAnsi="宋体" w:cs="Arial"/>
          <w:color w:val="000000" w:themeColor="text1"/>
          <w14:textFill>
            <w14:solidFill>
              <w14:schemeClr w14:val="tx1"/>
            </w14:solidFill>
          </w14:textFill>
        </w:rPr>
        <w:t>在法定质疑期内一次性提出</w:t>
      </w:r>
      <w:r>
        <w:rPr>
          <w:rFonts w:hint="eastAsia" w:ascii="宋体" w:hAnsi="宋体" w:cs="Arial"/>
          <w:color w:val="000000" w:themeColor="text1"/>
          <w14:textFill>
            <w14:solidFill>
              <w14:schemeClr w14:val="tx1"/>
            </w14:solidFill>
          </w14:textFill>
        </w:rPr>
        <w:t>，采购人或代理机构不再接受同一供应商针对同一环节提出的再次质疑。</w:t>
      </w:r>
    </w:p>
    <w:p w14:paraId="23084776">
      <w:pPr>
        <w:spacing w:before="93" w:after="93" w:line="540" w:lineRule="exact"/>
        <w:ind w:firstLine="527" w:firstLineChars="250"/>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29、投诉</w:t>
      </w:r>
    </w:p>
    <w:p w14:paraId="226C5504">
      <w:pPr>
        <w:spacing w:line="500" w:lineRule="exact"/>
        <w:ind w:firstLine="525" w:firstLineChars="25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29.1质疑人对采购单位的答复不满意，或者采购单位未在规定的时间内答复的，可以在答复期满后十五个工作日内按有关规定，向上级主管部门进行投诉。</w:t>
      </w:r>
    </w:p>
    <w:p w14:paraId="0DE5A054">
      <w:pPr>
        <w:rPr>
          <w:rFonts w:ascii="Arial" w:hAnsi="Arial" w:cs="Arial"/>
          <w:b/>
          <w:bCs/>
          <w:color w:val="000000" w:themeColor="text1"/>
          <w:sz w:val="32"/>
          <w:szCs w:val="32"/>
          <w14:textFill>
            <w14:solidFill>
              <w14:schemeClr w14:val="tx1"/>
            </w14:solidFill>
          </w14:textFill>
        </w:rPr>
      </w:pPr>
      <w:bookmarkStart w:id="56" w:name="_Toc16784"/>
      <w:bookmarkStart w:id="57" w:name="_Toc25214"/>
      <w:r>
        <w:rPr>
          <w:rFonts w:hint="eastAsia" w:ascii="Arial" w:hAnsi="Arial" w:cs="Arial"/>
          <w:b/>
          <w:bCs/>
          <w:color w:val="000000" w:themeColor="text1"/>
          <w:sz w:val="32"/>
          <w:szCs w:val="32"/>
          <w14:textFill>
            <w14:solidFill>
              <w14:schemeClr w14:val="tx1"/>
            </w14:solidFill>
          </w14:textFill>
        </w:rPr>
        <w:br w:type="page"/>
      </w:r>
    </w:p>
    <w:p w14:paraId="4A14F27D">
      <w:pPr>
        <w:jc w:val="center"/>
        <w:rPr>
          <w:color w:val="000000" w:themeColor="text1"/>
          <w14:textFill>
            <w14:solidFill>
              <w14:schemeClr w14:val="tx1"/>
            </w14:solidFill>
          </w14:textFill>
        </w:rPr>
      </w:pPr>
      <w:r>
        <w:rPr>
          <w:rFonts w:hint="eastAsia" w:ascii="Arial" w:hAnsi="Arial" w:cs="Arial"/>
          <w:b/>
          <w:bCs/>
          <w:color w:val="000000" w:themeColor="text1"/>
          <w:sz w:val="32"/>
          <w:szCs w:val="32"/>
          <w14:textFill>
            <w14:solidFill>
              <w14:schemeClr w14:val="tx1"/>
            </w14:solidFill>
          </w14:textFill>
        </w:rPr>
        <w:t xml:space="preserve">第七章 </w:t>
      </w:r>
      <w:bookmarkEnd w:id="56"/>
      <w:bookmarkEnd w:id="57"/>
      <w:bookmarkStart w:id="58" w:name="_Toc1671"/>
      <w:r>
        <w:rPr>
          <w:rFonts w:hint="eastAsia"/>
          <w:b/>
          <w:bCs/>
          <w:color w:val="000000" w:themeColor="text1"/>
          <w:sz w:val="32"/>
          <w:szCs w:val="32"/>
          <w14:textFill>
            <w14:solidFill>
              <w14:schemeClr w14:val="tx1"/>
            </w14:solidFill>
          </w14:textFill>
        </w:rPr>
        <w:t>合同条款及格式</w:t>
      </w:r>
    </w:p>
    <w:p w14:paraId="323108EE">
      <w:pPr>
        <w:pStyle w:val="6"/>
        <w:jc w:val="center"/>
        <w:rPr>
          <w:rFonts w:hint="eastAsia" w:eastAsia="黑体"/>
          <w:sz w:val="32"/>
          <w:szCs w:val="32"/>
        </w:rPr>
      </w:pPr>
      <w:bookmarkStart w:id="59" w:name="_Toc22440"/>
      <w:r>
        <w:rPr>
          <w:rFonts w:hint="eastAsia"/>
          <w:sz w:val="32"/>
          <w:szCs w:val="32"/>
        </w:rPr>
        <w:t>采购</w:t>
      </w:r>
      <w:r>
        <w:rPr>
          <w:sz w:val="32"/>
          <w:szCs w:val="32"/>
        </w:rPr>
        <w:t>合同</w:t>
      </w:r>
      <w:r>
        <w:rPr>
          <w:rFonts w:hint="eastAsia"/>
          <w:sz w:val="32"/>
          <w:szCs w:val="32"/>
        </w:rPr>
        <w:t>（服务类供参考）</w:t>
      </w:r>
      <w:bookmarkEnd w:id="59"/>
    </w:p>
    <w:p w14:paraId="2DBB1640">
      <w:pPr>
        <w:pStyle w:val="7"/>
        <w:rPr>
          <w:rFonts w:hint="eastAsia" w:ascii="宋体" w:hAnsi="宋体" w:cs="Arial"/>
          <w:sz w:val="28"/>
          <w:szCs w:val="28"/>
        </w:rPr>
      </w:pPr>
      <w:bookmarkStart w:id="60" w:name="_Toc20716"/>
      <w:bookmarkStart w:id="61" w:name="_Toc31190"/>
      <w:r>
        <w:rPr>
          <w:rFonts w:hint="eastAsia" w:ascii="黑体"/>
          <w:sz w:val="28"/>
          <w:szCs w:val="28"/>
        </w:rPr>
        <w:t>一、合同条款前附表</w:t>
      </w:r>
      <w:bookmarkEnd w:id="60"/>
      <w:bookmarkEnd w:id="61"/>
      <w:r>
        <w:rPr>
          <w:rFonts w:hint="eastAsia" w:ascii="宋体" w:hAnsi="宋体" w:cs="Arial"/>
          <w:sz w:val="28"/>
          <w:szCs w:val="28"/>
        </w:rPr>
        <w:t xml:space="preserve"> </w:t>
      </w:r>
    </w:p>
    <w:tbl>
      <w:tblPr>
        <w:tblStyle w:val="2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916"/>
      </w:tblGrid>
      <w:tr w14:paraId="0DD7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624BEA56">
            <w:pPr>
              <w:spacing w:line="560" w:lineRule="exact"/>
              <w:ind w:left="-12"/>
              <w:jc w:val="center"/>
              <w:rPr>
                <w:rFonts w:ascii="宋体" w:hAnsi="宋体" w:cs="Arial"/>
              </w:rPr>
            </w:pPr>
            <w:r>
              <w:rPr>
                <w:rFonts w:hint="eastAsia" w:ascii="宋体" w:hAnsi="宋体" w:cs="Arial"/>
                <w:b/>
                <w:bCs/>
              </w:rPr>
              <w:t>序号</w:t>
            </w:r>
          </w:p>
        </w:tc>
        <w:tc>
          <w:tcPr>
            <w:tcW w:w="7916" w:type="dxa"/>
            <w:tcBorders>
              <w:top w:val="single" w:color="auto" w:sz="4" w:space="0"/>
              <w:left w:val="nil"/>
              <w:bottom w:val="single" w:color="auto" w:sz="4" w:space="0"/>
              <w:right w:val="single" w:color="auto" w:sz="4" w:space="0"/>
            </w:tcBorders>
            <w:noWrap w:val="0"/>
            <w:vAlign w:val="center"/>
          </w:tcPr>
          <w:p w14:paraId="4CB192C5">
            <w:pPr>
              <w:spacing w:line="560" w:lineRule="exact"/>
              <w:ind w:left="360"/>
              <w:jc w:val="center"/>
              <w:rPr>
                <w:rFonts w:ascii="宋体" w:hAnsi="宋体" w:cs="Arial"/>
              </w:rPr>
            </w:pPr>
            <w:r>
              <w:rPr>
                <w:rFonts w:hint="eastAsia" w:ascii="宋体" w:hAnsi="宋体" w:cs="Arial"/>
                <w:b/>
                <w:bCs/>
              </w:rPr>
              <w:t>内      容</w:t>
            </w:r>
          </w:p>
        </w:tc>
      </w:tr>
      <w:tr w14:paraId="0CD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5081891A">
            <w:pPr>
              <w:spacing w:line="560" w:lineRule="exact"/>
              <w:ind w:left="-12"/>
              <w:jc w:val="center"/>
              <w:rPr>
                <w:rFonts w:ascii="宋体" w:hAnsi="宋体" w:cs="Arial"/>
              </w:rPr>
            </w:pPr>
            <w:r>
              <w:rPr>
                <w:rFonts w:hint="eastAsia" w:ascii="宋体" w:hAnsi="宋体" w:cs="Arial"/>
              </w:rPr>
              <w:t>1</w:t>
            </w:r>
          </w:p>
        </w:tc>
        <w:tc>
          <w:tcPr>
            <w:tcW w:w="7916" w:type="dxa"/>
            <w:tcBorders>
              <w:top w:val="single" w:color="auto" w:sz="4" w:space="0"/>
              <w:left w:val="nil"/>
              <w:bottom w:val="single" w:color="auto" w:sz="4" w:space="0"/>
              <w:right w:val="single" w:color="auto" w:sz="4" w:space="0"/>
            </w:tcBorders>
            <w:noWrap w:val="0"/>
            <w:vAlign w:val="center"/>
          </w:tcPr>
          <w:p w14:paraId="48F2975E">
            <w:pPr>
              <w:spacing w:line="560" w:lineRule="exact"/>
              <w:rPr>
                <w:rFonts w:ascii="宋体" w:hAnsi="宋体" w:cs="Arial"/>
              </w:rPr>
            </w:pPr>
            <w:r>
              <w:rPr>
                <w:rFonts w:hint="eastAsia" w:ascii="宋体" w:hAnsi="宋体" w:cs="Arial"/>
              </w:rPr>
              <w:t xml:space="preserve">付款人：皖北卫生职业学院                         </w:t>
            </w:r>
          </w:p>
        </w:tc>
      </w:tr>
      <w:tr w14:paraId="283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05929054">
            <w:pPr>
              <w:spacing w:line="560" w:lineRule="exact"/>
              <w:ind w:left="-12"/>
              <w:jc w:val="center"/>
              <w:rPr>
                <w:rFonts w:hint="eastAsia" w:ascii="宋体" w:hAnsi="宋体" w:eastAsia="宋体" w:cs="Arial"/>
                <w:lang w:eastAsia="zh-CN"/>
              </w:rPr>
            </w:pPr>
            <w:r>
              <w:rPr>
                <w:rFonts w:hint="eastAsia" w:ascii="宋体" w:hAnsi="宋体" w:cs="Arial"/>
                <w:lang w:val="en-US" w:eastAsia="zh-CN"/>
              </w:rPr>
              <w:t>2</w:t>
            </w:r>
          </w:p>
        </w:tc>
        <w:tc>
          <w:tcPr>
            <w:tcW w:w="7916" w:type="dxa"/>
            <w:tcBorders>
              <w:top w:val="single" w:color="auto" w:sz="4" w:space="0"/>
              <w:left w:val="nil"/>
              <w:bottom w:val="single" w:color="auto" w:sz="4" w:space="0"/>
              <w:right w:val="single" w:color="auto" w:sz="4" w:space="0"/>
            </w:tcBorders>
            <w:noWrap w:val="0"/>
            <w:vAlign w:val="center"/>
          </w:tcPr>
          <w:p w14:paraId="375418D2">
            <w:pPr>
              <w:spacing w:line="560" w:lineRule="exact"/>
              <w:rPr>
                <w:rFonts w:hint="default" w:ascii="宋体" w:hAnsi="宋体" w:eastAsia="宋体" w:cs="Arial"/>
                <w:lang w:val="en-US" w:eastAsia="zh-CN"/>
              </w:rPr>
            </w:pPr>
            <w:r>
              <w:rPr>
                <w:rFonts w:hint="eastAsia" w:ascii="宋体" w:hAnsi="宋体" w:cs="Arial"/>
              </w:rPr>
              <w:t>付款条件：</w:t>
            </w:r>
            <w:r>
              <w:rPr>
                <w:rFonts w:hint="eastAsia" w:ascii="宋体" w:hAnsi="宋体" w:cs="宋体"/>
                <w:i w:val="0"/>
                <w:iCs w:val="0"/>
                <w:szCs w:val="21"/>
                <w:lang w:val="en-US" w:eastAsia="zh-CN"/>
              </w:rPr>
              <w:t>服务</w:t>
            </w:r>
            <w:r>
              <w:rPr>
                <w:rFonts w:hint="eastAsia" w:ascii="宋体" w:hAnsi="宋体" w:cs="宋体"/>
                <w:i w:val="0"/>
                <w:iCs w:val="0"/>
                <w:szCs w:val="21"/>
              </w:rPr>
              <w:t>全部完成，采购人验收合格后一次性付清</w:t>
            </w:r>
          </w:p>
        </w:tc>
      </w:tr>
      <w:tr w14:paraId="4632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14:paraId="3A16BEB6">
            <w:pPr>
              <w:spacing w:line="560" w:lineRule="exact"/>
              <w:ind w:left="-12"/>
              <w:jc w:val="center"/>
              <w:rPr>
                <w:rFonts w:hint="eastAsia" w:ascii="宋体" w:hAnsi="宋体" w:eastAsia="宋体" w:cs="Arial"/>
                <w:lang w:eastAsia="zh-CN"/>
              </w:rPr>
            </w:pPr>
            <w:bookmarkStart w:id="62" w:name="_Toc727"/>
            <w:bookmarkStart w:id="63" w:name="_Toc14952"/>
            <w:r>
              <w:rPr>
                <w:rFonts w:hint="eastAsia" w:ascii="宋体" w:hAnsi="宋体" w:cs="Arial"/>
                <w:lang w:val="en-US" w:eastAsia="zh-CN"/>
              </w:rPr>
              <w:t>3</w:t>
            </w:r>
          </w:p>
        </w:tc>
        <w:tc>
          <w:tcPr>
            <w:tcW w:w="7916" w:type="dxa"/>
            <w:tcBorders>
              <w:top w:val="single" w:color="auto" w:sz="4" w:space="0"/>
              <w:left w:val="nil"/>
              <w:bottom w:val="single" w:color="auto" w:sz="4" w:space="0"/>
              <w:right w:val="single" w:color="auto" w:sz="4" w:space="0"/>
            </w:tcBorders>
            <w:noWrap w:val="0"/>
            <w:vAlign w:val="center"/>
          </w:tcPr>
          <w:p w14:paraId="1AD7234E">
            <w:pPr>
              <w:spacing w:line="560" w:lineRule="exact"/>
              <w:rPr>
                <w:rFonts w:hint="eastAsia" w:ascii="宋体" w:hAnsi="宋体" w:cs="Arial"/>
              </w:rPr>
            </w:pPr>
            <w:r>
              <w:rPr>
                <w:rFonts w:hint="eastAsia" w:ascii="宋体" w:hAnsi="宋体" w:cs="Arial"/>
              </w:rPr>
              <w:t>履约保证金：中标供应商在签订合同时应提交合同总价</w:t>
            </w:r>
            <w:r>
              <w:rPr>
                <w:rFonts w:hint="eastAsia" w:ascii="宋体" w:hAnsi="宋体" w:cs="Arial"/>
                <w:u w:val="single"/>
              </w:rPr>
              <w:t xml:space="preserve">  </w:t>
            </w:r>
            <w:r>
              <w:rPr>
                <w:rFonts w:hint="eastAsia" w:ascii="宋体" w:hAnsi="宋体" w:cs="Arial"/>
                <w:u w:val="single"/>
                <w:lang w:val="en-US" w:eastAsia="zh-CN"/>
              </w:rPr>
              <w:t>2</w:t>
            </w:r>
            <w:r>
              <w:rPr>
                <w:rFonts w:hint="eastAsia" w:ascii="宋体" w:hAnsi="宋体" w:cs="Arial"/>
                <w:u w:val="single"/>
              </w:rPr>
              <w:t xml:space="preserve"> </w:t>
            </w:r>
            <w:r>
              <w:rPr>
                <w:rFonts w:hint="eastAsia" w:ascii="宋体" w:hAnsi="宋体" w:cs="Arial"/>
              </w:rPr>
              <w:t>%的履约保证金，支持转账、电汇、保函</w:t>
            </w:r>
            <w:r>
              <w:rPr>
                <w:rFonts w:hint="eastAsia" w:ascii="宋体" w:hAnsi="宋体" w:cs="Arial"/>
                <w:lang w:val="en-US" w:eastAsia="zh-CN"/>
              </w:rPr>
              <w:t>等</w:t>
            </w:r>
            <w:r>
              <w:rPr>
                <w:rFonts w:hint="eastAsia" w:ascii="宋体" w:hAnsi="宋体" w:cs="Arial"/>
              </w:rPr>
              <w:t>。</w:t>
            </w:r>
          </w:p>
        </w:tc>
      </w:tr>
    </w:tbl>
    <w:p w14:paraId="20E5A2C4">
      <w:pPr>
        <w:pStyle w:val="7"/>
        <w:rPr>
          <w:rFonts w:hint="eastAsia"/>
        </w:rPr>
      </w:pPr>
      <w:r>
        <w:rPr>
          <w:rFonts w:hint="eastAsia"/>
        </w:rPr>
        <w:t>二、合同条款</w:t>
      </w:r>
      <w:bookmarkEnd w:id="62"/>
      <w:bookmarkEnd w:id="63"/>
    </w:p>
    <w:p w14:paraId="52B27E8E">
      <w:pPr>
        <w:pStyle w:val="15"/>
        <w:snapToGrid w:val="0"/>
        <w:spacing w:after="156" w:line="360" w:lineRule="auto"/>
        <w:ind w:left="0" w:firstLine="0"/>
        <w:rPr>
          <w:rFonts w:hint="eastAsia" w:ascii="宋体" w:hAnsi="宋体" w:eastAsia="宋体" w:cs="宋体"/>
          <w:b/>
          <w:bCs/>
          <w:sz w:val="21"/>
          <w:szCs w:val="21"/>
        </w:rPr>
      </w:pPr>
      <w:r>
        <w:rPr>
          <w:rFonts w:hint="eastAsia" w:ascii="宋体" w:hAnsi="宋体" w:eastAsia="宋体" w:cs="宋体"/>
          <w:b/>
          <w:bCs/>
          <w:sz w:val="21"/>
          <w:szCs w:val="21"/>
        </w:rPr>
        <w:t>1. 术语的定义</w:t>
      </w:r>
    </w:p>
    <w:p w14:paraId="5DEF6A6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1.1本合同下列术语应解释为：</w:t>
      </w:r>
    </w:p>
    <w:p w14:paraId="137426D2">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（1）“合同”是指委托和受托双方签署的、合同格式中载明的委托和受托双方所达成的协议，包括所有的附件、附录和构成合同的所有文件。</w:t>
      </w:r>
    </w:p>
    <w:p w14:paraId="7D77710B">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（2）“合同价”是指根据合同规定，中标供应商在正确地完全履行合同义务后采购人应支付给中标供应商的货币数量。</w:t>
      </w:r>
    </w:p>
    <w:p w14:paraId="0C44930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（3）“服务”是指政府采购合同服务清单（同磋商响应文件中开标一览表及其附表，下同）中所规定的服务内容。</w:t>
      </w:r>
    </w:p>
    <w:p w14:paraId="25EE686A">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（3）“工程”是指政府采购合同工程量清单（同磋商响应文件中开标一览表及其附表，下同）和施工图纸中所规定的工程内容。</w:t>
      </w:r>
    </w:p>
    <w:p w14:paraId="7A479D1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（4）“合同条款”是指本章所述全部内容。</w:t>
      </w:r>
    </w:p>
    <w:p w14:paraId="6965E98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（5）“合同特殊条款”是指采购文件正文部分第一章“合同特殊条款”。</w:t>
      </w:r>
    </w:p>
    <w:p w14:paraId="7D13D870">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（6）“采购人”是指采购文件正文部分第一章“磋商人须知前附表”中所述购买服务的单位。</w:t>
      </w:r>
    </w:p>
    <w:p w14:paraId="394B372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（7）“中标供应商”是指通过采购确定的提供采购文件正文部分第八章“服务需求”/“工程量清单”中所述服务/工程的成交供应商。</w:t>
      </w:r>
    </w:p>
    <w:p w14:paraId="1794EAB5">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（8）“现场”是指合同规定的履行相关服务的地点。</w:t>
      </w:r>
    </w:p>
    <w:p w14:paraId="27A074A8">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（9）“验收”是指委托、受托双方依据强制性的国家技术质量规范和合同规定，确认合同项下的服务符合合同规定的活动。</w:t>
      </w:r>
    </w:p>
    <w:p w14:paraId="04FEE7A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（10）“天”指日历天数（如无特别说明）。</w:t>
      </w:r>
    </w:p>
    <w:p w14:paraId="4818648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（11）“检验”是指采购人按照合同约定的标准对中标供应商所提供的服务进行的检测与查验。</w:t>
      </w:r>
    </w:p>
    <w:p w14:paraId="018A4ADC">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（12）“检验合格证书”是指检验完成后由采购人和中标供应商共同签署的检验合格确认书。</w:t>
      </w:r>
    </w:p>
    <w:p w14:paraId="2A5511E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（13）“政府采购项目验收单”是指采购人根据检验合格证书签署的报同级政府采购监管部门的最终验收确认书。</w:t>
      </w:r>
    </w:p>
    <w:p w14:paraId="59D2825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（14）“第三方”是指合同双方以外的任何中国境内、外的自然人、法人或其他经济组织。</w:t>
      </w:r>
    </w:p>
    <w:p w14:paraId="780AF231">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（15）“法律、法规”是指由中国各级政府及有关部门制定的法律、行政法规、地方性法规、规章及其他规范性文件。</w:t>
      </w:r>
    </w:p>
    <w:p w14:paraId="34596723">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（16）“采购文件”是指由采购代理机构发布的采购文本。</w:t>
      </w:r>
    </w:p>
    <w:p w14:paraId="0741BBC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（17）“磋商响应文件”是指中标供应商按照采购代理机构发布的采购文件的要求编制、提交并最终被磋商小组接受的磋商响应文本。</w:t>
      </w:r>
    </w:p>
    <w:p w14:paraId="6807D09B">
      <w:pPr>
        <w:pStyle w:val="15"/>
        <w:snapToGrid w:val="0"/>
        <w:spacing w:after="156" w:line="360" w:lineRule="auto"/>
        <w:ind w:left="0" w:firstLine="0"/>
        <w:rPr>
          <w:rFonts w:hint="eastAsia" w:ascii="宋体" w:hAnsi="宋体" w:eastAsia="宋体"/>
          <w:b/>
          <w:bCs/>
          <w:kern w:val="0"/>
          <w:sz w:val="21"/>
          <w:szCs w:val="21"/>
        </w:rPr>
      </w:pPr>
      <w:r>
        <w:rPr>
          <w:rFonts w:hint="eastAsia" w:ascii="宋体" w:hAnsi="宋体" w:eastAsia="宋体"/>
          <w:b/>
          <w:bCs/>
          <w:sz w:val="21"/>
          <w:szCs w:val="21"/>
        </w:rPr>
        <w:t>2.</w:t>
      </w:r>
      <w:r>
        <w:rPr>
          <w:rFonts w:hint="eastAsia" w:ascii="宋体" w:hAnsi="宋体" w:eastAsia="宋体"/>
          <w:b/>
          <w:bCs/>
          <w:kern w:val="0"/>
          <w:sz w:val="21"/>
          <w:szCs w:val="21"/>
        </w:rPr>
        <w:t>技术规范与服务内容</w:t>
      </w:r>
    </w:p>
    <w:p w14:paraId="6EE4D1E6">
      <w:pPr>
        <w:pStyle w:val="15"/>
        <w:snapToGrid w:val="0"/>
        <w:spacing w:after="156" w:line="360" w:lineRule="auto"/>
        <w:ind w:left="0" w:firstLine="420" w:firstLineChars="200"/>
        <w:rPr>
          <w:rFonts w:hint="eastAsia" w:ascii="宋体" w:hAnsi="宋体" w:eastAsia="宋体"/>
          <w:kern w:val="0"/>
          <w:sz w:val="21"/>
          <w:szCs w:val="21"/>
        </w:rPr>
      </w:pPr>
      <w:r>
        <w:rPr>
          <w:rFonts w:hint="eastAsia" w:ascii="宋体" w:hAnsi="宋体" w:eastAsia="宋体"/>
          <w:kern w:val="0"/>
          <w:sz w:val="21"/>
          <w:szCs w:val="21"/>
        </w:rPr>
        <w:t>2.1 投标服务的技术规范应与采购文件规定的技术规范（如果有的话）相一致。若无相应说明，则以国家有关部门最新颁布的相应标准及规范为准。</w:t>
      </w:r>
    </w:p>
    <w:p w14:paraId="7B36497B">
      <w:pPr>
        <w:snapToGrid w:val="0"/>
        <w:spacing w:after="156" w:line="360" w:lineRule="auto"/>
        <w:ind w:firstLine="420" w:firstLineChars="200"/>
        <w:jc w:val="left"/>
        <w:rPr>
          <w:rFonts w:hint="eastAsia" w:ascii="宋体" w:hAnsi="宋体"/>
        </w:rPr>
      </w:pPr>
      <w:r>
        <w:rPr>
          <w:rFonts w:hint="eastAsia" w:ascii="宋体" w:hAnsi="宋体"/>
          <w:kern w:val="0"/>
        </w:rPr>
        <w:t>2.2 投标服务的服务内容应与采购文件规定的服务内容及磋商响应文件中的服务指标响应表一致。</w:t>
      </w:r>
    </w:p>
    <w:p w14:paraId="7EF2A27D">
      <w:pPr>
        <w:snapToGrid w:val="0"/>
        <w:spacing w:after="156" w:line="360" w:lineRule="auto"/>
        <w:rPr>
          <w:rFonts w:hint="eastAsia" w:ascii="宋体" w:hAnsi="宋体"/>
          <w:b/>
          <w:bCs/>
        </w:rPr>
      </w:pPr>
      <w:r>
        <w:rPr>
          <w:rFonts w:hint="eastAsia" w:ascii="宋体" w:hAnsi="宋体"/>
          <w:b/>
          <w:bCs/>
        </w:rPr>
        <w:t>3. 知识产权</w:t>
      </w:r>
    </w:p>
    <w:p w14:paraId="6F4761FE">
      <w:pPr>
        <w:snapToGrid w:val="0"/>
        <w:spacing w:after="156" w:line="360" w:lineRule="auto"/>
        <w:ind w:firstLine="420" w:firstLineChars="200"/>
        <w:rPr>
          <w:rFonts w:hint="eastAsia" w:ascii="宋体" w:hAnsi="宋体"/>
        </w:rPr>
      </w:pPr>
      <w:r>
        <w:rPr>
          <w:rFonts w:hint="eastAsia" w:ascii="宋体" w:hAnsi="宋体"/>
        </w:rPr>
        <w:t>中标供应商</w:t>
      </w:r>
      <w:r>
        <w:rPr>
          <w:rFonts w:hint="eastAsia" w:ascii="宋体" w:hAnsi="宋体"/>
          <w:kern w:val="0"/>
        </w:rPr>
        <w:t>应保证，采购人在其接受该服务或其任何一部分时不受第三方提出的侵犯专利权、著作权、商标权和工业设计权等的起诉。如果任何第三方提出侵权指控，中标供应商须与第三方交涉并承担由此发生的一切责任、费用和经济赔偿。</w:t>
      </w:r>
    </w:p>
    <w:p w14:paraId="488BA072">
      <w:pPr>
        <w:snapToGrid w:val="0"/>
        <w:spacing w:after="156" w:line="360" w:lineRule="auto"/>
        <w:rPr>
          <w:rFonts w:hint="eastAsia" w:ascii="宋体" w:hAnsi="宋体"/>
          <w:b/>
          <w:bCs/>
        </w:rPr>
      </w:pPr>
      <w:r>
        <w:rPr>
          <w:rFonts w:hint="eastAsia" w:ascii="宋体" w:hAnsi="宋体"/>
          <w:b/>
          <w:bCs/>
        </w:rPr>
        <w:t>4. 完成方式</w:t>
      </w:r>
    </w:p>
    <w:p w14:paraId="632001EC">
      <w:pPr>
        <w:snapToGrid w:val="0"/>
        <w:spacing w:after="156" w:line="360" w:lineRule="auto"/>
        <w:ind w:firstLine="411" w:firstLineChars="196"/>
        <w:rPr>
          <w:rFonts w:hint="eastAsia" w:ascii="宋体" w:hAnsi="宋体"/>
          <w:kern w:val="0"/>
        </w:rPr>
      </w:pPr>
      <w:r>
        <w:rPr>
          <w:rFonts w:hint="eastAsia" w:ascii="宋体" w:hAnsi="宋体"/>
        </w:rPr>
        <w:t>中标供应商应按照采购文件正文部分第一章“八、服务需求”及“九、商务和技术要求”规定的时间和地点完成服务</w:t>
      </w:r>
      <w:r>
        <w:rPr>
          <w:rFonts w:hint="eastAsia" w:ascii="宋体" w:hAnsi="宋体"/>
          <w:kern w:val="0"/>
        </w:rPr>
        <w:t>。</w:t>
      </w:r>
    </w:p>
    <w:p w14:paraId="4CB4BFD0">
      <w:pPr>
        <w:adjustRightInd w:val="0"/>
        <w:snapToGrid w:val="0"/>
        <w:spacing w:after="156" w:line="360" w:lineRule="auto"/>
        <w:rPr>
          <w:rFonts w:hint="eastAsia" w:ascii="宋体" w:hAnsi="宋体"/>
          <w:b/>
          <w:bCs/>
        </w:rPr>
      </w:pPr>
      <w:r>
        <w:rPr>
          <w:rFonts w:hint="eastAsia" w:ascii="宋体" w:hAnsi="宋体"/>
          <w:b/>
          <w:bCs/>
        </w:rPr>
        <w:t>5. 付款</w:t>
      </w:r>
    </w:p>
    <w:p w14:paraId="61569738">
      <w:pPr>
        <w:snapToGrid w:val="0"/>
        <w:spacing w:after="156" w:line="360" w:lineRule="auto"/>
        <w:ind w:firstLine="480"/>
        <w:rPr>
          <w:rFonts w:hint="eastAsia" w:ascii="宋体" w:hAnsi="宋体"/>
        </w:rPr>
      </w:pPr>
      <w:r>
        <w:rPr>
          <w:rFonts w:hint="eastAsia" w:ascii="宋体" w:hAnsi="宋体"/>
        </w:rPr>
        <w:t>5.1合同以人民币付款。</w:t>
      </w:r>
    </w:p>
    <w:p w14:paraId="6FB9C667">
      <w:pPr>
        <w:snapToGrid w:val="0"/>
        <w:spacing w:after="156" w:line="360" w:lineRule="auto"/>
        <w:ind w:firstLine="480"/>
        <w:rPr>
          <w:rFonts w:hint="eastAsia" w:ascii="宋体" w:hAnsi="宋体"/>
        </w:rPr>
      </w:pPr>
      <w:r>
        <w:rPr>
          <w:rFonts w:hint="eastAsia" w:ascii="宋体" w:hAnsi="宋体"/>
        </w:rPr>
        <w:t>5.2 在中标供应商按照合同的规定履行服务后，将按照采购文件正文部分</w:t>
      </w:r>
      <w:r>
        <w:rPr>
          <w:rFonts w:hint="eastAsia" w:ascii="宋体" w:hAnsi="宋体"/>
          <w:kern w:val="0"/>
        </w:rPr>
        <w:t>“合同条款前附表”规定</w:t>
      </w:r>
      <w:r>
        <w:rPr>
          <w:rFonts w:hint="eastAsia" w:ascii="宋体" w:hAnsi="宋体"/>
        </w:rPr>
        <w:t>的付款方式付款。</w:t>
      </w:r>
    </w:p>
    <w:p w14:paraId="2DA8786E">
      <w:pPr>
        <w:pStyle w:val="2"/>
        <w:ind w:left="0" w:leftChars="0" w:firstLine="420" w:firstLineChars="200"/>
        <w:rPr>
          <w:rFonts w:hint="eastAsia"/>
        </w:rPr>
      </w:pPr>
      <w:r>
        <w:rPr>
          <w:rFonts w:hint="eastAsia" w:ascii="宋体" w:hAnsi="宋体" w:eastAsia="宋体" w:cs="Times New Roman"/>
          <w:kern w:val="2"/>
          <w:sz w:val="21"/>
          <w:szCs w:val="21"/>
          <w:lang w:val="en-US" w:eastAsia="zh-CN" w:bidi="ar-SA"/>
        </w:rPr>
        <w:t>5.3政府采购货物和服务项目不得收取质量保证金以及其他没有法律依据的保证金。（《安徽省财政厅关于进一步优化营商环境的通知》皖财购[2022]556号）</w:t>
      </w:r>
    </w:p>
    <w:p w14:paraId="16DDD08A">
      <w:pPr>
        <w:adjustRightInd w:val="0"/>
        <w:snapToGrid w:val="0"/>
        <w:spacing w:after="156" w:line="360" w:lineRule="auto"/>
        <w:rPr>
          <w:rFonts w:hint="eastAsia" w:ascii="宋体" w:hAnsi="宋体"/>
          <w:b/>
          <w:bCs/>
        </w:rPr>
      </w:pPr>
      <w:r>
        <w:rPr>
          <w:rFonts w:hint="eastAsia" w:ascii="宋体" w:hAnsi="宋体"/>
          <w:b/>
          <w:bCs/>
        </w:rPr>
        <w:t>6. 履约保证金</w:t>
      </w:r>
    </w:p>
    <w:p w14:paraId="00CD7FA2">
      <w:pPr>
        <w:snapToGrid w:val="0"/>
        <w:spacing w:after="156" w:line="360" w:lineRule="auto"/>
        <w:ind w:firstLine="480"/>
        <w:rPr>
          <w:rFonts w:hint="eastAsia" w:ascii="宋体" w:hAnsi="宋体"/>
        </w:rPr>
      </w:pPr>
      <w:r>
        <w:rPr>
          <w:rFonts w:hint="eastAsia" w:ascii="宋体" w:hAnsi="宋体"/>
        </w:rPr>
        <w:t>6.1中标供应商应在签订合同的同时，提供相当于合同总价</w:t>
      </w:r>
      <w:r>
        <w:rPr>
          <w:rFonts w:hint="eastAsia" w:ascii="宋体" w:hAnsi="宋体"/>
          <w:u w:val="single"/>
        </w:rPr>
        <w:t xml:space="preserve"> </w:t>
      </w:r>
      <w:r>
        <w:rPr>
          <w:rFonts w:hint="eastAsia" w:ascii="宋体" w:hAnsi="宋体"/>
          <w:u w:val="single"/>
          <w:lang w:val="en-US" w:eastAsia="zh-CN"/>
        </w:rPr>
        <w:t>2</w:t>
      </w:r>
      <w:r>
        <w:rPr>
          <w:rFonts w:hint="eastAsia" w:ascii="宋体" w:hAnsi="宋体"/>
          <w:u w:val="single"/>
        </w:rPr>
        <w:t xml:space="preserve"> </w:t>
      </w:r>
      <w:r>
        <w:rPr>
          <w:rFonts w:hint="eastAsia" w:ascii="宋体" w:hAnsi="宋体"/>
        </w:rPr>
        <w:t>%的履约保证金或等额金融机构、担保机构出具的保函）。</w:t>
      </w:r>
    </w:p>
    <w:p w14:paraId="3AED099A">
      <w:pPr>
        <w:snapToGrid w:val="0"/>
        <w:spacing w:after="156" w:line="360" w:lineRule="auto"/>
        <w:ind w:firstLine="420" w:firstLineChars="200"/>
        <w:rPr>
          <w:rFonts w:hint="eastAsia" w:ascii="宋体" w:hAnsi="宋体"/>
        </w:rPr>
      </w:pPr>
      <w:r>
        <w:rPr>
          <w:rFonts w:hint="eastAsia" w:ascii="宋体" w:hAnsi="宋体"/>
        </w:rPr>
        <w:t xml:space="preserve"> 6.2如中标供应商未能履行其合同规定的义务，采购人有权从履约保证金中取得补偿。</w:t>
      </w:r>
    </w:p>
    <w:p w14:paraId="77E4BEE3">
      <w:pPr>
        <w:adjustRightInd w:val="0"/>
        <w:snapToGrid w:val="0"/>
        <w:spacing w:after="156" w:line="360" w:lineRule="auto"/>
        <w:rPr>
          <w:rFonts w:hint="eastAsia" w:ascii="宋体" w:hAnsi="宋体"/>
          <w:b/>
          <w:bCs/>
        </w:rPr>
      </w:pPr>
      <w:r>
        <w:rPr>
          <w:rFonts w:hint="eastAsia" w:ascii="宋体" w:hAnsi="宋体"/>
          <w:b/>
          <w:bCs/>
        </w:rPr>
        <w:t>7. 检验和验收</w:t>
      </w:r>
    </w:p>
    <w:p w14:paraId="54137AF9">
      <w:pPr>
        <w:snapToGrid w:val="0"/>
        <w:spacing w:after="156" w:line="360" w:lineRule="auto"/>
        <w:ind w:firstLine="480"/>
        <w:rPr>
          <w:rFonts w:hint="eastAsia" w:ascii="宋体" w:hAnsi="宋体"/>
        </w:rPr>
      </w:pPr>
      <w:r>
        <w:rPr>
          <w:rFonts w:hint="eastAsia" w:ascii="宋体" w:hAnsi="宋体"/>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14:paraId="40BDCD89">
      <w:pPr>
        <w:snapToGrid w:val="0"/>
        <w:spacing w:after="156" w:line="360" w:lineRule="auto"/>
        <w:ind w:firstLine="480"/>
        <w:rPr>
          <w:rFonts w:hint="eastAsia" w:ascii="宋体" w:hAnsi="宋体"/>
        </w:rPr>
      </w:pPr>
      <w:r>
        <w:rPr>
          <w:rFonts w:hint="eastAsia" w:ascii="宋体" w:hAnsi="宋体"/>
        </w:rPr>
        <w:t>7.2采购人或其委托的采购代理机构应当根据项目特点制定验收方案，明确履约验收的时间、方式、程序等内容。</w:t>
      </w:r>
    </w:p>
    <w:p w14:paraId="7E59D30D">
      <w:pPr>
        <w:snapToGrid w:val="0"/>
        <w:spacing w:after="156" w:line="360" w:lineRule="auto"/>
        <w:ind w:firstLine="480"/>
        <w:rPr>
          <w:rFonts w:hint="eastAsia" w:ascii="宋体" w:hAnsi="宋体"/>
        </w:rPr>
      </w:pPr>
      <w:r>
        <w:rPr>
          <w:rFonts w:hint="eastAsia" w:ascii="宋体" w:hAnsi="宋体"/>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147DE624">
      <w:pPr>
        <w:snapToGrid w:val="0"/>
        <w:spacing w:after="156" w:line="360" w:lineRule="auto"/>
        <w:ind w:firstLine="480"/>
        <w:rPr>
          <w:rFonts w:hint="eastAsia" w:ascii="宋体" w:hAnsi="宋体"/>
        </w:rPr>
      </w:pPr>
      <w:r>
        <w:rPr>
          <w:rFonts w:hint="eastAsia" w:ascii="宋体" w:hAnsi="宋体"/>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0DF10B80">
      <w:pPr>
        <w:snapToGrid w:val="0"/>
        <w:spacing w:after="156" w:line="360" w:lineRule="auto"/>
        <w:ind w:firstLine="480"/>
        <w:rPr>
          <w:rFonts w:hint="eastAsia" w:ascii="宋体" w:hAnsi="宋体"/>
        </w:rPr>
      </w:pPr>
      <w:r>
        <w:rPr>
          <w:rFonts w:hint="eastAsia" w:ascii="宋体" w:hAnsi="宋体"/>
        </w:rPr>
        <w:t xml:space="preserve">7.5验收合格的项目，采购人应当根据采购合同的约定及时向供应商支付采购资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85A2ED7">
      <w:pPr>
        <w:adjustRightInd w:val="0"/>
        <w:snapToGrid w:val="0"/>
        <w:spacing w:after="156" w:line="360" w:lineRule="auto"/>
        <w:rPr>
          <w:rFonts w:hint="eastAsia" w:ascii="宋体" w:hAnsi="宋体"/>
          <w:b/>
          <w:bCs/>
        </w:rPr>
      </w:pPr>
      <w:r>
        <w:rPr>
          <w:rFonts w:hint="eastAsia" w:ascii="宋体" w:hAnsi="宋体"/>
          <w:b/>
          <w:bCs/>
        </w:rPr>
        <w:t>8. 索赔</w:t>
      </w:r>
    </w:p>
    <w:p w14:paraId="7F3D0719">
      <w:pPr>
        <w:adjustRightInd w:val="0"/>
        <w:snapToGrid w:val="0"/>
        <w:spacing w:after="156" w:line="360" w:lineRule="auto"/>
        <w:ind w:firstLine="420" w:firstLineChars="200"/>
        <w:rPr>
          <w:rFonts w:hint="eastAsia" w:ascii="宋体" w:hAnsi="宋体"/>
          <w:kern w:val="0"/>
        </w:rPr>
      </w:pPr>
      <w:r>
        <w:rPr>
          <w:rFonts w:hint="eastAsia" w:ascii="宋体" w:hAnsi="宋体"/>
          <w:kern w:val="0"/>
        </w:rPr>
        <w:t>8.1 如果服务的质量、数量等与合同不符，或在规定的质量保证期内证实服务存在缺陷（包括潜在的缺陷等），采购人有权根据有资质的质检机构的检验结果向中标供应商提出索赔。</w:t>
      </w:r>
    </w:p>
    <w:p w14:paraId="3C1A5941">
      <w:pPr>
        <w:adjustRightInd w:val="0"/>
        <w:snapToGrid w:val="0"/>
        <w:spacing w:after="156" w:line="360" w:lineRule="auto"/>
        <w:ind w:firstLine="420" w:firstLineChars="200"/>
        <w:rPr>
          <w:rFonts w:hint="eastAsia" w:ascii="宋体" w:hAnsi="宋体"/>
          <w:kern w:val="0"/>
        </w:rPr>
      </w:pPr>
      <w:r>
        <w:rPr>
          <w:rFonts w:hint="eastAsia" w:ascii="宋体" w:hAnsi="宋体"/>
          <w:kern w:val="0"/>
        </w:rPr>
        <w:t>8.2 在合同规定的验收期和质量保证期内，如果中标供应商对采购人提出的索赔负有责任，中标供应商应按照采购人同意的方式解决索赔事宜。</w:t>
      </w:r>
    </w:p>
    <w:p w14:paraId="7600EC94">
      <w:pPr>
        <w:adjustRightInd w:val="0"/>
        <w:snapToGrid w:val="0"/>
        <w:spacing w:after="156" w:line="360" w:lineRule="auto"/>
        <w:ind w:firstLine="420" w:firstLineChars="200"/>
        <w:rPr>
          <w:rFonts w:hint="eastAsia" w:ascii="宋体" w:hAnsi="宋体"/>
          <w:kern w:val="0"/>
        </w:rPr>
      </w:pPr>
      <w:r>
        <w:rPr>
          <w:rFonts w:hint="eastAsia" w:ascii="宋体" w:hAnsi="宋体"/>
          <w:kern w:val="0"/>
        </w:rPr>
        <w:t>8.3 如果中标供应商在合同规定的索赔通知期限内，未对采购人的索赔通知做出答复，则上述索赔应视为已被中标供应商接受。如中标供应商未能在采购人提出的在合同规定的期限内或采购人同意的更长时间内，按照本合同第8.2条确定的方式解决索赔事宜，采购人将从中标供应商的履约保证金或者应支付给中标供应商的合同款项中扣回索赔金额。如果这些金额不足以补偿索赔金额，采购人有权向中标供应商提出不足部分的补偿。</w:t>
      </w:r>
    </w:p>
    <w:p w14:paraId="1BC65E97">
      <w:pPr>
        <w:adjustRightInd w:val="0"/>
        <w:snapToGrid w:val="0"/>
        <w:spacing w:after="156" w:line="360" w:lineRule="auto"/>
        <w:rPr>
          <w:rFonts w:hint="eastAsia" w:ascii="宋体" w:hAnsi="宋体"/>
          <w:b/>
          <w:bCs/>
        </w:rPr>
      </w:pPr>
      <w:r>
        <w:rPr>
          <w:rFonts w:hint="eastAsia" w:ascii="宋体" w:hAnsi="宋体"/>
          <w:b/>
          <w:bCs/>
        </w:rPr>
        <w:t>9.履约延误和误期赔偿</w:t>
      </w:r>
    </w:p>
    <w:p w14:paraId="75D96F17">
      <w:pPr>
        <w:snapToGrid w:val="0"/>
        <w:spacing w:after="156" w:line="360" w:lineRule="auto"/>
        <w:ind w:firstLine="420" w:firstLineChars="200"/>
        <w:rPr>
          <w:rFonts w:hint="eastAsia" w:ascii="宋体" w:hAnsi="宋体"/>
        </w:rPr>
      </w:pPr>
      <w:r>
        <w:rPr>
          <w:rFonts w:hint="eastAsia" w:ascii="宋体" w:hAnsi="宋体"/>
        </w:rPr>
        <w:t>9.1 如中标供应商无正当理由而拖延提供服务，采购人有权提出误期赔偿或解除合同。</w:t>
      </w:r>
    </w:p>
    <w:p w14:paraId="5F5EBD12">
      <w:pPr>
        <w:snapToGrid w:val="0"/>
        <w:spacing w:after="156" w:line="360" w:lineRule="auto"/>
        <w:ind w:firstLine="420" w:firstLineChars="200"/>
        <w:rPr>
          <w:rFonts w:hint="eastAsia" w:ascii="宋体" w:hAnsi="宋体"/>
        </w:rPr>
      </w:pPr>
      <w:r>
        <w:rPr>
          <w:rFonts w:hint="eastAsia" w:ascii="宋体" w:hAnsi="宋体"/>
        </w:rPr>
        <w:t>9.2 在履行合同过程中，如果中标供应商遇到妨碍按时提供服务的情况时，应及时以书面形式将拖延的事实，可能拖延的期限和理由通知采购人。采购人在收到中标供应商通知后，应尽快对情况进行评价，并确定是否通过修改合同，酌情延长提供服务时间。</w:t>
      </w:r>
    </w:p>
    <w:p w14:paraId="78EADB31">
      <w:pPr>
        <w:snapToGrid w:val="0"/>
        <w:spacing w:after="156" w:line="360" w:lineRule="auto"/>
        <w:ind w:firstLine="420" w:firstLineChars="200"/>
        <w:rPr>
          <w:rFonts w:hint="eastAsia" w:ascii="宋体" w:hAnsi="宋体"/>
          <w:kern w:val="0"/>
        </w:rPr>
      </w:pPr>
      <w:r>
        <w:rPr>
          <w:rFonts w:hint="eastAsia" w:ascii="宋体" w:hAnsi="宋体"/>
        </w:rPr>
        <w:t xml:space="preserve">9.3 </w:t>
      </w:r>
      <w:r>
        <w:rPr>
          <w:rFonts w:hint="eastAsia" w:ascii="宋体" w:hAnsi="宋体"/>
          <w:kern w:val="0"/>
        </w:rPr>
        <w:t>除本合同条款第10条规定外，如果中标供应商没有按照合同规定的时间提供服务，采购人可要求中标供应商支付违约金。违约金按每周未提供服务费用的0.5%计收，但违约金的最高限额为未提供服务的合同价格的5%。一周按7天计算，不足7天按一周计算。如果达到最高限额，采购人有权解除政府采购合同。</w:t>
      </w:r>
    </w:p>
    <w:p w14:paraId="7FC51626">
      <w:pPr>
        <w:snapToGrid w:val="0"/>
        <w:spacing w:after="156" w:line="360" w:lineRule="auto"/>
        <w:rPr>
          <w:rFonts w:hint="eastAsia" w:ascii="宋体" w:hAnsi="宋体"/>
          <w:b/>
          <w:bCs/>
        </w:rPr>
      </w:pPr>
      <w:r>
        <w:rPr>
          <w:rFonts w:hint="eastAsia" w:ascii="宋体" w:hAnsi="宋体"/>
          <w:b/>
          <w:bCs/>
        </w:rPr>
        <w:t>10. 不可抗力</w:t>
      </w:r>
    </w:p>
    <w:p w14:paraId="52373DF2">
      <w:pPr>
        <w:snapToGrid w:val="0"/>
        <w:spacing w:after="156" w:line="360" w:lineRule="auto"/>
        <w:ind w:firstLine="420" w:firstLineChars="200"/>
        <w:rPr>
          <w:rFonts w:hint="eastAsia" w:ascii="宋体" w:hAnsi="宋体"/>
          <w:kern w:val="0"/>
        </w:rPr>
      </w:pPr>
      <w:r>
        <w:rPr>
          <w:rFonts w:hint="eastAsia" w:ascii="宋体" w:hAnsi="宋体"/>
          <w:kern w:val="0"/>
        </w:rPr>
        <w:t>10.1 尽管有本合同条款第8条和第9条的规定，如果中标供应商因不可抗力而导致合同实施延误或不能履行合同义务的话，在不可抗力影响的范围内中标供应商的履约保证金或者应支付给中标供应商的合同款项不能被没收，也不应该承担违约赔偿或终止合同的责任。</w:t>
      </w:r>
    </w:p>
    <w:p w14:paraId="4111E289">
      <w:pPr>
        <w:adjustRightInd w:val="0"/>
        <w:snapToGrid w:val="0"/>
        <w:spacing w:after="156" w:line="360" w:lineRule="auto"/>
        <w:ind w:firstLine="420" w:firstLineChars="200"/>
        <w:rPr>
          <w:rFonts w:hint="eastAsia" w:ascii="宋体" w:hAnsi="宋体"/>
          <w:kern w:val="0"/>
        </w:rPr>
      </w:pPr>
      <w:r>
        <w:rPr>
          <w:rFonts w:hint="eastAsia" w:ascii="宋体" w:hAnsi="宋体"/>
          <w:kern w:val="0"/>
        </w:rPr>
        <w:t>10.2 本条所述的“不可抗力”是指那些中标供应商无法控制、不可预见的事件，但不包括中标供应商的违约或疏忽。不可抗力事件包括，但不限于：战争、严重火灾、洪水、台风、地震、防疫限制和禁运及其他双方</w:t>
      </w:r>
      <w:r>
        <w:rPr>
          <w:rFonts w:hint="eastAsia" w:ascii="宋体" w:hAnsi="宋体"/>
        </w:rPr>
        <w:t>商定的事件。</w:t>
      </w:r>
    </w:p>
    <w:p w14:paraId="7526749B">
      <w:pPr>
        <w:adjustRightInd w:val="0"/>
        <w:snapToGrid w:val="0"/>
        <w:spacing w:after="156" w:line="360" w:lineRule="auto"/>
        <w:ind w:firstLine="420" w:firstLineChars="200"/>
        <w:rPr>
          <w:rFonts w:hint="eastAsia" w:ascii="宋体" w:hAnsi="宋体"/>
          <w:kern w:val="0"/>
        </w:rPr>
      </w:pPr>
      <w:r>
        <w:rPr>
          <w:rFonts w:hint="eastAsia" w:ascii="宋体" w:hAnsi="宋体"/>
          <w:kern w:val="0"/>
        </w:rPr>
        <w:t>10.3 在不可抗力事件发生后，中标供应商应尽快以书面形式将不可抗力的情况和原因通知采购人。除采购人书面另行要求外，中标供应商应尽可能继续履行合同义务，以及寻求采取合理的方案履行不受不可抗力影响的其他事项。如果不可抗力事件影响延续超过120天，双方应通过友好协商在合理的时间内就进一步实施合同达成协议。</w:t>
      </w:r>
    </w:p>
    <w:p w14:paraId="7712B08F">
      <w:pPr>
        <w:adjustRightInd w:val="0"/>
        <w:snapToGrid w:val="0"/>
        <w:spacing w:after="156" w:line="360" w:lineRule="auto"/>
        <w:ind w:firstLine="420" w:firstLineChars="200"/>
        <w:rPr>
          <w:rFonts w:hint="eastAsia" w:ascii="宋体" w:hAnsi="宋体"/>
          <w:b/>
          <w:bCs/>
          <w:kern w:val="0"/>
        </w:rPr>
      </w:pPr>
      <w:r>
        <w:rPr>
          <w:rFonts w:hint="eastAsia" w:ascii="宋体" w:hAnsi="宋体"/>
          <w:kern w:val="0"/>
        </w:rPr>
        <w:t>10.4 不可抗力致使合同的某些内容有变更必要的，双方应通过协商达成进一步履行合同的协议，因不可抗力致使合同不能履行的，合同终止。</w:t>
      </w:r>
    </w:p>
    <w:p w14:paraId="122CEF95">
      <w:pPr>
        <w:snapToGrid w:val="0"/>
        <w:spacing w:after="50" w:line="360" w:lineRule="auto"/>
        <w:rPr>
          <w:rFonts w:hint="eastAsia" w:ascii="宋体" w:hAnsi="宋体"/>
          <w:b/>
          <w:bCs/>
        </w:rPr>
      </w:pPr>
      <w:r>
        <w:rPr>
          <w:rFonts w:hint="eastAsia" w:ascii="宋体" w:hAnsi="宋体"/>
          <w:b/>
          <w:bCs/>
        </w:rPr>
        <w:t>11. 税费</w:t>
      </w:r>
    </w:p>
    <w:p w14:paraId="1D46B93C">
      <w:pPr>
        <w:adjustRightInd w:val="0"/>
        <w:snapToGrid w:val="0"/>
        <w:spacing w:after="156" w:line="360" w:lineRule="auto"/>
        <w:ind w:firstLine="420" w:firstLineChars="200"/>
        <w:rPr>
          <w:rFonts w:hint="eastAsia" w:ascii="宋体" w:hAnsi="宋体"/>
          <w:kern w:val="0"/>
        </w:rPr>
      </w:pPr>
      <w:r>
        <w:rPr>
          <w:rFonts w:hint="eastAsia" w:ascii="宋体" w:hAnsi="宋体"/>
          <w:kern w:val="0"/>
        </w:rPr>
        <w:t>11.1中国政府根据现行税法对采购人征收的、与本合同有关的一切税费，均由采购人负担。</w:t>
      </w:r>
    </w:p>
    <w:p w14:paraId="20619C5A">
      <w:pPr>
        <w:adjustRightInd w:val="0"/>
        <w:snapToGrid w:val="0"/>
        <w:spacing w:after="156" w:line="360" w:lineRule="auto"/>
        <w:ind w:firstLine="420" w:firstLineChars="200"/>
        <w:rPr>
          <w:rFonts w:hint="eastAsia" w:ascii="宋体" w:hAnsi="宋体"/>
          <w:kern w:val="0"/>
        </w:rPr>
      </w:pPr>
      <w:r>
        <w:rPr>
          <w:rFonts w:hint="eastAsia" w:ascii="宋体" w:hAnsi="宋体"/>
          <w:kern w:val="0"/>
        </w:rPr>
        <w:t>11.2中国政府根据现行税法对中标供应商征收的、与本合同有关的一切税费，均由中标供应商负担。</w:t>
      </w:r>
    </w:p>
    <w:p w14:paraId="43442393">
      <w:pPr>
        <w:snapToGrid w:val="0"/>
        <w:spacing w:after="50" w:line="360" w:lineRule="auto"/>
        <w:rPr>
          <w:rFonts w:hint="eastAsia" w:ascii="宋体" w:hAnsi="宋体"/>
          <w:b/>
          <w:bCs/>
        </w:rPr>
      </w:pPr>
      <w:r>
        <w:rPr>
          <w:rFonts w:hint="eastAsia" w:ascii="宋体" w:hAnsi="宋体"/>
          <w:b/>
          <w:bCs/>
        </w:rPr>
        <w:t>12. 仲裁</w:t>
      </w:r>
    </w:p>
    <w:p w14:paraId="78B9F86E">
      <w:pPr>
        <w:adjustRightInd w:val="0"/>
        <w:snapToGrid w:val="0"/>
        <w:spacing w:after="156" w:line="360" w:lineRule="auto"/>
        <w:ind w:firstLine="420" w:firstLineChars="200"/>
        <w:rPr>
          <w:rFonts w:hint="eastAsia" w:ascii="宋体" w:hAnsi="宋体"/>
          <w:kern w:val="0"/>
        </w:rPr>
      </w:pPr>
      <w:r>
        <w:rPr>
          <w:rFonts w:hint="eastAsia" w:ascii="宋体" w:hAnsi="宋体"/>
          <w:kern w:val="0"/>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rPr>
        <w:t>则应向</w:t>
      </w:r>
      <w:r>
        <w:rPr>
          <w:rFonts w:hint="eastAsia" w:ascii="宋体" w:hAnsi="宋体"/>
          <w:u w:val="single"/>
        </w:rPr>
        <w:t xml:space="preserve">    </w:t>
      </w:r>
      <w:r>
        <w:rPr>
          <w:rFonts w:hint="eastAsia" w:ascii="宋体" w:hAnsi="宋体"/>
          <w:u w:val="single"/>
          <w:lang w:val="en-US" w:eastAsia="zh-CN"/>
        </w:rPr>
        <w:t>宿州</w:t>
      </w:r>
      <w:r>
        <w:rPr>
          <w:rFonts w:hint="eastAsia" w:ascii="宋体" w:hAnsi="宋体"/>
          <w:u w:val="single"/>
        </w:rPr>
        <w:t xml:space="preserve">  </w:t>
      </w:r>
      <w:r>
        <w:rPr>
          <w:rFonts w:hint="eastAsia" w:ascii="宋体" w:hAnsi="宋体"/>
        </w:rPr>
        <w:t>仲裁委员会申请仲裁。</w:t>
      </w:r>
    </w:p>
    <w:p w14:paraId="4C849025">
      <w:pPr>
        <w:adjustRightInd w:val="0"/>
        <w:snapToGrid w:val="0"/>
        <w:spacing w:after="156" w:line="360" w:lineRule="auto"/>
        <w:ind w:firstLine="420" w:firstLineChars="200"/>
        <w:rPr>
          <w:rFonts w:hint="eastAsia" w:ascii="宋体" w:hAnsi="宋体"/>
          <w:kern w:val="0"/>
        </w:rPr>
      </w:pPr>
      <w:r>
        <w:rPr>
          <w:rFonts w:hint="eastAsia" w:ascii="宋体" w:hAnsi="宋体"/>
          <w:kern w:val="0"/>
        </w:rPr>
        <w:t>12.2在仲裁期间，合同应继续履行。</w:t>
      </w:r>
    </w:p>
    <w:p w14:paraId="74CD0BC9">
      <w:pPr>
        <w:adjustRightInd w:val="0"/>
        <w:snapToGrid w:val="0"/>
        <w:spacing w:after="156" w:line="360" w:lineRule="auto"/>
        <w:rPr>
          <w:rFonts w:hint="eastAsia" w:ascii="宋体" w:hAnsi="宋体"/>
          <w:b/>
          <w:bCs/>
        </w:rPr>
      </w:pPr>
      <w:r>
        <w:rPr>
          <w:rFonts w:hint="eastAsia" w:ascii="宋体" w:hAnsi="宋体"/>
          <w:b/>
          <w:bCs/>
        </w:rPr>
        <w:t>13. 违约终止合同</w:t>
      </w:r>
    </w:p>
    <w:p w14:paraId="295BB714">
      <w:pPr>
        <w:adjustRightInd w:val="0"/>
        <w:snapToGrid w:val="0"/>
        <w:spacing w:after="156" w:line="360" w:lineRule="auto"/>
        <w:ind w:firstLine="420" w:firstLineChars="200"/>
        <w:rPr>
          <w:rFonts w:hint="eastAsia" w:ascii="宋体" w:hAnsi="宋体"/>
          <w:kern w:val="0"/>
        </w:rPr>
      </w:pPr>
      <w:r>
        <w:rPr>
          <w:rFonts w:hint="eastAsia" w:ascii="宋体" w:hAnsi="宋体"/>
          <w:kern w:val="0"/>
        </w:rPr>
        <w:t>13.1在采购人对中标供应商违约而采取的任何补救措施不受影响的情况下，采购人可向中标供应商发出终止部分或全部合同的书面通知书。</w:t>
      </w:r>
    </w:p>
    <w:p w14:paraId="7A9DE02B">
      <w:pPr>
        <w:adjustRightInd w:val="0"/>
        <w:snapToGrid w:val="0"/>
        <w:spacing w:after="156" w:line="360" w:lineRule="auto"/>
        <w:ind w:firstLine="420" w:firstLineChars="200"/>
        <w:rPr>
          <w:rFonts w:hint="eastAsia" w:ascii="宋体" w:hAnsi="宋体"/>
          <w:kern w:val="0"/>
        </w:rPr>
      </w:pPr>
      <w:r>
        <w:rPr>
          <w:rFonts w:hint="eastAsia" w:ascii="宋体" w:hAnsi="宋体"/>
          <w:kern w:val="0"/>
        </w:rPr>
        <w:t>（1）如果中标供应商未能按合同规定的期限或采购人同意延长的限期内提供部分或全部服务；</w:t>
      </w:r>
    </w:p>
    <w:p w14:paraId="7059C5CA">
      <w:pPr>
        <w:adjustRightInd w:val="0"/>
        <w:snapToGrid w:val="0"/>
        <w:spacing w:after="156" w:line="360" w:lineRule="auto"/>
        <w:ind w:firstLine="420" w:firstLineChars="200"/>
        <w:rPr>
          <w:rFonts w:hint="eastAsia" w:ascii="宋体" w:hAnsi="宋体"/>
          <w:kern w:val="0"/>
        </w:rPr>
      </w:pPr>
      <w:r>
        <w:rPr>
          <w:rFonts w:hint="eastAsia" w:ascii="宋体" w:hAnsi="宋体"/>
          <w:kern w:val="0"/>
        </w:rPr>
        <w:t>（2）中标供应商在收到采购人发出的违约通知后20天内，或经采购人书面认可延长的时间内未能纠正其过失；</w:t>
      </w:r>
    </w:p>
    <w:p w14:paraId="1E954475">
      <w:pPr>
        <w:adjustRightInd w:val="0"/>
        <w:snapToGrid w:val="0"/>
        <w:spacing w:after="156" w:line="360" w:lineRule="auto"/>
        <w:ind w:firstLine="420" w:firstLineChars="200"/>
        <w:rPr>
          <w:rFonts w:hint="eastAsia" w:ascii="宋体" w:hAnsi="宋体"/>
          <w:kern w:val="0"/>
        </w:rPr>
      </w:pPr>
      <w:r>
        <w:rPr>
          <w:rFonts w:hint="eastAsia" w:ascii="宋体" w:hAnsi="宋体"/>
          <w:kern w:val="0"/>
        </w:rPr>
        <w:t>（3）如果中标供应商未能履行合同规定的其他义务。</w:t>
      </w:r>
    </w:p>
    <w:p w14:paraId="18FCF1A3">
      <w:pPr>
        <w:adjustRightInd w:val="0"/>
        <w:snapToGrid w:val="0"/>
        <w:spacing w:after="156" w:line="360" w:lineRule="auto"/>
        <w:ind w:firstLine="420" w:firstLineChars="200"/>
        <w:rPr>
          <w:rFonts w:hint="eastAsia" w:ascii="宋体" w:hAnsi="宋体"/>
          <w:kern w:val="0"/>
        </w:rPr>
      </w:pPr>
      <w:r>
        <w:rPr>
          <w:rFonts w:hint="eastAsia" w:ascii="宋体" w:hAnsi="宋体"/>
          <w:kern w:val="0"/>
        </w:rPr>
        <w:t>13.2在采购人根据上述第13.1条规定，终止了全部或部分合同后，采购人可以依其认为适当的条件和方法购买类似未交的服务，中标供应商应对采购人购买类似服务所超出的费用部分负责，并继续执行合同中未终止部分。</w:t>
      </w:r>
    </w:p>
    <w:p w14:paraId="203457C7">
      <w:pPr>
        <w:adjustRightInd w:val="0"/>
        <w:snapToGrid w:val="0"/>
        <w:spacing w:after="156" w:line="360" w:lineRule="auto"/>
        <w:rPr>
          <w:rFonts w:hint="eastAsia" w:ascii="宋体" w:hAnsi="宋体"/>
          <w:b/>
          <w:bCs/>
        </w:rPr>
      </w:pPr>
      <w:r>
        <w:rPr>
          <w:rFonts w:hint="eastAsia" w:ascii="宋体" w:hAnsi="宋体"/>
          <w:b/>
          <w:bCs/>
        </w:rPr>
        <w:t>14. 破产终止合同</w:t>
      </w:r>
    </w:p>
    <w:p w14:paraId="6B2B1E6A">
      <w:pPr>
        <w:adjustRightInd w:val="0"/>
        <w:snapToGrid w:val="0"/>
        <w:spacing w:after="156" w:line="360" w:lineRule="auto"/>
        <w:ind w:firstLine="420" w:firstLineChars="200"/>
        <w:rPr>
          <w:rFonts w:hint="eastAsia" w:ascii="宋体" w:hAnsi="宋体"/>
          <w:kern w:val="0"/>
        </w:rPr>
      </w:pPr>
      <w:r>
        <w:rPr>
          <w:rFonts w:hint="eastAsia" w:ascii="宋体" w:hAnsi="宋体"/>
          <w:kern w:val="0"/>
        </w:rPr>
        <w:t>如果中标供应商破产或无清偿能力时，采购人经报同级政府采购监督管理部门审批后，可在任何时候以书面形式通知中标供应商，提出终止合同而不给中标供应商补偿。该合同的终止将不损害或影响采购人已经采取或将要采取的任何行动或补救措施的权利。</w:t>
      </w:r>
    </w:p>
    <w:p w14:paraId="47F1F855">
      <w:pPr>
        <w:adjustRightInd w:val="0"/>
        <w:snapToGrid w:val="0"/>
        <w:spacing w:after="156" w:line="360" w:lineRule="auto"/>
        <w:rPr>
          <w:rFonts w:hint="eastAsia" w:ascii="宋体" w:hAnsi="宋体"/>
          <w:b/>
          <w:bCs/>
        </w:rPr>
      </w:pPr>
      <w:r>
        <w:rPr>
          <w:rFonts w:hint="eastAsia" w:ascii="宋体" w:hAnsi="宋体"/>
          <w:b/>
          <w:bCs/>
        </w:rPr>
        <w:t>15. 转让和分包</w:t>
      </w:r>
    </w:p>
    <w:p w14:paraId="49E141E0">
      <w:pPr>
        <w:adjustRightInd w:val="0"/>
        <w:snapToGrid w:val="0"/>
        <w:spacing w:after="156" w:line="360" w:lineRule="auto"/>
        <w:ind w:firstLine="420" w:firstLineChars="200"/>
        <w:rPr>
          <w:rFonts w:hint="eastAsia" w:ascii="宋体" w:hAnsi="宋体"/>
          <w:kern w:val="0"/>
        </w:rPr>
      </w:pPr>
      <w:r>
        <w:rPr>
          <w:rFonts w:hint="eastAsia" w:ascii="宋体" w:hAnsi="宋体"/>
          <w:kern w:val="0"/>
        </w:rPr>
        <w:t>15.1合同不能擅自转让或分包。</w:t>
      </w:r>
    </w:p>
    <w:p w14:paraId="5BD03964">
      <w:pPr>
        <w:adjustRightInd w:val="0"/>
        <w:snapToGrid w:val="0"/>
        <w:spacing w:after="156" w:line="360" w:lineRule="auto"/>
        <w:ind w:firstLine="420" w:firstLineChars="200"/>
        <w:rPr>
          <w:rFonts w:hint="eastAsia" w:ascii="宋体" w:hAnsi="宋体"/>
          <w:kern w:val="0"/>
        </w:rPr>
      </w:pPr>
      <w:r>
        <w:rPr>
          <w:rFonts w:hint="eastAsia" w:ascii="宋体" w:hAnsi="宋体"/>
          <w:kern w:val="0"/>
        </w:rPr>
        <w:t>15.2 经采购人和同级政府采购监督管理部门事先书面同意，中标供应商可以将合同项下非主体、非关键性工作分包给他人完成。接受分包的人应当具备相应的资格条件，并不得再次分包。分包后不能终止中标供应商履行合同的责任和义务，接受分包的人与中标供应商共同对采购人连带承担合同的责任和义务。</w:t>
      </w:r>
    </w:p>
    <w:p w14:paraId="6E9F8873">
      <w:pPr>
        <w:adjustRightInd w:val="0"/>
        <w:snapToGrid w:val="0"/>
        <w:spacing w:after="156" w:line="360" w:lineRule="auto"/>
        <w:rPr>
          <w:rFonts w:hint="eastAsia" w:ascii="宋体" w:hAnsi="宋体"/>
          <w:b/>
          <w:bCs/>
        </w:rPr>
      </w:pPr>
      <w:r>
        <w:rPr>
          <w:rFonts w:hint="eastAsia" w:ascii="宋体" w:hAnsi="宋体"/>
          <w:b/>
          <w:bCs/>
        </w:rPr>
        <w:t>16. 合同修改</w:t>
      </w:r>
    </w:p>
    <w:p w14:paraId="6DBE3D30">
      <w:pPr>
        <w:adjustRightInd w:val="0"/>
        <w:snapToGrid w:val="0"/>
        <w:spacing w:after="156" w:line="360" w:lineRule="auto"/>
        <w:ind w:firstLine="420" w:firstLineChars="200"/>
        <w:rPr>
          <w:rFonts w:hint="eastAsia" w:ascii="宋体" w:hAnsi="宋体"/>
          <w:kern w:val="0"/>
        </w:rPr>
      </w:pPr>
      <w:r>
        <w:rPr>
          <w:rFonts w:hint="eastAsia" w:ascii="宋体" w:hAnsi="宋体"/>
          <w:kern w:val="0"/>
        </w:rPr>
        <w:t>采购人和中标供应商都不得擅自变更合同，但继续履行将损害国家和社会公共利益的除外。如必须对合同条款进行修改时，当事人双方须共同签署书面文件，作为合同的补充，并报同级政府采购监督管理部门备案。</w:t>
      </w:r>
    </w:p>
    <w:p w14:paraId="6FC8F032">
      <w:pPr>
        <w:adjustRightInd w:val="0"/>
        <w:snapToGrid w:val="0"/>
        <w:spacing w:after="156" w:line="360" w:lineRule="auto"/>
        <w:rPr>
          <w:rFonts w:hint="eastAsia" w:ascii="宋体" w:hAnsi="宋体"/>
          <w:b/>
          <w:bCs/>
        </w:rPr>
      </w:pPr>
      <w:r>
        <w:rPr>
          <w:rFonts w:hint="eastAsia" w:ascii="宋体" w:hAnsi="宋体"/>
          <w:b/>
          <w:bCs/>
        </w:rPr>
        <w:t>17. 通知</w:t>
      </w:r>
    </w:p>
    <w:p w14:paraId="1D117ABD">
      <w:pPr>
        <w:adjustRightInd w:val="0"/>
        <w:snapToGrid w:val="0"/>
        <w:spacing w:after="156" w:line="360" w:lineRule="auto"/>
        <w:ind w:firstLine="420" w:firstLineChars="200"/>
        <w:rPr>
          <w:rFonts w:hint="eastAsia" w:ascii="宋体" w:hAnsi="宋体"/>
          <w:kern w:val="0"/>
        </w:rPr>
      </w:pPr>
      <w:r>
        <w:rPr>
          <w:rFonts w:hint="eastAsia" w:ascii="宋体" w:hAnsi="宋体"/>
          <w:kern w:val="0"/>
        </w:rPr>
        <w:t>政府采购合同一方给另一方的通知都应以书面形式发送至规定的对方地址。通知以送达日期或通知书规定的生效日期为生效日期，两者中以晚的一个日期为准。</w:t>
      </w:r>
    </w:p>
    <w:p w14:paraId="516D8630">
      <w:pPr>
        <w:snapToGrid w:val="0"/>
        <w:spacing w:after="156" w:line="360" w:lineRule="auto"/>
        <w:rPr>
          <w:rFonts w:hint="eastAsia" w:ascii="宋体" w:hAnsi="宋体"/>
          <w:b/>
          <w:bCs/>
        </w:rPr>
      </w:pPr>
      <w:r>
        <w:rPr>
          <w:rFonts w:hint="eastAsia" w:ascii="宋体" w:hAnsi="宋体"/>
          <w:b/>
          <w:bCs/>
        </w:rPr>
        <w:t>18.合同生效</w:t>
      </w:r>
    </w:p>
    <w:p w14:paraId="3FBDACE3">
      <w:pPr>
        <w:snapToGrid w:val="0"/>
        <w:spacing w:line="360" w:lineRule="auto"/>
        <w:ind w:firstLine="420" w:firstLineChars="200"/>
        <w:rPr>
          <w:rFonts w:hint="eastAsia" w:ascii="宋体" w:hAnsi="宋体"/>
          <w:kern w:val="0"/>
        </w:rPr>
      </w:pPr>
      <w:r>
        <w:rPr>
          <w:rFonts w:hint="eastAsia" w:ascii="宋体" w:hAnsi="宋体"/>
          <w:kern w:val="0"/>
        </w:rPr>
        <w:t>18.1合同内容的确定应以采购文件和磋商响应文件为基础，不得违背其实质性内容。合同应在买卖双方和采购代理机构、交易中心签字、盖章，并在中标供应商交纳履约保证金后即开始生效。</w:t>
      </w:r>
    </w:p>
    <w:p w14:paraId="36CD7324">
      <w:pPr>
        <w:snapToGrid w:val="0"/>
        <w:spacing w:line="360" w:lineRule="auto"/>
        <w:ind w:firstLine="420" w:firstLineChars="200"/>
        <w:rPr>
          <w:rFonts w:hint="eastAsia" w:ascii="宋体" w:hAnsi="宋体"/>
          <w:kern w:val="0"/>
        </w:rPr>
      </w:pPr>
      <w:r>
        <w:rPr>
          <w:rFonts w:hint="eastAsia" w:ascii="宋体" w:hAnsi="宋体"/>
          <w:kern w:val="0"/>
        </w:rPr>
        <w:t>18.2本合同一式四份，以中文书就，采购人、中标供应商、采购代理机构各执一份，送政府采购管理机构留存一份。</w:t>
      </w:r>
    </w:p>
    <w:p w14:paraId="1BCA6A38">
      <w:pPr>
        <w:adjustRightInd w:val="0"/>
        <w:snapToGrid w:val="0"/>
        <w:spacing w:after="156" w:line="360" w:lineRule="auto"/>
        <w:rPr>
          <w:rFonts w:hint="eastAsia" w:ascii="宋体" w:hAnsi="宋体"/>
          <w:b/>
          <w:bCs/>
        </w:rPr>
      </w:pPr>
      <w:r>
        <w:rPr>
          <w:rFonts w:hint="eastAsia" w:ascii="宋体" w:hAnsi="宋体"/>
          <w:b/>
          <w:bCs/>
        </w:rPr>
        <w:t>19. 补充条款</w:t>
      </w:r>
    </w:p>
    <w:p w14:paraId="79B80C27">
      <w:pPr>
        <w:snapToGrid w:val="0"/>
        <w:spacing w:after="50" w:line="360" w:lineRule="auto"/>
        <w:ind w:firstLine="411" w:firstLineChars="196"/>
        <w:rPr>
          <w:rFonts w:hint="eastAsia" w:ascii="宋体" w:hAnsi="宋体"/>
          <w:kern w:val="0"/>
        </w:rPr>
      </w:pPr>
      <w:r>
        <w:rPr>
          <w:rFonts w:hint="eastAsia" w:ascii="宋体" w:hAnsi="宋体"/>
          <w:kern w:val="0"/>
        </w:rPr>
        <w:t>如需修改或补充合同内容，经协商，双方可签署书面修改或补充协议，该协议将作为合同的一个组成部分。</w:t>
      </w:r>
    </w:p>
    <w:p w14:paraId="0F1ED6DE">
      <w:pPr>
        <w:pStyle w:val="7"/>
        <w:rPr>
          <w:rFonts w:hint="eastAsia"/>
        </w:rPr>
      </w:pPr>
      <w:bookmarkStart w:id="64" w:name="_Toc23556"/>
      <w:bookmarkStart w:id="65" w:name="_Toc84"/>
      <w:r>
        <w:rPr>
          <w:rFonts w:hint="eastAsia"/>
        </w:rPr>
        <w:t>三、合同格式</w:t>
      </w:r>
      <w:bookmarkEnd w:id="64"/>
      <w:bookmarkEnd w:id="65"/>
    </w:p>
    <w:p w14:paraId="0D822B1A">
      <w:pPr>
        <w:spacing w:line="360" w:lineRule="auto"/>
        <w:rPr>
          <w:rFonts w:hint="eastAsia" w:ascii="宋体" w:hAnsi="宋体"/>
        </w:rPr>
      </w:pPr>
      <w:r>
        <w:rPr>
          <w:rFonts w:hint="eastAsia" w:ascii="宋体" w:hAnsi="宋体"/>
        </w:rPr>
        <w:t xml:space="preserve">采  购  人（甲方）： </w:t>
      </w:r>
      <w:r>
        <w:rPr>
          <w:rFonts w:hint="eastAsia" w:ascii="宋体" w:hAnsi="宋体"/>
          <w:u w:val="single"/>
        </w:rPr>
        <w:t xml:space="preserve">      </w:t>
      </w:r>
      <w:r>
        <w:rPr>
          <w:rFonts w:hint="eastAsia" w:ascii="宋体" w:hAnsi="宋体"/>
          <w:u w:val="single"/>
          <w:lang w:val="en-US" w:eastAsia="zh-CN"/>
        </w:rPr>
        <w:t>皖北卫生职业学院</w:t>
      </w:r>
      <w:r>
        <w:rPr>
          <w:rFonts w:hint="eastAsia" w:ascii="宋体" w:hAnsi="宋体"/>
          <w:u w:val="single"/>
        </w:rPr>
        <w:t xml:space="preserve">           </w:t>
      </w:r>
      <w:r>
        <w:rPr>
          <w:rFonts w:hint="eastAsia" w:ascii="宋体" w:hAnsi="宋体"/>
        </w:rPr>
        <w:t xml:space="preserve"> </w:t>
      </w:r>
    </w:p>
    <w:p w14:paraId="519F914C">
      <w:pPr>
        <w:spacing w:line="360" w:lineRule="auto"/>
        <w:ind w:left="840" w:hanging="840" w:hangingChars="400"/>
        <w:rPr>
          <w:rFonts w:hint="eastAsia" w:ascii="宋体" w:hAnsi="宋体"/>
        </w:rPr>
      </w:pPr>
      <w:r>
        <w:rPr>
          <w:rFonts w:hint="eastAsia" w:ascii="宋体" w:hAnsi="宋体"/>
        </w:rPr>
        <w:t xml:space="preserve">中标供应商（乙方）： </w:t>
      </w:r>
      <w:r>
        <w:rPr>
          <w:rFonts w:hint="eastAsia" w:ascii="宋体" w:hAnsi="宋体"/>
          <w:u w:val="single"/>
        </w:rPr>
        <w:t xml:space="preserve">                                        </w:t>
      </w:r>
      <w:r>
        <w:rPr>
          <w:rFonts w:hint="eastAsia" w:ascii="宋体" w:hAnsi="宋体"/>
        </w:rPr>
        <w:t xml:space="preserve"> </w:t>
      </w:r>
    </w:p>
    <w:p w14:paraId="0C7F3499">
      <w:pPr>
        <w:spacing w:line="360" w:lineRule="auto"/>
        <w:ind w:left="840" w:hanging="840" w:hangingChars="400"/>
        <w:rPr>
          <w:rFonts w:hint="eastAsia" w:ascii="宋体" w:hAnsi="宋体"/>
          <w:u w:val="single"/>
        </w:rPr>
      </w:pPr>
      <w:r>
        <w:rPr>
          <w:rFonts w:hint="eastAsia" w:ascii="宋体" w:hAnsi="宋体"/>
        </w:rPr>
        <w:t>采购代理机构：</w:t>
      </w:r>
      <w:r>
        <w:rPr>
          <w:rFonts w:hint="eastAsia" w:ascii="宋体" w:hAnsi="宋体"/>
          <w:u w:val="single"/>
        </w:rPr>
        <w:t xml:space="preserve">       </w:t>
      </w:r>
      <w:r>
        <w:rPr>
          <w:rFonts w:hint="eastAsia" w:ascii="宋体" w:hAnsi="宋体"/>
          <w:u w:val="single"/>
          <w:lang w:val="en-US" w:eastAsia="zh-CN"/>
        </w:rPr>
        <w:t>大洲设计咨询集团有限公司</w:t>
      </w:r>
      <w:r>
        <w:rPr>
          <w:rFonts w:hint="eastAsia" w:ascii="宋体" w:hAnsi="宋体"/>
          <w:u w:val="single"/>
        </w:rPr>
        <w:t xml:space="preserve">          </w:t>
      </w:r>
    </w:p>
    <w:p w14:paraId="4CD96532">
      <w:pPr>
        <w:spacing w:line="360" w:lineRule="auto"/>
        <w:ind w:firstLine="420" w:firstLineChars="200"/>
        <w:rPr>
          <w:rFonts w:hint="eastAsia" w:ascii="宋体" w:hAnsi="宋体"/>
        </w:rPr>
      </w:pPr>
      <w:r>
        <w:rPr>
          <w:rFonts w:hint="eastAsia" w:ascii="宋体" w:hAnsi="宋体"/>
        </w:rPr>
        <w:t>甲方通过</w:t>
      </w:r>
      <w:r>
        <w:rPr>
          <w:rFonts w:hint="eastAsia" w:ascii="宋体" w:hAnsi="宋体"/>
          <w:u w:val="single"/>
        </w:rPr>
        <w:t xml:space="preserve">   大洲设计咨询集团有限公司   </w:t>
      </w:r>
      <w:r>
        <w:rPr>
          <w:rFonts w:hint="eastAsia" w:ascii="宋体" w:hAnsi="宋体"/>
        </w:rPr>
        <w:t>组织的采购活动，决定将本项目采购合同授予乙方。为进一步明确双方的责任，确保合同的顺利履行，甲乙双方商定同意按如下条款和条件签订本合同：</w:t>
      </w:r>
    </w:p>
    <w:p w14:paraId="7CA14E56">
      <w:pPr>
        <w:spacing w:line="360" w:lineRule="auto"/>
        <w:ind w:firstLine="422" w:firstLineChars="200"/>
        <w:rPr>
          <w:rFonts w:hint="eastAsia" w:ascii="宋体" w:hAnsi="宋体"/>
          <w:b/>
          <w:bCs/>
        </w:rPr>
      </w:pPr>
      <w:r>
        <w:rPr>
          <w:rFonts w:hint="eastAsia" w:ascii="宋体" w:hAnsi="宋体"/>
          <w:b/>
          <w:bCs/>
        </w:rPr>
        <w:t>1.合同文件</w:t>
      </w:r>
    </w:p>
    <w:p w14:paraId="2E6A8515">
      <w:pPr>
        <w:spacing w:line="360" w:lineRule="auto"/>
        <w:ind w:left="643"/>
        <w:rPr>
          <w:rFonts w:hint="eastAsia" w:ascii="宋体" w:hAnsi="宋体"/>
        </w:rPr>
      </w:pPr>
      <w:r>
        <w:rPr>
          <w:rFonts w:hint="eastAsia" w:ascii="宋体" w:hAnsi="宋体"/>
        </w:rPr>
        <w:t>下列文件是构成本合同不可分割的部分：</w:t>
      </w:r>
    </w:p>
    <w:p w14:paraId="7704688E">
      <w:pPr>
        <w:spacing w:line="360" w:lineRule="auto"/>
        <w:ind w:left="643"/>
        <w:rPr>
          <w:rFonts w:hint="eastAsia" w:ascii="宋体" w:hAnsi="宋体"/>
        </w:rPr>
      </w:pPr>
      <w:r>
        <w:rPr>
          <w:rFonts w:hint="eastAsia" w:ascii="宋体" w:hAnsi="宋体"/>
        </w:rPr>
        <w:t>（1）合同条款及前附表；</w:t>
      </w:r>
    </w:p>
    <w:p w14:paraId="2A112ECD">
      <w:pPr>
        <w:spacing w:line="360" w:lineRule="auto"/>
        <w:ind w:firstLine="420" w:firstLineChars="200"/>
        <w:rPr>
          <w:rFonts w:hint="eastAsia" w:ascii="宋体" w:hAnsi="宋体"/>
        </w:rPr>
      </w:pPr>
      <w:r>
        <w:rPr>
          <w:rFonts w:hint="eastAsia" w:ascii="宋体" w:hAnsi="宋体"/>
        </w:rPr>
        <w:t>（2）中标供应商提交的磋商响应文件和投标报价表；</w:t>
      </w:r>
    </w:p>
    <w:p w14:paraId="4A9D1F35">
      <w:pPr>
        <w:spacing w:line="360" w:lineRule="auto"/>
        <w:ind w:firstLine="420" w:firstLineChars="200"/>
        <w:rPr>
          <w:rFonts w:hint="eastAsia" w:ascii="宋体" w:hAnsi="宋体"/>
        </w:rPr>
      </w:pPr>
      <w:r>
        <w:rPr>
          <w:rFonts w:hint="eastAsia" w:ascii="宋体" w:hAnsi="宋体"/>
        </w:rPr>
        <w:t>（3）中标通知书。</w:t>
      </w:r>
    </w:p>
    <w:p w14:paraId="454CA24F">
      <w:pPr>
        <w:spacing w:line="360" w:lineRule="auto"/>
        <w:ind w:firstLine="422" w:firstLineChars="200"/>
        <w:rPr>
          <w:rFonts w:hint="eastAsia" w:ascii="宋体" w:hAnsi="宋体"/>
          <w:b/>
          <w:bCs/>
        </w:rPr>
      </w:pPr>
      <w:r>
        <w:rPr>
          <w:rFonts w:hint="eastAsia" w:ascii="宋体" w:hAnsi="宋体"/>
          <w:b/>
          <w:bCs/>
        </w:rPr>
        <w:t>2.合同范围和条件</w:t>
      </w:r>
    </w:p>
    <w:p w14:paraId="395780C1">
      <w:pPr>
        <w:spacing w:line="360" w:lineRule="auto"/>
        <w:ind w:firstLine="420" w:firstLineChars="200"/>
        <w:rPr>
          <w:rFonts w:hint="eastAsia" w:ascii="宋体" w:hAnsi="宋体"/>
        </w:rPr>
      </w:pPr>
      <w:r>
        <w:rPr>
          <w:rFonts w:hint="eastAsia" w:ascii="宋体" w:hAnsi="宋体"/>
        </w:rPr>
        <w:t>本合同的范围和条件应与上述合同文件的规定相一致。</w:t>
      </w:r>
    </w:p>
    <w:p w14:paraId="57C62E69">
      <w:pPr>
        <w:spacing w:line="360" w:lineRule="auto"/>
        <w:ind w:firstLine="422" w:firstLineChars="200"/>
        <w:rPr>
          <w:rFonts w:hint="eastAsia" w:ascii="宋体" w:hAnsi="宋体"/>
          <w:b/>
          <w:bCs/>
        </w:rPr>
      </w:pPr>
      <w:r>
        <w:rPr>
          <w:rFonts w:hint="eastAsia" w:ascii="宋体" w:hAnsi="宋体"/>
          <w:b/>
          <w:bCs/>
        </w:rPr>
        <w:t>3.合同金额</w:t>
      </w:r>
    </w:p>
    <w:p w14:paraId="6B630E56">
      <w:pPr>
        <w:spacing w:line="360" w:lineRule="auto"/>
        <w:ind w:firstLine="420" w:firstLineChars="200"/>
        <w:rPr>
          <w:rFonts w:hint="eastAsia" w:ascii="宋体" w:hAnsi="宋体"/>
        </w:rPr>
      </w:pPr>
      <w:r>
        <w:rPr>
          <w:rFonts w:hint="eastAsia" w:ascii="宋体" w:hAnsi="宋体"/>
        </w:rPr>
        <w:t>合同总金额为（人民币）</w:t>
      </w:r>
      <w:r>
        <w:rPr>
          <w:rFonts w:hint="eastAsia" w:ascii="宋体" w:hAnsi="宋体"/>
          <w:u w:val="single"/>
        </w:rPr>
        <w:t xml:space="preserve">                  万</w:t>
      </w:r>
      <w:r>
        <w:rPr>
          <w:rFonts w:hint="eastAsia" w:ascii="宋体" w:hAnsi="宋体"/>
        </w:rPr>
        <w:t>元</w:t>
      </w:r>
    </w:p>
    <w:p w14:paraId="3E9DF891">
      <w:pPr>
        <w:spacing w:line="360" w:lineRule="auto"/>
        <w:ind w:firstLine="420" w:firstLineChars="200"/>
        <w:rPr>
          <w:rFonts w:hint="eastAsia" w:ascii="宋体" w:hAnsi="宋体"/>
        </w:rPr>
      </w:pPr>
      <w:r>
        <w:rPr>
          <w:rFonts w:hint="eastAsia" w:ascii="宋体" w:hAnsi="宋体"/>
        </w:rPr>
        <w:t>大写：</w:t>
      </w:r>
      <w:r>
        <w:rPr>
          <w:rFonts w:hint="eastAsia" w:ascii="宋体" w:hAnsi="宋体"/>
          <w:u w:val="single"/>
        </w:rPr>
        <w:t xml:space="preserve">                               </w:t>
      </w:r>
      <w:r>
        <w:rPr>
          <w:rFonts w:hint="eastAsia" w:ascii="宋体" w:hAnsi="宋体"/>
        </w:rPr>
        <w:t>。</w:t>
      </w:r>
    </w:p>
    <w:p w14:paraId="696D3681">
      <w:pPr>
        <w:spacing w:line="360" w:lineRule="auto"/>
        <w:ind w:firstLine="422" w:firstLineChars="200"/>
        <w:rPr>
          <w:rFonts w:hint="eastAsia" w:ascii="宋体" w:hAnsi="宋体"/>
          <w:b/>
          <w:bCs/>
        </w:rPr>
      </w:pPr>
      <w:r>
        <w:rPr>
          <w:rFonts w:hint="eastAsia" w:ascii="宋体" w:hAnsi="宋体"/>
          <w:b/>
          <w:bCs/>
        </w:rPr>
        <w:t>4.付款条件</w:t>
      </w:r>
    </w:p>
    <w:p w14:paraId="1D676673">
      <w:pPr>
        <w:spacing w:line="360" w:lineRule="auto"/>
        <w:ind w:firstLine="420" w:firstLineChars="200"/>
        <w:rPr>
          <w:rFonts w:hint="eastAsia" w:ascii="宋体" w:hAnsi="宋体"/>
        </w:rPr>
      </w:pPr>
      <w:r>
        <w:rPr>
          <w:rFonts w:hint="eastAsia" w:ascii="宋体" w:hAnsi="宋体"/>
        </w:rPr>
        <w:t>付款条件在合同条款前附表中有明确规定。</w:t>
      </w:r>
    </w:p>
    <w:p w14:paraId="1CF565E6">
      <w:pPr>
        <w:spacing w:line="360" w:lineRule="auto"/>
        <w:ind w:firstLine="422" w:firstLineChars="200"/>
        <w:rPr>
          <w:rFonts w:hint="eastAsia" w:ascii="宋体" w:hAnsi="宋体"/>
          <w:b/>
          <w:bCs/>
        </w:rPr>
      </w:pPr>
      <w:r>
        <w:rPr>
          <w:rFonts w:hint="eastAsia" w:ascii="宋体" w:hAnsi="宋体"/>
          <w:b/>
          <w:bCs/>
        </w:rPr>
        <w:t>5.交货时间</w:t>
      </w:r>
    </w:p>
    <w:p w14:paraId="27ED52C3">
      <w:pPr>
        <w:spacing w:line="360" w:lineRule="auto"/>
        <w:ind w:firstLine="420" w:firstLineChars="200"/>
        <w:rPr>
          <w:rFonts w:hint="eastAsia" w:ascii="宋体" w:hAnsi="宋体"/>
        </w:rPr>
      </w:pPr>
      <w:r>
        <w:rPr>
          <w:rFonts w:hint="eastAsia" w:ascii="宋体" w:hAnsi="宋体"/>
        </w:rPr>
        <w:t>本合同服务时间在“服务报价表”中有明确规定。</w:t>
      </w:r>
    </w:p>
    <w:p w14:paraId="647F3510">
      <w:pPr>
        <w:spacing w:line="360" w:lineRule="auto"/>
        <w:ind w:firstLine="422" w:firstLineChars="200"/>
        <w:rPr>
          <w:rFonts w:hint="eastAsia" w:ascii="宋体" w:hAnsi="宋体"/>
          <w:b/>
          <w:bCs/>
        </w:rPr>
      </w:pPr>
      <w:r>
        <w:rPr>
          <w:rFonts w:hint="eastAsia" w:ascii="宋体" w:hAnsi="宋体"/>
          <w:b/>
          <w:bCs/>
        </w:rPr>
        <w:t xml:space="preserve"> 6.合同生效</w:t>
      </w:r>
    </w:p>
    <w:p w14:paraId="56F44E36">
      <w:pPr>
        <w:spacing w:line="360" w:lineRule="auto"/>
        <w:ind w:firstLine="420" w:firstLineChars="200"/>
        <w:rPr>
          <w:rFonts w:hint="eastAsia" w:ascii="宋体" w:hAnsi="宋体"/>
        </w:rPr>
      </w:pPr>
      <w:r>
        <w:rPr>
          <w:rFonts w:hint="eastAsia" w:ascii="宋体" w:hAnsi="宋体"/>
        </w:rPr>
        <w:t>本合同经四方合法代表签字、单位盖章，并在采购人或交易中心收到中标供应商提交的履约保证金后生效。</w:t>
      </w:r>
    </w:p>
    <w:p w14:paraId="053445B9">
      <w:pPr>
        <w:spacing w:line="360" w:lineRule="auto"/>
        <w:rPr>
          <w:rFonts w:hint="eastAsia" w:ascii="宋体" w:hAnsi="宋体"/>
        </w:rPr>
      </w:pPr>
      <w:r>
        <w:rPr>
          <w:rFonts w:hint="eastAsia" w:ascii="宋体" w:hAnsi="宋体"/>
        </w:rPr>
        <w:t xml:space="preserve">采购人（甲方）：                               中标供应商（乙方）：             </w:t>
      </w:r>
    </w:p>
    <w:p w14:paraId="150FD5C3">
      <w:pPr>
        <w:spacing w:line="360" w:lineRule="auto"/>
        <w:rPr>
          <w:rFonts w:hint="eastAsia" w:ascii="宋体" w:hAnsi="宋体"/>
        </w:rPr>
      </w:pPr>
      <w:r>
        <w:rPr>
          <w:rFonts w:hint="eastAsia" w:ascii="宋体" w:hAnsi="宋体"/>
        </w:rPr>
        <w:t xml:space="preserve">单位盖章：                                     单位盖章：         </w:t>
      </w:r>
    </w:p>
    <w:p w14:paraId="43C46730">
      <w:pPr>
        <w:spacing w:line="360" w:lineRule="auto"/>
        <w:rPr>
          <w:rFonts w:hint="eastAsia" w:ascii="宋体" w:hAnsi="宋体"/>
        </w:rPr>
      </w:pPr>
      <w:r>
        <w:rPr>
          <w:rFonts w:hint="eastAsia" w:ascii="宋体" w:hAnsi="宋体"/>
        </w:rPr>
        <w:t>法定代表人或授权人（签字）：                   法定代表人或授权人（签字）：</w:t>
      </w:r>
    </w:p>
    <w:p w14:paraId="5C647A66">
      <w:pPr>
        <w:spacing w:line="360" w:lineRule="auto"/>
        <w:rPr>
          <w:rFonts w:hint="eastAsia" w:ascii="宋体" w:hAnsi="宋体"/>
        </w:rPr>
      </w:pPr>
      <w:r>
        <w:rPr>
          <w:rFonts w:hint="eastAsia" w:ascii="宋体" w:hAnsi="宋体"/>
        </w:rPr>
        <w:t xml:space="preserve">联系电话：                                     联系电话：                  </w:t>
      </w:r>
    </w:p>
    <w:p w14:paraId="7B109931">
      <w:pPr>
        <w:spacing w:line="360" w:lineRule="auto"/>
        <w:rPr>
          <w:rFonts w:hint="eastAsia" w:ascii="宋体" w:hAnsi="宋体"/>
        </w:rPr>
      </w:pPr>
      <w:r>
        <w:rPr>
          <w:rFonts w:hint="eastAsia" w:ascii="宋体" w:hAnsi="宋体"/>
        </w:rPr>
        <w:t xml:space="preserve">开户银行：                                      开户银行：                        </w:t>
      </w:r>
    </w:p>
    <w:p w14:paraId="5E465A9D">
      <w:pPr>
        <w:spacing w:line="360" w:lineRule="auto"/>
        <w:rPr>
          <w:rFonts w:hint="eastAsia" w:ascii="宋体" w:hAnsi="宋体"/>
        </w:rPr>
      </w:pPr>
      <w:r>
        <w:rPr>
          <w:rFonts w:hint="eastAsia" w:ascii="宋体" w:hAnsi="宋体"/>
        </w:rPr>
        <w:t xml:space="preserve">帐号：                                          帐号：                             </w:t>
      </w:r>
    </w:p>
    <w:p w14:paraId="384D71F6">
      <w:pPr>
        <w:spacing w:line="360" w:lineRule="auto"/>
        <w:rPr>
          <w:rFonts w:hint="eastAsia" w:ascii="宋体" w:hAnsi="宋体"/>
        </w:rPr>
      </w:pPr>
      <w:r>
        <w:rPr>
          <w:rFonts w:hint="eastAsia" w:ascii="宋体" w:hAnsi="宋体"/>
        </w:rPr>
        <w:t xml:space="preserve">日期：    年   月   日                         日期：   年    月   日            </w:t>
      </w:r>
    </w:p>
    <w:p w14:paraId="4CD5802C">
      <w:pPr>
        <w:jc w:val="center"/>
        <w:rPr>
          <w:rFonts w:ascii="宋体" w:hAnsi="宋体"/>
          <w:color w:val="000000" w:themeColor="text1"/>
          <w:sz w:val="32"/>
          <w:szCs w:val="32"/>
          <w14:textFill>
            <w14:solidFill>
              <w14:schemeClr w14:val="tx1"/>
            </w14:solidFill>
          </w14:textFill>
        </w:rPr>
      </w:pPr>
    </w:p>
    <w:p w14:paraId="004623F2">
      <w:pPr>
        <w:jc w:val="center"/>
        <w:rPr>
          <w:rFonts w:ascii="宋体" w:hAnsi="宋体"/>
          <w:color w:val="000000" w:themeColor="text1"/>
          <w:sz w:val="32"/>
          <w:szCs w:val="32"/>
          <w14:textFill>
            <w14:solidFill>
              <w14:schemeClr w14:val="tx1"/>
            </w14:solidFill>
          </w14:textFill>
        </w:rPr>
      </w:pPr>
    </w:p>
    <w:p w14:paraId="12DBAA25">
      <w:pPr>
        <w:rPr>
          <w:rFonts w:ascii="宋体" w:hAnsi="宋体"/>
          <w:color w:val="000000" w:themeColor="text1"/>
          <w:sz w:val="32"/>
          <w:szCs w:val="32"/>
          <w14:textFill>
            <w14:solidFill>
              <w14:schemeClr w14:val="tx1"/>
            </w14:solidFill>
          </w14:textFill>
        </w:rPr>
      </w:pPr>
    </w:p>
    <w:p w14:paraId="19AD9004">
      <w:pPr>
        <w:pStyle w:val="11"/>
        <w:rPr>
          <w:rFonts w:ascii="宋体" w:hAnsi="宋体"/>
          <w:color w:val="000000" w:themeColor="text1"/>
          <w:sz w:val="32"/>
          <w:szCs w:val="32"/>
          <w14:textFill>
            <w14:solidFill>
              <w14:schemeClr w14:val="tx1"/>
            </w14:solidFill>
          </w14:textFill>
        </w:rPr>
      </w:pPr>
    </w:p>
    <w:p w14:paraId="6C7165AB">
      <w:pPr>
        <w:pStyle w:val="11"/>
        <w:rPr>
          <w:rFonts w:ascii="宋体" w:hAnsi="宋体"/>
          <w:color w:val="000000" w:themeColor="text1"/>
          <w:sz w:val="32"/>
          <w:szCs w:val="32"/>
          <w14:textFill>
            <w14:solidFill>
              <w14:schemeClr w14:val="tx1"/>
            </w14:solidFill>
          </w14:textFill>
        </w:rPr>
      </w:pPr>
    </w:p>
    <w:p w14:paraId="3D7604C5">
      <w:pPr>
        <w:pStyle w:val="11"/>
        <w:ind w:left="0" w:leftChars="0" w:firstLine="0" w:firstLineChars="0"/>
        <w:rPr>
          <w:rFonts w:ascii="宋体" w:hAnsi="宋体"/>
          <w:color w:val="000000" w:themeColor="text1"/>
          <w:sz w:val="32"/>
          <w:szCs w:val="32"/>
          <w14:textFill>
            <w14:solidFill>
              <w14:schemeClr w14:val="tx1"/>
            </w14:solidFill>
          </w14:textFill>
        </w:rPr>
      </w:pPr>
    </w:p>
    <w:p w14:paraId="4D775B38">
      <w:pPr>
        <w:pStyle w:val="7"/>
        <w:jc w:val="center"/>
        <w:rPr>
          <w:color w:val="000000" w:themeColor="text1"/>
          <w14:textFill>
            <w14:solidFill>
              <w14:schemeClr w14:val="tx1"/>
            </w14:solidFill>
          </w14:textFill>
        </w:rPr>
      </w:pPr>
      <w:bookmarkStart w:id="66" w:name="_Toc14436"/>
      <w:r>
        <w:rPr>
          <w:rFonts w:hint="eastAsia"/>
          <w:color w:val="000000" w:themeColor="text1"/>
          <w14:textFill>
            <w14:solidFill>
              <w14:schemeClr w14:val="tx1"/>
            </w14:solidFill>
          </w14:textFill>
        </w:rPr>
        <w:t>四、合同特殊条款</w:t>
      </w:r>
      <w:bookmarkEnd w:id="66"/>
    </w:p>
    <w:p w14:paraId="3A25F60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（如有）</w:t>
      </w:r>
    </w:p>
    <w:p w14:paraId="637D15A2">
      <w:pPr>
        <w:rPr>
          <w:color w:val="000000" w:themeColor="text1"/>
          <w14:textFill>
            <w14:solidFill>
              <w14:schemeClr w14:val="tx1"/>
            </w14:solidFill>
          </w14:textFill>
        </w:rPr>
      </w:pPr>
    </w:p>
    <w:p w14:paraId="304D8DAC">
      <w:pPr>
        <w:rPr>
          <w:color w:val="000000" w:themeColor="text1"/>
          <w14:textFill>
            <w14:solidFill>
              <w14:schemeClr w14:val="tx1"/>
            </w14:solidFill>
          </w14:textFill>
        </w:rPr>
      </w:pPr>
    </w:p>
    <w:p w14:paraId="480ADC31">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695988E1">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第八章 磋商响应文件</w:t>
      </w:r>
      <w:bookmarkEnd w:id="58"/>
      <w:bookmarkStart w:id="67" w:name="_Toc511898266"/>
      <w:bookmarkEnd w:id="67"/>
    </w:p>
    <w:p w14:paraId="2EB9A7EA">
      <w:pPr>
        <w:ind w:firstLine="3360" w:firstLineChars="1050"/>
        <w:rPr>
          <w:rFonts w:ascii="宋体" w:hAnsi="宋体" w:cs="Arial"/>
          <w:color w:val="000000" w:themeColor="text1"/>
          <w:sz w:val="32"/>
          <w:szCs w:val="32"/>
          <w14:textFill>
            <w14:solidFill>
              <w14:schemeClr w14:val="tx1"/>
            </w14:solidFill>
          </w14:textFill>
        </w:rPr>
      </w:pPr>
    </w:p>
    <w:p w14:paraId="4B7A91AE">
      <w:pPr>
        <w:ind w:firstLine="3360" w:firstLineChars="1050"/>
        <w:rPr>
          <w:rFonts w:ascii="宋体" w:hAnsi="宋体" w:cs="Arial"/>
          <w:color w:val="000000" w:themeColor="text1"/>
          <w:sz w:val="32"/>
          <w:szCs w:val="32"/>
          <w14:textFill>
            <w14:solidFill>
              <w14:schemeClr w14:val="tx1"/>
            </w14:solidFill>
          </w14:textFill>
        </w:rPr>
      </w:pPr>
    </w:p>
    <w:p w14:paraId="45602375">
      <w:pPr>
        <w:rPr>
          <w:rFonts w:ascii="宋体" w:hAnsi="宋体" w:cs="Arial"/>
          <w:color w:val="000000" w:themeColor="text1"/>
          <w:sz w:val="32"/>
          <w:szCs w:val="32"/>
          <w:u w:val="single"/>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项目名称：</w:t>
      </w:r>
    </w:p>
    <w:p w14:paraId="05581816">
      <w:pP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项目编号：</w:t>
      </w:r>
    </w:p>
    <w:p w14:paraId="0D5169B3">
      <w:pPr>
        <w:jc w:val="center"/>
        <w:rPr>
          <w:rFonts w:ascii="宋体" w:hAnsi="宋体" w:cs="Arial"/>
          <w:color w:val="000000" w:themeColor="text1"/>
          <w14:textFill>
            <w14:solidFill>
              <w14:schemeClr w14:val="tx1"/>
            </w14:solidFill>
          </w14:textFill>
        </w:rPr>
      </w:pPr>
    </w:p>
    <w:p w14:paraId="030D12A4">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磋</w:t>
      </w:r>
    </w:p>
    <w:p w14:paraId="73AE2A4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商</w:t>
      </w:r>
    </w:p>
    <w:p w14:paraId="378F911E">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响</w:t>
      </w:r>
    </w:p>
    <w:p w14:paraId="27825116">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应</w:t>
      </w:r>
    </w:p>
    <w:p w14:paraId="22437FFA">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文</w:t>
      </w:r>
    </w:p>
    <w:p w14:paraId="2695840C">
      <w:pPr>
        <w:jc w:val="center"/>
        <w:rPr>
          <w:rFonts w:ascii="黑体" w:eastAsia="黑体" w:cs="Arial"/>
          <w:color w:val="000000" w:themeColor="text1"/>
          <w:sz w:val="52"/>
          <w:szCs w:val="52"/>
          <w14:textFill>
            <w14:solidFill>
              <w14:schemeClr w14:val="tx1"/>
            </w14:solidFill>
          </w14:textFill>
        </w:rPr>
      </w:pPr>
      <w:r>
        <w:rPr>
          <w:rFonts w:hint="eastAsia" w:ascii="黑体" w:eastAsia="黑体" w:cs="Arial"/>
          <w:color w:val="000000" w:themeColor="text1"/>
          <w:sz w:val="52"/>
          <w:szCs w:val="52"/>
          <w14:textFill>
            <w14:solidFill>
              <w14:schemeClr w14:val="tx1"/>
            </w14:solidFill>
          </w14:textFill>
        </w:rPr>
        <w:t>件</w:t>
      </w:r>
    </w:p>
    <w:p w14:paraId="597B8D5D">
      <w:pPr>
        <w:jc w:val="center"/>
        <w:rPr>
          <w:rFonts w:ascii="宋体" w:hAnsi="宋体" w:cs="Arial"/>
          <w:color w:val="000000" w:themeColor="text1"/>
          <w14:textFill>
            <w14:solidFill>
              <w14:schemeClr w14:val="tx1"/>
            </w14:solidFill>
          </w14:textFill>
        </w:rPr>
      </w:pPr>
    </w:p>
    <w:p w14:paraId="75EEC52D">
      <w:pPr>
        <w:jc w:val="center"/>
        <w:rPr>
          <w:rFonts w:ascii="宋体" w:hAnsi="宋体" w:cs="Arial"/>
          <w:b/>
          <w:bCs/>
          <w:color w:val="000000" w:themeColor="text1"/>
          <w:sz w:val="28"/>
          <w:szCs w:val="28"/>
          <w14:textFill>
            <w14:solidFill>
              <w14:schemeClr w14:val="tx1"/>
            </w14:solidFill>
          </w14:textFill>
        </w:rPr>
      </w:pPr>
    </w:p>
    <w:p w14:paraId="4DCC820E">
      <w:pPr>
        <w:jc w:val="center"/>
        <w:rPr>
          <w:rFonts w:ascii="宋体" w:hAnsi="宋体" w:cs="Arial"/>
          <w:color w:val="000000" w:themeColor="text1"/>
          <w14:textFill>
            <w14:solidFill>
              <w14:schemeClr w14:val="tx1"/>
            </w14:solidFill>
          </w14:textFill>
        </w:rPr>
      </w:pPr>
    </w:p>
    <w:p w14:paraId="76B24EA1">
      <w:pPr>
        <w:jc w:val="center"/>
        <w:rPr>
          <w:rFonts w:ascii="宋体" w:hAnsi="宋体" w:cs="Arial"/>
          <w:color w:val="000000" w:themeColor="text1"/>
          <w14:textFill>
            <w14:solidFill>
              <w14:schemeClr w14:val="tx1"/>
            </w14:solidFill>
          </w14:textFill>
        </w:rPr>
      </w:pPr>
    </w:p>
    <w:p w14:paraId="7B0A4F1D">
      <w:pPr>
        <w:ind w:firstLine="640" w:firstLineChars="200"/>
        <w:jc w:val="center"/>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供应商：                  （盖章）</w:t>
      </w:r>
    </w:p>
    <w:p w14:paraId="028994A7">
      <w:pPr>
        <w:ind w:firstLine="2880" w:firstLineChars="900"/>
        <w:rPr>
          <w:rFonts w:ascii="宋体" w:hAnsi="宋体" w:cs="Arial"/>
          <w:color w:val="000000" w:themeColor="text1"/>
          <w:sz w:val="32"/>
          <w:szCs w:val="32"/>
          <w14:textFill>
            <w14:solidFill>
              <w14:schemeClr w14:val="tx1"/>
            </w14:solidFill>
          </w14:textFill>
        </w:rPr>
      </w:pPr>
      <w:r>
        <w:rPr>
          <w:rFonts w:hint="eastAsia" w:ascii="宋体" w:hAnsi="宋体" w:cs="Arial"/>
          <w:color w:val="000000" w:themeColor="text1"/>
          <w:sz w:val="32"/>
          <w:szCs w:val="32"/>
          <w14:textFill>
            <w14:solidFill>
              <w14:schemeClr w14:val="tx1"/>
            </w14:solidFill>
          </w14:textFill>
        </w:rPr>
        <w:t>年      月      日</w:t>
      </w:r>
    </w:p>
    <w:p w14:paraId="4C425555">
      <w:pPr>
        <w:pStyle w:val="33"/>
        <w:rPr>
          <w:color w:val="000000" w:themeColor="text1"/>
          <w14:textFill>
            <w14:solidFill>
              <w14:schemeClr w14:val="tx1"/>
            </w14:solidFill>
          </w14:textFill>
        </w:rPr>
      </w:pPr>
      <w:bookmarkStart w:id="68" w:name="_Toc293560330"/>
      <w:bookmarkEnd w:id="68"/>
      <w:bookmarkStart w:id="69" w:name="_Toc272141473"/>
      <w:bookmarkEnd w:id="69"/>
      <w:bookmarkStart w:id="70" w:name="_Hlk450146465"/>
      <w:bookmarkEnd w:id="70"/>
      <w:bookmarkStart w:id="71" w:name="_Toc19920"/>
      <w:r>
        <w:rPr>
          <w:rFonts w:hint="eastAsia"/>
          <w:color w:val="000000" w:themeColor="text1"/>
          <w14:textFill>
            <w14:solidFill>
              <w14:schemeClr w14:val="tx1"/>
            </w14:solidFill>
          </w14:textFill>
        </w:rPr>
        <w:br w:type="page"/>
      </w:r>
      <w:bookmarkEnd w:id="71"/>
      <w:bookmarkStart w:id="72" w:name="_Toc511899315"/>
      <w:bookmarkEnd w:id="72"/>
      <w:bookmarkStart w:id="73" w:name="_Toc8736"/>
      <w:bookmarkStart w:id="74" w:name="_Toc28461"/>
      <w:r>
        <w:rPr>
          <w:rFonts w:hint="eastAsia"/>
          <w:color w:val="000000" w:themeColor="text1"/>
          <w14:textFill>
            <w14:solidFill>
              <w14:schemeClr w14:val="tx1"/>
            </w14:solidFill>
          </w14:textFill>
        </w:rPr>
        <w:t>一、磋商响应函</w:t>
      </w:r>
      <w:bookmarkEnd w:id="73"/>
      <w:bookmarkEnd w:id="74"/>
    </w:p>
    <w:p w14:paraId="3C054DC7">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528CF65C">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1、根据贵方</w:t>
      </w:r>
      <w:r>
        <w:rPr>
          <w:rFonts w:hint="eastAsia" w:ascii="宋体" w:hAnsi="宋体" w:cs="Arial"/>
          <w:color w:val="000000" w:themeColor="text1"/>
          <w:u w:val="single"/>
          <w14:textFill>
            <w14:solidFill>
              <w14:schemeClr w14:val="tx1"/>
            </w14:solidFill>
          </w14:textFill>
        </w:rPr>
        <w:t xml:space="preserve"> （项目编号） </w:t>
      </w:r>
      <w:r>
        <w:rPr>
          <w:rFonts w:hint="eastAsia" w:ascii="宋体" w:hAnsi="宋体" w:cs="Arial"/>
          <w:color w:val="000000" w:themeColor="text1"/>
          <w14:textFill>
            <w14:solidFill>
              <w14:schemeClr w14:val="tx1"/>
            </w14:solidFill>
          </w14:textFill>
        </w:rPr>
        <w:t>竞争性磋商公告，我们决定参加贵方组织的</w:t>
      </w:r>
      <w:r>
        <w:rPr>
          <w:rFonts w:hint="eastAsia" w:ascii="宋体" w:hAnsi="宋体" w:cs="Arial"/>
          <w:color w:val="000000" w:themeColor="text1"/>
          <w:u w:val="single"/>
          <w14:textFill>
            <w14:solidFill>
              <w14:schemeClr w14:val="tx1"/>
            </w14:solidFill>
          </w14:textFill>
        </w:rPr>
        <w:t xml:space="preserve"> （项目名称）  </w:t>
      </w:r>
      <w:r>
        <w:rPr>
          <w:rFonts w:hint="eastAsia" w:ascii="宋体" w:hAnsi="宋体" w:cs="Arial"/>
          <w:color w:val="000000" w:themeColor="text1"/>
          <w14:textFill>
            <w14:solidFill>
              <w14:schemeClr w14:val="tx1"/>
            </w14:solidFill>
          </w14:textFill>
        </w:rPr>
        <w:t>的采购活动。我方授权</w:t>
      </w:r>
      <w:r>
        <w:rPr>
          <w:rFonts w:hint="eastAsia" w:ascii="宋体" w:hAnsi="宋体" w:cs="Arial"/>
          <w:color w:val="000000" w:themeColor="text1"/>
          <w:u w:val="single"/>
          <w14:textFill>
            <w14:solidFill>
              <w14:schemeClr w14:val="tx1"/>
            </w14:solidFill>
          </w14:textFill>
        </w:rPr>
        <w:t xml:space="preserve">  (姓名和职务)   </w:t>
      </w:r>
      <w:r>
        <w:rPr>
          <w:rFonts w:hint="eastAsia" w:ascii="宋体" w:hAnsi="宋体" w:cs="Arial"/>
          <w:color w:val="000000" w:themeColor="text1"/>
          <w14:textFill>
            <w14:solidFill>
              <w14:schemeClr w14:val="tx1"/>
            </w14:solidFill>
          </w14:textFill>
        </w:rPr>
        <w:t>代表我方</w:t>
      </w:r>
      <w:r>
        <w:rPr>
          <w:rFonts w:hint="eastAsia" w:ascii="宋体" w:hAnsi="宋体" w:cs="Arial"/>
          <w:color w:val="000000" w:themeColor="text1"/>
          <w:u w:val="single"/>
          <w14:textFill>
            <w14:solidFill>
              <w14:schemeClr w14:val="tx1"/>
            </w14:solidFill>
          </w14:textFill>
        </w:rPr>
        <w:t xml:space="preserve">  （供应商全称）   </w:t>
      </w:r>
      <w:r>
        <w:rPr>
          <w:rFonts w:hint="eastAsia" w:ascii="宋体" w:hAnsi="宋体" w:cs="Arial"/>
          <w:color w:val="000000" w:themeColor="text1"/>
          <w14:textFill>
            <w14:solidFill>
              <w14:schemeClr w14:val="tx1"/>
            </w14:solidFill>
          </w14:textFill>
        </w:rPr>
        <w:t>全权处理本项目磋商的有关事宜。</w:t>
      </w:r>
    </w:p>
    <w:p w14:paraId="5D53AA9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2、我方愿意按照竞争性磋商文件规定的各项要求，向采购人提供所需的货物、服务或工程，总报价为人民币（大写）。（￥</w:t>
      </w:r>
      <w:r>
        <w:rPr>
          <w:rFonts w:hint="eastAsia" w:ascii="宋体" w:hAnsi="宋体" w:cs="Arial"/>
          <w:color w:val="000000" w:themeColor="text1"/>
          <w:u w:val="single"/>
          <w14:textFill>
            <w14:solidFill>
              <w14:schemeClr w14:val="tx1"/>
            </w14:solidFill>
          </w14:textFill>
        </w:rPr>
        <w:t>       </w:t>
      </w:r>
      <w:r>
        <w:rPr>
          <w:rFonts w:hint="eastAsia" w:ascii="宋体" w:hAnsi="宋体" w:cs="Arial"/>
          <w:color w:val="000000" w:themeColor="text1"/>
          <w14:textFill>
            <w14:solidFill>
              <w14:schemeClr w14:val="tx1"/>
            </w14:solidFill>
          </w14:textFill>
        </w:rPr>
        <w:t>元）</w:t>
      </w:r>
    </w:p>
    <w:p w14:paraId="0F3FDC8B">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3、一旦我方中标，我方将严格履行合同规定的责任和义务，服务期：</w:t>
      </w:r>
      <w:r>
        <w:rPr>
          <w:rFonts w:hint="eastAsia" w:ascii="宋体" w:hAnsi="宋体" w:cs="Arial"/>
          <w:color w:val="000000" w:themeColor="text1"/>
          <w:lang w:val="en-US" w:eastAsia="zh-CN"/>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日历天。</w:t>
      </w:r>
    </w:p>
    <w:p w14:paraId="2DAF88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4、我方承诺，在磋商有效期内如果我方撤回磋商响应文件或成交后拒绝签订合同，我方将放弃要求贵方退还磋商保证金的权利。</w:t>
      </w:r>
    </w:p>
    <w:p w14:paraId="2C4771B7">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5、我方愿意提供贵方可能另外要求的、与磋商有关的文件资料，并保证我方已提供和将要提供的文件是真实的、准确的。</w:t>
      </w:r>
    </w:p>
    <w:p w14:paraId="64A6BAC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6、我方提供以下开户行、账号，供结算货款（如果成交）：</w:t>
      </w:r>
    </w:p>
    <w:p w14:paraId="42C9AAF8">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户名（全称）：    </w:t>
      </w:r>
    </w:p>
    <w:p w14:paraId="5C1F0709">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开户行：       </w:t>
      </w:r>
    </w:p>
    <w:p w14:paraId="68964649">
      <w:pPr>
        <w:spacing w:line="440" w:lineRule="exact"/>
        <w:ind w:firstLine="482" w:firstLineChars="230"/>
        <w:jc w:val="left"/>
        <w:rPr>
          <w:rFonts w:ascii="宋体" w:hAnsi="宋体"/>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账号（请填写完整）：</w:t>
      </w:r>
      <w:bookmarkStart w:id="75" w:name="_Toc272141474"/>
      <w:bookmarkEnd w:id="75"/>
      <w:bookmarkStart w:id="76" w:name="_Hlk450185103"/>
      <w:bookmarkEnd w:id="76"/>
    </w:p>
    <w:p w14:paraId="61534A45">
      <w:pPr>
        <w:pStyle w:val="35"/>
        <w:widowControl w:val="0"/>
        <w:spacing w:line="440" w:lineRule="atLeast"/>
        <w:ind w:firstLine="367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p>
    <w:p w14:paraId="3929A1A4">
      <w:pPr>
        <w:pStyle w:val="35"/>
        <w:widowControl w:val="0"/>
        <w:spacing w:line="440" w:lineRule="atLeast"/>
        <w:ind w:firstLine="3570" w:firstLineChars="17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（签字或盖章）或代理人签字</w:t>
      </w:r>
      <w:r>
        <w:rPr>
          <w:rFonts w:ascii="宋体" w:hAnsi="宋体"/>
          <w:color w:val="000000" w:themeColor="text1"/>
          <w14:textFill>
            <w14:solidFill>
              <w14:schemeClr w14:val="tx1"/>
            </w14:solidFill>
          </w14:textFill>
        </w:rPr>
        <w:t>：</w:t>
      </w:r>
    </w:p>
    <w:p w14:paraId="150A89F8">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地址：</w:t>
      </w:r>
    </w:p>
    <w:p w14:paraId="0867FF69">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网址：</w:t>
      </w:r>
    </w:p>
    <w:p w14:paraId="6535897A">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电话：</w:t>
      </w:r>
    </w:p>
    <w:p w14:paraId="20BAE81B">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传真：</w:t>
      </w:r>
    </w:p>
    <w:p w14:paraId="3AB325AE">
      <w:pPr>
        <w:pStyle w:val="35"/>
        <w:widowControl w:val="0"/>
        <w:spacing w:line="440" w:lineRule="atLeast"/>
        <w:ind w:firstLine="3675"/>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p w14:paraId="197C2361">
      <w:pPr>
        <w:spacing w:line="440" w:lineRule="exact"/>
        <w:ind w:firstLine="2100" w:firstLineChars="10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p>
    <w:p w14:paraId="6F4E13CA">
      <w:pPr>
        <w:pStyle w:val="33"/>
        <w:ind w:firstLine="422" w:firstLineChars="200"/>
        <w:rPr>
          <w:color w:val="000000" w:themeColor="text1"/>
          <w14:textFill>
            <w14:solidFill>
              <w14:schemeClr w14:val="tx1"/>
            </w14:solidFill>
          </w14:textFill>
        </w:rPr>
      </w:pPr>
      <w:bookmarkStart w:id="77" w:name="_Toc293560334"/>
      <w:bookmarkEnd w:id="77"/>
      <w:bookmarkStart w:id="78" w:name="_Toc272141478"/>
      <w:bookmarkEnd w:id="78"/>
      <w:bookmarkStart w:id="79" w:name="_Toc511899316"/>
      <w:bookmarkEnd w:id="79"/>
      <w:bookmarkStart w:id="80" w:name="_Toc511899317"/>
      <w:bookmarkEnd w:id="80"/>
      <w:bookmarkStart w:id="81" w:name="_Toc17842"/>
      <w:r>
        <w:rPr>
          <w:rFonts w:hint="eastAsia"/>
          <w:color w:val="000000" w:themeColor="text1"/>
          <w14:textFill>
            <w14:solidFill>
              <w14:schemeClr w14:val="tx1"/>
            </w14:solidFill>
          </w14:textFill>
        </w:rPr>
        <w:br w:type="page"/>
      </w:r>
      <w:bookmarkEnd w:id="81"/>
      <w:bookmarkStart w:id="82" w:name="_Toc4648"/>
      <w:permStart w:id="0" w:edGrp="everyone"/>
      <w:r>
        <w:rPr>
          <w:rFonts w:hint="eastAsia"/>
          <w:color w:val="000000" w:themeColor="text1"/>
          <w14:textFill>
            <w14:solidFill>
              <w14:schemeClr w14:val="tx1"/>
            </w14:solidFill>
          </w14:textFill>
        </w:rPr>
        <w:t>二、项目要求响应情况表（服务类项目适用）</w:t>
      </w:r>
      <w:bookmarkEnd w:id="82"/>
    </w:p>
    <w:p w14:paraId="59BE3A71">
      <w:pPr>
        <w:rPr>
          <w:rFonts w:ascii="宋体" w:hAnsi="宋体"/>
          <w:color w:val="000000" w:themeColor="text1"/>
          <w14:textFill>
            <w14:solidFill>
              <w14:schemeClr w14:val="tx1"/>
            </w14:solidFill>
          </w14:textFill>
        </w:rPr>
      </w:pPr>
    </w:p>
    <w:tbl>
      <w:tblPr>
        <w:tblStyle w:val="24"/>
        <w:tblW w:w="8700"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38"/>
        <w:gridCol w:w="2176"/>
        <w:gridCol w:w="1435"/>
      </w:tblGrid>
      <w:tr w14:paraId="654C33B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951" w:type="dxa"/>
            <w:tcBorders>
              <w:top w:val="double" w:color="auto" w:sz="2" w:space="0"/>
              <w:left w:val="double" w:color="auto" w:sz="2" w:space="0"/>
              <w:bottom w:val="single" w:color="auto" w:sz="4" w:space="0"/>
              <w:right w:val="single" w:color="auto" w:sz="4" w:space="0"/>
            </w:tcBorders>
            <w:vAlign w:val="center"/>
          </w:tcPr>
          <w:p w14:paraId="73CC8FFD">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138" w:type="dxa"/>
            <w:tcBorders>
              <w:top w:val="double" w:color="auto" w:sz="2" w:space="0"/>
              <w:left w:val="single" w:color="auto" w:sz="4" w:space="0"/>
              <w:bottom w:val="single" w:color="auto" w:sz="4" w:space="0"/>
              <w:right w:val="single" w:color="auto" w:sz="4" w:space="0"/>
            </w:tcBorders>
            <w:vAlign w:val="center"/>
          </w:tcPr>
          <w:p w14:paraId="40395F76">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176" w:type="dxa"/>
            <w:tcBorders>
              <w:top w:val="double" w:color="auto" w:sz="2" w:space="0"/>
              <w:left w:val="single" w:color="auto" w:sz="4" w:space="0"/>
              <w:bottom w:val="single" w:color="auto" w:sz="4" w:space="0"/>
              <w:right w:val="single" w:color="auto" w:sz="4" w:space="0"/>
            </w:tcBorders>
            <w:vAlign w:val="center"/>
          </w:tcPr>
          <w:p w14:paraId="0A65822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35" w:type="dxa"/>
            <w:tcBorders>
              <w:top w:val="double" w:color="auto" w:sz="2" w:space="0"/>
              <w:left w:val="single" w:color="auto" w:sz="4" w:space="0"/>
              <w:bottom w:val="single" w:color="auto" w:sz="4" w:space="0"/>
              <w:right w:val="double" w:color="auto" w:sz="2" w:space="0"/>
            </w:tcBorders>
            <w:vAlign w:val="center"/>
          </w:tcPr>
          <w:p w14:paraId="70B073F2">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194A3B0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FEA99B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F78C281">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086537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2903E898">
            <w:pPr>
              <w:rPr>
                <w:rFonts w:ascii="宋体" w:hAnsi="宋体" w:cs="Arial"/>
                <w:color w:val="000000" w:themeColor="text1"/>
                <w14:textFill>
                  <w14:solidFill>
                    <w14:schemeClr w14:val="tx1"/>
                  </w14:solidFill>
                </w14:textFill>
              </w:rPr>
            </w:pPr>
          </w:p>
        </w:tc>
      </w:tr>
      <w:tr w14:paraId="53D9BB4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A3AC317">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DA109A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DB4F4E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9E108CD">
            <w:pPr>
              <w:rPr>
                <w:rFonts w:ascii="宋体" w:hAnsi="宋体" w:cs="Arial"/>
                <w:color w:val="000000" w:themeColor="text1"/>
                <w14:textFill>
                  <w14:solidFill>
                    <w14:schemeClr w14:val="tx1"/>
                  </w14:solidFill>
                </w14:textFill>
              </w:rPr>
            </w:pPr>
          </w:p>
        </w:tc>
      </w:tr>
      <w:tr w14:paraId="44784A5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CDDFA37">
            <w:pP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1382017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74FA4CCC">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4D0135F">
            <w:pPr>
              <w:rPr>
                <w:rFonts w:ascii="宋体" w:hAnsi="宋体" w:cs="Arial"/>
                <w:color w:val="000000" w:themeColor="text1"/>
                <w14:textFill>
                  <w14:solidFill>
                    <w14:schemeClr w14:val="tx1"/>
                  </w14:solidFill>
                </w14:textFill>
              </w:rPr>
            </w:pPr>
          </w:p>
        </w:tc>
      </w:tr>
      <w:tr w14:paraId="405796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515B8DC">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516BF6E3">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E9FBF5A">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C4D4D01">
            <w:pPr>
              <w:rPr>
                <w:rFonts w:ascii="宋体" w:hAnsi="宋体" w:cs="Arial"/>
                <w:color w:val="000000" w:themeColor="text1"/>
                <w14:textFill>
                  <w14:solidFill>
                    <w14:schemeClr w14:val="tx1"/>
                  </w14:solidFill>
                </w14:textFill>
              </w:rPr>
            </w:pPr>
          </w:p>
        </w:tc>
      </w:tr>
      <w:tr w14:paraId="25F6044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121A7C91">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FBF69E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33E5715">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1416D9ED">
            <w:pPr>
              <w:rPr>
                <w:rFonts w:ascii="宋体" w:hAnsi="宋体" w:cs="Arial"/>
                <w:color w:val="000000" w:themeColor="text1"/>
                <w14:textFill>
                  <w14:solidFill>
                    <w14:schemeClr w14:val="tx1"/>
                  </w14:solidFill>
                </w14:textFill>
              </w:rPr>
            </w:pPr>
          </w:p>
        </w:tc>
      </w:tr>
      <w:tr w14:paraId="5EE561E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7AD8950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66A2C65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435D4C9B">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0882BFCC">
            <w:pPr>
              <w:rPr>
                <w:rFonts w:ascii="宋体" w:hAnsi="宋体" w:cs="Arial"/>
                <w:color w:val="000000" w:themeColor="text1"/>
                <w14:textFill>
                  <w14:solidFill>
                    <w14:schemeClr w14:val="tx1"/>
                  </w14:solidFill>
                </w14:textFill>
              </w:rPr>
            </w:pPr>
          </w:p>
        </w:tc>
      </w:tr>
      <w:tr w14:paraId="4E62140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30EF8686">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30B8B1F">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22B842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3A4E07F7">
            <w:pPr>
              <w:rPr>
                <w:rFonts w:ascii="宋体" w:hAnsi="宋体" w:cs="Arial"/>
                <w:color w:val="000000" w:themeColor="text1"/>
                <w14:textFill>
                  <w14:solidFill>
                    <w14:schemeClr w14:val="tx1"/>
                  </w14:solidFill>
                </w14:textFill>
              </w:rPr>
            </w:pPr>
          </w:p>
        </w:tc>
      </w:tr>
      <w:tr w14:paraId="69036B8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2C0D4B6D">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4C68DDE7">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615C4179">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4B946B32">
            <w:pPr>
              <w:rPr>
                <w:rFonts w:ascii="宋体" w:hAnsi="宋体" w:cs="Arial"/>
                <w:color w:val="000000" w:themeColor="text1"/>
                <w14:textFill>
                  <w14:solidFill>
                    <w14:schemeClr w14:val="tx1"/>
                  </w14:solidFill>
                </w14:textFill>
              </w:rPr>
            </w:pPr>
          </w:p>
        </w:tc>
      </w:tr>
      <w:tr w14:paraId="7BA51EB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single" w:color="auto" w:sz="4" w:space="0"/>
              <w:right w:val="single" w:color="auto" w:sz="4" w:space="0"/>
            </w:tcBorders>
            <w:vAlign w:val="center"/>
          </w:tcPr>
          <w:p w14:paraId="07D94A98">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single" w:color="auto" w:sz="4" w:space="0"/>
              <w:right w:val="single" w:color="auto" w:sz="4" w:space="0"/>
            </w:tcBorders>
            <w:vAlign w:val="center"/>
          </w:tcPr>
          <w:p w14:paraId="2D6360C9">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single" w:color="auto" w:sz="4" w:space="0"/>
              <w:right w:val="single" w:color="auto" w:sz="4" w:space="0"/>
            </w:tcBorders>
          </w:tcPr>
          <w:p w14:paraId="5F8A6EAD">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single" w:color="auto" w:sz="4" w:space="0"/>
              <w:right w:val="double" w:color="auto" w:sz="2" w:space="0"/>
            </w:tcBorders>
          </w:tcPr>
          <w:p w14:paraId="7696D9ED">
            <w:pPr>
              <w:rPr>
                <w:rFonts w:ascii="宋体" w:hAnsi="宋体" w:cs="Arial"/>
                <w:color w:val="000000" w:themeColor="text1"/>
                <w14:textFill>
                  <w14:solidFill>
                    <w14:schemeClr w14:val="tx1"/>
                  </w14:solidFill>
                </w14:textFill>
              </w:rPr>
            </w:pPr>
          </w:p>
        </w:tc>
      </w:tr>
      <w:tr w14:paraId="1F1D9B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tcBorders>
              <w:top w:val="single" w:color="auto" w:sz="4" w:space="0"/>
              <w:left w:val="double" w:color="auto" w:sz="2" w:space="0"/>
              <w:bottom w:val="double" w:color="auto" w:sz="2" w:space="0"/>
              <w:right w:val="single" w:color="auto" w:sz="4" w:space="0"/>
            </w:tcBorders>
            <w:vAlign w:val="center"/>
          </w:tcPr>
          <w:p w14:paraId="370A20AE">
            <w:pPr>
              <w:jc w:val="center"/>
              <w:rPr>
                <w:rFonts w:ascii="宋体" w:hAnsi="宋体" w:cs="Arial"/>
                <w:color w:val="000000" w:themeColor="text1"/>
                <w14:textFill>
                  <w14:solidFill>
                    <w14:schemeClr w14:val="tx1"/>
                  </w14:solidFill>
                </w14:textFill>
              </w:rPr>
            </w:pPr>
          </w:p>
        </w:tc>
        <w:tc>
          <w:tcPr>
            <w:tcW w:w="3138" w:type="dxa"/>
            <w:tcBorders>
              <w:top w:val="single" w:color="auto" w:sz="4" w:space="0"/>
              <w:left w:val="single" w:color="auto" w:sz="4" w:space="0"/>
              <w:bottom w:val="double" w:color="auto" w:sz="2" w:space="0"/>
              <w:right w:val="single" w:color="auto" w:sz="4" w:space="0"/>
            </w:tcBorders>
          </w:tcPr>
          <w:p w14:paraId="13B86696">
            <w:pPr>
              <w:rPr>
                <w:rFonts w:ascii="宋体" w:hAnsi="宋体" w:cs="Arial"/>
                <w:color w:val="000000" w:themeColor="text1"/>
                <w14:textFill>
                  <w14:solidFill>
                    <w14:schemeClr w14:val="tx1"/>
                  </w14:solidFill>
                </w14:textFill>
              </w:rPr>
            </w:pPr>
          </w:p>
        </w:tc>
        <w:tc>
          <w:tcPr>
            <w:tcW w:w="2176" w:type="dxa"/>
            <w:tcBorders>
              <w:top w:val="single" w:color="auto" w:sz="4" w:space="0"/>
              <w:left w:val="single" w:color="auto" w:sz="4" w:space="0"/>
              <w:bottom w:val="double" w:color="auto" w:sz="2" w:space="0"/>
              <w:right w:val="single" w:color="auto" w:sz="4" w:space="0"/>
            </w:tcBorders>
          </w:tcPr>
          <w:p w14:paraId="37A52268">
            <w:pPr>
              <w:rPr>
                <w:rFonts w:ascii="宋体" w:hAnsi="宋体" w:cs="Arial"/>
                <w:color w:val="000000" w:themeColor="text1"/>
                <w14:textFill>
                  <w14:solidFill>
                    <w14:schemeClr w14:val="tx1"/>
                  </w14:solidFill>
                </w14:textFill>
              </w:rPr>
            </w:pPr>
          </w:p>
        </w:tc>
        <w:tc>
          <w:tcPr>
            <w:tcW w:w="1435" w:type="dxa"/>
            <w:tcBorders>
              <w:top w:val="single" w:color="auto" w:sz="4" w:space="0"/>
              <w:left w:val="single" w:color="auto" w:sz="4" w:space="0"/>
              <w:bottom w:val="double" w:color="auto" w:sz="2" w:space="0"/>
              <w:right w:val="double" w:color="auto" w:sz="2" w:space="0"/>
            </w:tcBorders>
          </w:tcPr>
          <w:p w14:paraId="4DF75943">
            <w:pPr>
              <w:rPr>
                <w:rFonts w:ascii="宋体" w:hAnsi="宋体" w:cs="Arial"/>
                <w:color w:val="000000" w:themeColor="text1"/>
                <w14:textFill>
                  <w14:solidFill>
                    <w14:schemeClr w14:val="tx1"/>
                  </w14:solidFill>
                </w14:textFill>
              </w:rPr>
            </w:pPr>
          </w:p>
        </w:tc>
      </w:tr>
    </w:tbl>
    <w:p w14:paraId="6326153A">
      <w:pPr>
        <w:rPr>
          <w:rFonts w:ascii="宋体" w:hAnsi="宋体" w:cs="Arial"/>
          <w:b/>
          <w:bCs/>
          <w:color w:val="000000" w:themeColor="text1"/>
          <w14:textFill>
            <w14:solidFill>
              <w14:schemeClr w14:val="tx1"/>
            </w14:solidFill>
          </w14:textFill>
        </w:rPr>
      </w:pPr>
    </w:p>
    <w:p w14:paraId="0C791B0B">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4C5CB093">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F6FAF4D">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2、供应商必须根据自己所提供的施工或者服务与“磋商文件要求”的差异情况，实事求是地填写“响应情况”（优于、满足、不满足），并将这些差异内容用加粗的字体显示出来，不得出现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通过改动磋商文件要求而使自已满足要求的情况。</w:t>
      </w:r>
    </w:p>
    <w:p w14:paraId="328BD30B">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7C30E500">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4、本表填报顺序需按磋商文件“第三章第一大项”中的顺序填写。</w:t>
      </w:r>
      <w:bookmarkStart w:id="83" w:name="_Toc293560335"/>
      <w:bookmarkEnd w:id="83"/>
      <w:bookmarkStart w:id="84" w:name="_Toc272141479"/>
      <w:bookmarkEnd w:id="84"/>
      <w:bookmarkStart w:id="85" w:name="_Toc18510"/>
      <w:bookmarkEnd w:id="85"/>
    </w:p>
    <w:p w14:paraId="65BF37E2">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ermEnd w:id="0"/>
      <w:bookmarkStart w:id="86" w:name="_Toc511899318"/>
      <w:bookmarkEnd w:id="86"/>
      <w:bookmarkStart w:id="87" w:name="_Toc23789"/>
      <w:r>
        <w:rPr>
          <w:rFonts w:hint="eastAsia"/>
          <w:color w:val="000000" w:themeColor="text1"/>
          <w14:textFill>
            <w14:solidFill>
              <w14:schemeClr w14:val="tx1"/>
            </w14:solidFill>
          </w14:textFill>
        </w:rPr>
        <w:t>三、商务要求响应情况表（通用）</w:t>
      </w:r>
      <w:bookmarkEnd w:id="87"/>
    </w:p>
    <w:p w14:paraId="02F42408">
      <w:pPr>
        <w:rPr>
          <w:rFonts w:ascii="宋体" w:hAnsi="宋体"/>
          <w:color w:val="000000" w:themeColor="text1"/>
          <w14:textFill>
            <w14:solidFill>
              <w14:schemeClr w14:val="tx1"/>
            </w14:solidFill>
          </w14:textFill>
        </w:rPr>
      </w:pPr>
    </w:p>
    <w:tbl>
      <w:tblPr>
        <w:tblStyle w:val="24"/>
        <w:tblW w:w="8791"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531"/>
        <w:gridCol w:w="1474"/>
      </w:tblGrid>
      <w:tr w14:paraId="2C7CFE3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tcBorders>
              <w:top w:val="double" w:color="auto" w:sz="2" w:space="0"/>
              <w:left w:val="double" w:color="auto" w:sz="2" w:space="0"/>
              <w:bottom w:val="single" w:color="auto" w:sz="4" w:space="0"/>
              <w:right w:val="single" w:color="auto" w:sz="4" w:space="0"/>
            </w:tcBorders>
            <w:vAlign w:val="center"/>
          </w:tcPr>
          <w:p w14:paraId="326B09B9">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序号</w:t>
            </w:r>
          </w:p>
        </w:tc>
        <w:tc>
          <w:tcPr>
            <w:tcW w:w="3544" w:type="dxa"/>
            <w:tcBorders>
              <w:top w:val="double" w:color="auto" w:sz="2" w:space="0"/>
              <w:left w:val="single" w:color="auto" w:sz="4" w:space="0"/>
              <w:bottom w:val="single" w:color="auto" w:sz="4" w:space="0"/>
              <w:right w:val="single" w:color="auto" w:sz="4" w:space="0"/>
            </w:tcBorders>
            <w:vAlign w:val="center"/>
          </w:tcPr>
          <w:p w14:paraId="6EFF4D8B">
            <w:pPr>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磋商文件要求</w:t>
            </w:r>
          </w:p>
        </w:tc>
        <w:tc>
          <w:tcPr>
            <w:tcW w:w="2531" w:type="dxa"/>
            <w:tcBorders>
              <w:top w:val="double" w:color="auto" w:sz="2" w:space="0"/>
              <w:left w:val="single" w:color="auto" w:sz="4" w:space="0"/>
              <w:bottom w:val="single" w:color="auto" w:sz="4" w:space="0"/>
              <w:right w:val="single" w:color="auto" w:sz="4" w:space="0"/>
            </w:tcBorders>
            <w:vAlign w:val="center"/>
          </w:tcPr>
          <w:p w14:paraId="7511E434">
            <w:pPr>
              <w:ind w:firstLine="630" w:firstLineChars="3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供应商填写</w:t>
            </w:r>
          </w:p>
        </w:tc>
        <w:tc>
          <w:tcPr>
            <w:tcW w:w="1474" w:type="dxa"/>
            <w:tcBorders>
              <w:top w:val="double" w:color="auto" w:sz="2" w:space="0"/>
              <w:left w:val="single" w:color="auto" w:sz="4" w:space="0"/>
              <w:bottom w:val="single" w:color="auto" w:sz="4" w:space="0"/>
              <w:right w:val="double" w:color="auto" w:sz="2" w:space="0"/>
            </w:tcBorders>
            <w:vAlign w:val="center"/>
          </w:tcPr>
          <w:p w14:paraId="25639AD6">
            <w:pPr>
              <w:ind w:firstLine="105" w:firstLineChars="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响应情况</w:t>
            </w:r>
          </w:p>
        </w:tc>
      </w:tr>
      <w:tr w14:paraId="5F21BD4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25A2E14">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C977E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1ACE560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0693A29">
            <w:pPr>
              <w:rPr>
                <w:rFonts w:ascii="宋体" w:hAnsi="宋体" w:cs="Arial"/>
                <w:color w:val="000000" w:themeColor="text1"/>
                <w14:textFill>
                  <w14:solidFill>
                    <w14:schemeClr w14:val="tx1"/>
                  </w14:solidFill>
                </w14:textFill>
              </w:rPr>
            </w:pPr>
          </w:p>
        </w:tc>
      </w:tr>
      <w:tr w14:paraId="5E90881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05AB4B9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56E3FA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DB4843D">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68806B96">
            <w:pPr>
              <w:rPr>
                <w:rFonts w:ascii="宋体" w:hAnsi="宋体" w:cs="Arial"/>
                <w:color w:val="000000" w:themeColor="text1"/>
                <w14:textFill>
                  <w14:solidFill>
                    <w14:schemeClr w14:val="tx1"/>
                  </w14:solidFill>
                </w14:textFill>
              </w:rPr>
            </w:pPr>
          </w:p>
        </w:tc>
      </w:tr>
      <w:tr w14:paraId="1C3E32F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B25EBE6">
            <w:pP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6B03989">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3AF1A597">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2D0F84">
            <w:pPr>
              <w:rPr>
                <w:rFonts w:ascii="宋体" w:hAnsi="宋体" w:cs="Arial"/>
                <w:color w:val="000000" w:themeColor="text1"/>
                <w14:textFill>
                  <w14:solidFill>
                    <w14:schemeClr w14:val="tx1"/>
                  </w14:solidFill>
                </w14:textFill>
              </w:rPr>
            </w:pPr>
          </w:p>
        </w:tc>
      </w:tr>
      <w:tr w14:paraId="46841A9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56BF211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71DDC540">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8F4FFDB">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3B9D3A7A">
            <w:pPr>
              <w:rPr>
                <w:rFonts w:ascii="宋体" w:hAnsi="宋体" w:cs="Arial"/>
                <w:color w:val="000000" w:themeColor="text1"/>
                <w14:textFill>
                  <w14:solidFill>
                    <w14:schemeClr w14:val="tx1"/>
                  </w14:solidFill>
                </w14:textFill>
              </w:rPr>
            </w:pPr>
          </w:p>
        </w:tc>
      </w:tr>
      <w:tr w14:paraId="2CA591E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6E00819">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65BD352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0511CF12">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593A3E6A">
            <w:pPr>
              <w:rPr>
                <w:rFonts w:ascii="宋体" w:hAnsi="宋体" w:cs="Arial"/>
                <w:color w:val="000000" w:themeColor="text1"/>
                <w14:textFill>
                  <w14:solidFill>
                    <w14:schemeClr w14:val="tx1"/>
                  </w14:solidFill>
                </w14:textFill>
              </w:rPr>
            </w:pPr>
          </w:p>
        </w:tc>
      </w:tr>
      <w:tr w14:paraId="00591B3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2E0E4E26">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0DBEE00A">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60798F9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7843732B">
            <w:pPr>
              <w:rPr>
                <w:rFonts w:ascii="宋体" w:hAnsi="宋体" w:cs="Arial"/>
                <w:color w:val="000000" w:themeColor="text1"/>
                <w14:textFill>
                  <w14:solidFill>
                    <w14:schemeClr w14:val="tx1"/>
                  </w14:solidFill>
                </w14:textFill>
              </w:rPr>
            </w:pPr>
          </w:p>
        </w:tc>
      </w:tr>
      <w:tr w14:paraId="083BEF00">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49A630B4">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2AFD4258">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5B054F4E">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1DDAE5BE">
            <w:pPr>
              <w:rPr>
                <w:rFonts w:ascii="宋体" w:hAnsi="宋体" w:cs="Arial"/>
                <w:color w:val="000000" w:themeColor="text1"/>
                <w14:textFill>
                  <w14:solidFill>
                    <w14:schemeClr w14:val="tx1"/>
                  </w14:solidFill>
                </w14:textFill>
              </w:rPr>
            </w:pPr>
          </w:p>
        </w:tc>
      </w:tr>
      <w:tr w14:paraId="3096BE2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19F0877C">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11D0D75E">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22A729D5">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0CE8B35C">
            <w:pPr>
              <w:rPr>
                <w:rFonts w:ascii="宋体" w:hAnsi="宋体" w:cs="Arial"/>
                <w:color w:val="000000" w:themeColor="text1"/>
                <w14:textFill>
                  <w14:solidFill>
                    <w14:schemeClr w14:val="tx1"/>
                  </w14:solidFill>
                </w14:textFill>
              </w:rPr>
            </w:pPr>
          </w:p>
        </w:tc>
      </w:tr>
      <w:tr w14:paraId="59F84D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single" w:color="auto" w:sz="4" w:space="0"/>
              <w:right w:val="single" w:color="auto" w:sz="4" w:space="0"/>
            </w:tcBorders>
            <w:vAlign w:val="center"/>
          </w:tcPr>
          <w:p w14:paraId="7166AC9A">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single" w:color="auto" w:sz="4" w:space="0"/>
              <w:right w:val="single" w:color="auto" w:sz="4" w:space="0"/>
            </w:tcBorders>
            <w:vAlign w:val="center"/>
          </w:tcPr>
          <w:p w14:paraId="33193BFC">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single" w:color="auto" w:sz="4" w:space="0"/>
              <w:right w:val="single" w:color="auto" w:sz="4" w:space="0"/>
            </w:tcBorders>
          </w:tcPr>
          <w:p w14:paraId="796C3411">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single" w:color="auto" w:sz="4" w:space="0"/>
              <w:right w:val="double" w:color="auto" w:sz="2" w:space="0"/>
            </w:tcBorders>
          </w:tcPr>
          <w:p w14:paraId="4D4258E5">
            <w:pPr>
              <w:rPr>
                <w:rFonts w:ascii="宋体" w:hAnsi="宋体" w:cs="Arial"/>
                <w:color w:val="000000" w:themeColor="text1"/>
                <w14:textFill>
                  <w14:solidFill>
                    <w14:schemeClr w14:val="tx1"/>
                  </w14:solidFill>
                </w14:textFill>
              </w:rPr>
            </w:pPr>
          </w:p>
        </w:tc>
      </w:tr>
      <w:tr w14:paraId="6B96B26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2" w:type="dxa"/>
            <w:tcBorders>
              <w:top w:val="single" w:color="auto" w:sz="4" w:space="0"/>
              <w:left w:val="double" w:color="auto" w:sz="2" w:space="0"/>
              <w:bottom w:val="double" w:color="auto" w:sz="2" w:space="0"/>
              <w:right w:val="single" w:color="auto" w:sz="4" w:space="0"/>
            </w:tcBorders>
            <w:vAlign w:val="center"/>
          </w:tcPr>
          <w:p w14:paraId="62A09ABE">
            <w:pPr>
              <w:jc w:val="center"/>
              <w:rPr>
                <w:rFonts w:ascii="宋体" w:hAnsi="宋体" w:cs="Arial"/>
                <w:color w:val="000000" w:themeColor="text1"/>
                <w14:textFill>
                  <w14:solidFill>
                    <w14:schemeClr w14:val="tx1"/>
                  </w14:solidFill>
                </w14:textFill>
              </w:rPr>
            </w:pPr>
          </w:p>
        </w:tc>
        <w:tc>
          <w:tcPr>
            <w:tcW w:w="3544" w:type="dxa"/>
            <w:tcBorders>
              <w:top w:val="single" w:color="auto" w:sz="4" w:space="0"/>
              <w:left w:val="single" w:color="auto" w:sz="4" w:space="0"/>
              <w:bottom w:val="double" w:color="auto" w:sz="2" w:space="0"/>
              <w:right w:val="single" w:color="auto" w:sz="4" w:space="0"/>
            </w:tcBorders>
          </w:tcPr>
          <w:p w14:paraId="0B2E1C34">
            <w:pPr>
              <w:rPr>
                <w:rFonts w:ascii="宋体" w:hAnsi="宋体" w:cs="Arial"/>
                <w:color w:val="000000" w:themeColor="text1"/>
                <w14:textFill>
                  <w14:solidFill>
                    <w14:schemeClr w14:val="tx1"/>
                  </w14:solidFill>
                </w14:textFill>
              </w:rPr>
            </w:pPr>
          </w:p>
        </w:tc>
        <w:tc>
          <w:tcPr>
            <w:tcW w:w="2531" w:type="dxa"/>
            <w:tcBorders>
              <w:top w:val="single" w:color="auto" w:sz="4" w:space="0"/>
              <w:left w:val="single" w:color="auto" w:sz="4" w:space="0"/>
              <w:bottom w:val="double" w:color="auto" w:sz="2" w:space="0"/>
              <w:right w:val="single" w:color="auto" w:sz="4" w:space="0"/>
            </w:tcBorders>
          </w:tcPr>
          <w:p w14:paraId="6CB02A3F">
            <w:pPr>
              <w:rPr>
                <w:rFonts w:ascii="宋体" w:hAnsi="宋体" w:cs="Arial"/>
                <w:color w:val="000000" w:themeColor="text1"/>
                <w14:textFill>
                  <w14:solidFill>
                    <w14:schemeClr w14:val="tx1"/>
                  </w14:solidFill>
                </w14:textFill>
              </w:rPr>
            </w:pPr>
          </w:p>
        </w:tc>
        <w:tc>
          <w:tcPr>
            <w:tcW w:w="1474" w:type="dxa"/>
            <w:tcBorders>
              <w:top w:val="single" w:color="auto" w:sz="4" w:space="0"/>
              <w:left w:val="single" w:color="auto" w:sz="4" w:space="0"/>
              <w:bottom w:val="double" w:color="auto" w:sz="2" w:space="0"/>
              <w:right w:val="double" w:color="auto" w:sz="2" w:space="0"/>
            </w:tcBorders>
          </w:tcPr>
          <w:p w14:paraId="77B1F2F8">
            <w:pPr>
              <w:rPr>
                <w:rFonts w:ascii="宋体" w:hAnsi="宋体" w:cs="Arial"/>
                <w:color w:val="000000" w:themeColor="text1"/>
                <w14:textFill>
                  <w14:solidFill>
                    <w14:schemeClr w14:val="tx1"/>
                  </w14:solidFill>
                </w14:textFill>
              </w:rPr>
            </w:pPr>
          </w:p>
        </w:tc>
      </w:tr>
    </w:tbl>
    <w:p w14:paraId="64A7FAC1">
      <w:pPr>
        <w:rPr>
          <w:rFonts w:ascii="宋体" w:hAnsi="宋体" w:cs="Arial"/>
          <w:b/>
          <w:bCs/>
          <w:color w:val="000000" w:themeColor="text1"/>
          <w14:textFill>
            <w14:solidFill>
              <w14:schemeClr w14:val="tx1"/>
            </w14:solidFill>
          </w14:textFill>
        </w:rPr>
      </w:pPr>
    </w:p>
    <w:p w14:paraId="55D56AC8">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注意：</w:t>
      </w:r>
    </w:p>
    <w:p w14:paraId="636EA580">
      <w:pPr>
        <w:ind w:firstLine="420" w:firstLineChars="200"/>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1、供应商必须将自己的服务真实、准确地填入“供应商响应情况”中，</w:t>
      </w:r>
      <w:r>
        <w:rPr>
          <w:rFonts w:hint="eastAsia" w:ascii="宋体" w:hAnsi="宋体"/>
          <w:color w:val="000000" w:themeColor="text1"/>
          <w14:textFill>
            <w14:solidFill>
              <w14:schemeClr w14:val="tx1"/>
            </w14:solidFill>
          </w14:textFill>
        </w:rPr>
        <w:t>不得以“同左”或“同上”形式填写。</w:t>
      </w:r>
    </w:p>
    <w:p w14:paraId="7949C966">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2、供应商必须根据自己所投服务与“磋商文件要求”的差异情况，实事求是地填写“响应情况”（优于、满足、不满足），并将这些差异内容用加粗的字体显示出来，不得出现</w:t>
      </w:r>
      <w:r>
        <w:rPr>
          <w:rFonts w:hint="eastAsia" w:ascii="宋体" w:hAnsi="宋体"/>
          <w:color w:val="000000" w:themeColor="text1"/>
          <w14:textFill>
            <w14:solidFill>
              <w14:schemeClr w14:val="tx1"/>
            </w14:solidFill>
          </w14:textFill>
        </w:rPr>
        <w:t>通过改动磋商文件要求而使自已的产品满足要求的情况。</w:t>
      </w:r>
    </w:p>
    <w:p w14:paraId="347F245F">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3、如果供应商没有按前述要求去做，在项目评审中将可能被认为是未对磋商文件作出实质上的响应，或被视作不诚信供应商而拒绝对其做进一步的评审。</w:t>
      </w:r>
    </w:p>
    <w:p w14:paraId="341F8C84">
      <w:pPr>
        <w:spacing w:line="360" w:lineRule="exact"/>
        <w:ind w:firstLine="420" w:firstLineChars="20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4、本表填报顺序需按磋商文件“第三章第二大项”中的顺序填写。</w:t>
      </w:r>
    </w:p>
    <w:p w14:paraId="24C481B4">
      <w:pPr>
        <w:spacing w:line="360" w:lineRule="exact"/>
        <w:ind w:firstLine="420" w:firstLineChars="200"/>
        <w:rPr>
          <w:rFonts w:ascii="宋体" w:hAnsi="宋体"/>
          <w:color w:val="000000" w:themeColor="text1"/>
          <w14:textFill>
            <w14:solidFill>
              <w14:schemeClr w14:val="tx1"/>
            </w14:solidFill>
          </w14:textFill>
        </w:rPr>
      </w:pPr>
    </w:p>
    <w:p w14:paraId="0C8BE468">
      <w:pPr>
        <w:spacing w:line="360" w:lineRule="exact"/>
        <w:ind w:firstLine="420" w:firstLineChars="200"/>
        <w:rPr>
          <w:rFonts w:ascii="宋体" w:hAnsi="宋体"/>
          <w:color w:val="000000" w:themeColor="text1"/>
          <w14:textFill>
            <w14:solidFill>
              <w14:schemeClr w14:val="tx1"/>
            </w14:solidFill>
          </w14:textFill>
        </w:rPr>
      </w:pPr>
    </w:p>
    <w:p w14:paraId="4BE32060">
      <w:pPr>
        <w:spacing w:line="360" w:lineRule="exact"/>
        <w:ind w:firstLine="420" w:firstLineChars="200"/>
        <w:rPr>
          <w:rFonts w:ascii="宋体" w:hAnsi="宋体"/>
          <w:color w:val="000000" w:themeColor="text1"/>
          <w14:textFill>
            <w14:solidFill>
              <w14:schemeClr w14:val="tx1"/>
            </w14:solidFill>
          </w14:textFill>
        </w:rPr>
      </w:pPr>
    </w:p>
    <w:p w14:paraId="2311CEE1">
      <w:pPr>
        <w:spacing w:line="360" w:lineRule="exact"/>
        <w:ind w:firstLine="420" w:firstLineChars="200"/>
        <w:rPr>
          <w:rFonts w:ascii="宋体" w:hAnsi="宋体"/>
          <w:color w:val="000000" w:themeColor="text1"/>
          <w14:textFill>
            <w14:solidFill>
              <w14:schemeClr w14:val="tx1"/>
            </w14:solidFill>
          </w14:textFill>
        </w:rPr>
      </w:pPr>
    </w:p>
    <w:p w14:paraId="64EA1A6B">
      <w:pPr>
        <w:spacing w:line="360" w:lineRule="exact"/>
        <w:ind w:firstLine="420" w:firstLineChars="200"/>
        <w:rPr>
          <w:rFonts w:ascii="宋体" w:hAnsi="宋体"/>
          <w:color w:val="000000" w:themeColor="text1"/>
          <w14:textFill>
            <w14:solidFill>
              <w14:schemeClr w14:val="tx1"/>
            </w14:solidFill>
          </w14:textFill>
        </w:rPr>
      </w:pPr>
    </w:p>
    <w:p w14:paraId="3AD44150">
      <w:pPr>
        <w:pStyle w:val="33"/>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88" w:name="_Toc511899319"/>
      <w:bookmarkEnd w:id="88"/>
      <w:bookmarkStart w:id="89" w:name="_Toc14379"/>
      <w:r>
        <w:rPr>
          <w:rFonts w:hint="eastAsia"/>
          <w:color w:val="000000" w:themeColor="text1"/>
          <w14:textFill>
            <w14:solidFill>
              <w14:schemeClr w14:val="tx1"/>
            </w14:solidFill>
          </w14:textFill>
        </w:rPr>
        <w:t>四、本项目实施方案</w:t>
      </w:r>
      <w:bookmarkEnd w:id="89"/>
    </w:p>
    <w:p w14:paraId="741DBAD3">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（一）供应商或生产企业简介</w:t>
      </w:r>
    </w:p>
    <w:p w14:paraId="6020602F">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（不超过1000字）</w:t>
      </w:r>
    </w:p>
    <w:p w14:paraId="48AB1A4F">
      <w:pPr>
        <w:spacing w:line="440" w:lineRule="exact"/>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（二）本项目详细实施方案、售后方案等</w:t>
      </w:r>
    </w:p>
    <w:p w14:paraId="21F86E2C">
      <w:pPr>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（详细说明）</w:t>
      </w:r>
    </w:p>
    <w:p w14:paraId="315D477B">
      <w:pPr>
        <w:spacing w:line="440" w:lineRule="exact"/>
        <w:ind w:firstLine="2368" w:firstLineChars="1123"/>
        <w:jc w:val="left"/>
        <w:rPr>
          <w:rFonts w:ascii="宋体" w:hAnsi="宋体"/>
          <w:b/>
          <w:bCs/>
          <w:color w:val="000000" w:themeColor="text1"/>
          <w14:textFill>
            <w14:solidFill>
              <w14:schemeClr w14:val="tx1"/>
            </w14:solidFill>
          </w14:textFill>
        </w:rPr>
      </w:pPr>
    </w:p>
    <w:p w14:paraId="0D6D0AFA">
      <w:pPr>
        <w:pStyle w:val="33"/>
        <w:rPr>
          <w:color w:val="000000" w:themeColor="text1"/>
          <w14:textFill>
            <w14:solidFill>
              <w14:schemeClr w14:val="tx1"/>
            </w14:solidFill>
          </w14:textFill>
        </w:rPr>
      </w:pPr>
      <w:bookmarkStart w:id="90" w:name="_Toc14703"/>
      <w:bookmarkEnd w:id="90"/>
      <w:bookmarkStart w:id="91" w:name="_Hlk450185939"/>
      <w:bookmarkEnd w:id="91"/>
      <w:bookmarkStart w:id="92" w:name="_Toc293560336"/>
      <w:bookmarkEnd w:id="92"/>
      <w:bookmarkStart w:id="93" w:name="_Toc272141480"/>
      <w:bookmarkEnd w:id="93"/>
      <w:bookmarkStart w:id="94" w:name="_Toc511899320"/>
      <w:bookmarkStart w:id="95" w:name="_Toc31502"/>
      <w:r>
        <w:rPr>
          <w:rFonts w:hint="eastAsia"/>
          <w:color w:val="000000" w:themeColor="text1"/>
          <w14:textFill>
            <w14:solidFill>
              <w14:schemeClr w14:val="tx1"/>
            </w14:solidFill>
          </w14:textFill>
        </w:rPr>
        <w:t>五、资格证明文件</w:t>
      </w:r>
      <w:bookmarkEnd w:id="94"/>
      <w:r>
        <w:rPr>
          <w:rFonts w:hint="eastAsia"/>
          <w:color w:val="000000" w:themeColor="text1"/>
          <w14:textFill>
            <w14:solidFill>
              <w14:schemeClr w14:val="tx1"/>
            </w14:solidFill>
          </w14:textFill>
        </w:rPr>
        <w:t>及其他重要资料</w:t>
      </w:r>
      <w:bookmarkEnd w:id="95"/>
    </w:p>
    <w:p w14:paraId="53E529B9">
      <w:pPr>
        <w:spacing w:line="440" w:lineRule="exact"/>
        <w:ind w:firstLine="316" w:firstLineChars="15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供应商必须提供下列文件：</w:t>
      </w:r>
    </w:p>
    <w:p w14:paraId="1AA8B6C8">
      <w:pPr>
        <w:numPr>
          <w:ilvl w:val="0"/>
          <w:numId w:val="11"/>
        </w:num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营业执照、税务登记证</w:t>
      </w:r>
    </w:p>
    <w:p w14:paraId="08DABCBF">
      <w:pP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br w:type="page"/>
      </w:r>
    </w:p>
    <w:p w14:paraId="764BA4B0">
      <w:pPr>
        <w:spacing w:line="440" w:lineRule="exact"/>
        <w:ind w:firstLine="210" w:firstLineChars="100"/>
        <w:jc w:val="left"/>
        <w:rPr>
          <w:rFonts w:ascii="宋体" w:hAnsi="宋体" w:cs="Arial"/>
          <w:b/>
          <w:bCs/>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w:t>
      </w:r>
      <w:r>
        <w:rPr>
          <w:rFonts w:hint="eastAsia" w:ascii="宋体" w:hAnsi="宋体" w:cs="Arial"/>
          <w:b/>
          <w:bCs/>
          <w:color w:val="000000" w:themeColor="text1"/>
          <w14:textFill>
            <w14:solidFill>
              <w14:schemeClr w14:val="tx1"/>
            </w14:solidFill>
          </w14:textFill>
        </w:rPr>
        <w:t>三）法定代表人授权委托书（原件）</w:t>
      </w:r>
    </w:p>
    <w:p w14:paraId="170B7D8B">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（采购人名称）：</w:t>
      </w:r>
    </w:p>
    <w:p w14:paraId="401549DF">
      <w:pPr>
        <w:pStyle w:val="35"/>
        <w:widowControl w:val="0"/>
        <w:topLinePunct/>
        <w:spacing w:line="440" w:lineRule="atLeast"/>
        <w:ind w:firstLine="630" w:firstLineChars="3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（姓名）</w:t>
      </w: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供应商</w:t>
      </w:r>
      <w:r>
        <w:rPr>
          <w:rFonts w:ascii="宋体" w:hAnsi="宋体"/>
          <w:color w:val="000000" w:themeColor="text1"/>
          <w:u w:val="single"/>
          <w14:textFill>
            <w14:solidFill>
              <w14:schemeClr w14:val="tx1"/>
            </w14:solidFill>
          </w14:textFill>
        </w:rPr>
        <w:t>名称）</w:t>
      </w:r>
      <w:r>
        <w:rPr>
          <w:rFonts w:ascii="宋体" w:hAnsi="宋体"/>
          <w:color w:val="000000" w:themeColor="text1"/>
          <w14:textFill>
            <w14:solidFill>
              <w14:schemeClr w14:val="tx1"/>
            </w14:solidFill>
          </w14:textFill>
        </w:rPr>
        <w:t>的法定代表人，现委托</w:t>
      </w:r>
      <w:r>
        <w:rPr>
          <w:rFonts w:ascii="宋体" w:hAnsi="宋体"/>
          <w:color w:val="000000" w:themeColor="text1"/>
          <w:u w:val="single"/>
          <w14:textFill>
            <w14:solidFill>
              <w14:schemeClr w14:val="tx1"/>
            </w14:solidFill>
          </w14:textFill>
        </w:rPr>
        <w:t>（姓名</w:t>
      </w:r>
      <w:r>
        <w:rPr>
          <w:rFonts w:hint="eastAsia" w:ascii="宋体" w:hAnsi="宋体"/>
          <w:color w:val="000000" w:themeColor="text1"/>
          <w:u w:val="single"/>
          <w14:textFill>
            <w14:solidFill>
              <w14:schemeClr w14:val="tx1"/>
            </w14:solidFill>
          </w14:textFill>
        </w:rPr>
        <w:t>、职务</w:t>
      </w:r>
      <w:r>
        <w:rPr>
          <w:rFonts w:ascii="宋体" w:hAnsi="宋体"/>
          <w:color w:val="000000" w:themeColor="text1"/>
          <w:u w:val="single"/>
          <w14:textFill>
            <w14:solidFill>
              <w14:schemeClr w14:val="tx1"/>
            </w14:solidFill>
          </w14:textFill>
        </w:rPr>
        <w:t>）</w:t>
      </w:r>
      <w:r>
        <w:rPr>
          <w:rFonts w:ascii="宋体" w:hAnsi="宋体"/>
          <w:color w:val="000000" w:themeColor="text1"/>
          <w14:textFill>
            <w14:solidFill>
              <w14:schemeClr w14:val="tx1"/>
            </w14:solidFill>
          </w14:textFill>
        </w:rPr>
        <w:t>为我方代理人。代理人根据授权，以我方名义签署、澄清</w:t>
      </w:r>
      <w:r>
        <w:rPr>
          <w:rFonts w:hint="eastAsia" w:ascii="宋体" w:hAnsi="宋体"/>
          <w:color w:val="000000" w:themeColor="text1"/>
          <w14:textFill>
            <w14:solidFill>
              <w14:schemeClr w14:val="tx1"/>
            </w14:solidFill>
          </w14:textFill>
        </w:rPr>
        <w:t>、说明、补正</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提交</w:t>
      </w:r>
      <w:r>
        <w:rPr>
          <w:rFonts w:ascii="宋体" w:hAnsi="宋体"/>
          <w:color w:val="000000" w:themeColor="text1"/>
          <w14:textFill>
            <w14:solidFill>
              <w14:schemeClr w14:val="tx1"/>
            </w14:solidFill>
          </w14:textFill>
        </w:rPr>
        <w:t>、撤回、修改</w:t>
      </w:r>
      <w:r>
        <w:rPr>
          <w:rFonts w:ascii="宋体" w:hAnsi="宋体"/>
          <w:color w:val="000000" w:themeColor="text1"/>
          <w:u w:val="single"/>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、项目编号</w:t>
      </w:r>
      <w:r>
        <w:rPr>
          <w:rFonts w:ascii="宋体" w:hAnsi="宋体"/>
          <w:color w:val="000000" w:themeColor="text1"/>
          <w:u w:val="single"/>
          <w14:textFill>
            <w14:solidFill>
              <w14:schemeClr w14:val="tx1"/>
            </w14:solidFill>
          </w14:textFill>
        </w:rPr>
        <w:t>）</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b/>
          <w:bCs/>
          <w:color w:val="000000" w:themeColor="text1"/>
          <w:u w:val="single"/>
          <w:lang w:val="en-US" w:eastAsia="zh-CN"/>
          <w14:textFill>
            <w14:solidFill>
              <w14:schemeClr w14:val="tx1"/>
            </w14:solidFill>
          </w14:textFill>
        </w:rPr>
        <w:t>一包/二包</w:t>
      </w:r>
      <w:r>
        <w:rPr>
          <w:rFonts w:hint="eastAsia" w:ascii="宋体" w:hAnsi="宋体"/>
          <w:b/>
          <w:bCs/>
          <w:color w:val="000000" w:themeColor="text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磋商响应</w:t>
      </w:r>
      <w:r>
        <w:rPr>
          <w:rFonts w:ascii="宋体" w:hAnsi="宋体"/>
          <w:color w:val="000000" w:themeColor="text1"/>
          <w14:textFill>
            <w14:solidFill>
              <w14:schemeClr w14:val="tx1"/>
            </w14:solidFill>
          </w14:textFill>
        </w:rPr>
        <w:t>文件、签订合同和处理有关事宜，其法律后果由我方承担。</w:t>
      </w:r>
    </w:p>
    <w:p w14:paraId="23495C1C">
      <w:pPr>
        <w:pStyle w:val="35"/>
        <w:widowControl w:val="0"/>
        <w:spacing w:line="440" w:lineRule="atLeas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hint="eastAsia" w:ascii="宋体" w:hAnsi="宋体"/>
          <w:color w:val="000000" w:themeColor="text1"/>
          <w14:textFill>
            <w14:solidFill>
              <w14:schemeClr w14:val="tx1"/>
            </w14:solidFill>
          </w14:textFill>
        </w:rPr>
        <w:t>。</w:t>
      </w:r>
    </w:p>
    <w:p w14:paraId="0BED1483">
      <w:pPr>
        <w:spacing w:line="440" w:lineRule="exact"/>
        <w:ind w:firstLine="420" w:firstLineChars="200"/>
        <w:jc w:val="left"/>
        <w:rPr>
          <w:rFonts w:ascii="宋体" w:hAnsi="宋体" w:cs="Arial"/>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2CFA6BC7">
      <w:pPr>
        <w:spacing w:line="440" w:lineRule="exact"/>
        <w:jc w:val="left"/>
        <w:rPr>
          <w:rFonts w:ascii="宋体" w:hAnsi="宋体" w:cs="Arial"/>
          <w:color w:val="000000" w:themeColor="text1"/>
          <w14:textFill>
            <w14:solidFill>
              <w14:schemeClr w14:val="tx1"/>
            </w14:solidFill>
          </w14:textFill>
        </w:rPr>
      </w:pPr>
    </w:p>
    <w:p w14:paraId="21B4B168">
      <w:pPr>
        <w:spacing w:line="440" w:lineRule="exact"/>
        <w:ind w:firstLine="2520" w:firstLineChars="1200"/>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w:t>
      </w:r>
    </w:p>
    <w:p w14:paraId="68753282">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6E876385">
      <w:pPr>
        <w:spacing w:line="440" w:lineRule="exact"/>
        <w:ind w:firstLine="2205" w:firstLineChars="1050"/>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代理人（被授权人）签字：</w:t>
      </w:r>
    </w:p>
    <w:p w14:paraId="29C2788A">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身份证号码：</w:t>
      </w:r>
    </w:p>
    <w:p w14:paraId="02D117F1">
      <w:pPr>
        <w:spacing w:line="440" w:lineRule="exact"/>
        <w:jc w:val="lef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供应商名称：（</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章</w:t>
      </w:r>
      <w:r>
        <w:rPr>
          <w:rFonts w:hint="eastAsia" w:ascii="宋体" w:hAnsi="宋体" w:cs="Arial"/>
          <w:color w:val="000000" w:themeColor="text1"/>
          <w14:textFill>
            <w14:solidFill>
              <w14:schemeClr w14:val="tx1"/>
            </w14:solidFill>
          </w14:textFill>
        </w:rPr>
        <w:t>）</w:t>
      </w:r>
    </w:p>
    <w:p w14:paraId="29BAFE89">
      <w:pPr>
        <w:spacing w:line="440" w:lineRule="exact"/>
        <w:jc w:val="left"/>
        <w:rPr>
          <w:rFonts w:ascii="宋体" w:hAnsi="宋体" w:cs="Arial"/>
          <w:color w:val="000000" w:themeColor="text1"/>
          <w:u w:val="single"/>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日      期：</w:t>
      </w:r>
    </w:p>
    <w:p w14:paraId="5FAA0853">
      <w:pPr>
        <w:spacing w:line="440" w:lineRule="exact"/>
        <w:jc w:val="left"/>
        <w:rPr>
          <w:rFonts w:ascii="宋体" w:hAnsi="宋体" w:cs="Arial"/>
          <w:color w:val="000000" w:themeColor="text1"/>
          <w14:textFill>
            <w14:solidFill>
              <w14:schemeClr w14:val="tx1"/>
            </w14:solidFill>
          </w14:textFill>
        </w:rPr>
      </w:pPr>
    </w:p>
    <w:p w14:paraId="42A7F9B5">
      <w:pPr>
        <w:spacing w:line="440" w:lineRule="exact"/>
        <w:jc w:val="left"/>
        <w:rPr>
          <w:rFonts w:ascii="宋体" w:hAnsi="宋体" w:cs="Arial"/>
          <w:color w:val="000000" w:themeColor="text1"/>
          <w14:textFill>
            <w14:solidFill>
              <w14:schemeClr w14:val="tx1"/>
            </w14:solidFill>
          </w14:textFill>
        </w:rPr>
      </w:pPr>
    </w:p>
    <w:p w14:paraId="1DEEFA44">
      <w:pPr>
        <w:spacing w:line="440" w:lineRule="exact"/>
        <w:jc w:val="left"/>
        <w:rPr>
          <w:rFonts w:ascii="宋体" w:hAnsi="宋体" w:cs="Arial"/>
          <w:color w:val="000000" w:themeColor="text1"/>
          <w14:textFill>
            <w14:solidFill>
              <w14:schemeClr w14:val="tx1"/>
            </w14:solidFill>
          </w14:textFill>
        </w:rPr>
      </w:pPr>
    </w:p>
    <w:p w14:paraId="2DB0BF35">
      <w:pPr>
        <w:spacing w:line="440" w:lineRule="exact"/>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（需附供应商法定代表人、被授权代表人身份证正反面扫描件）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5A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02C890B1">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身份证正面</w:t>
            </w:r>
          </w:p>
        </w:tc>
        <w:tc>
          <w:tcPr>
            <w:tcW w:w="4261" w:type="dxa"/>
            <w:tcBorders>
              <w:top w:val="single" w:color="auto" w:sz="4" w:space="0"/>
              <w:left w:val="nil"/>
              <w:bottom w:val="single" w:color="auto" w:sz="4" w:space="0"/>
              <w:right w:val="single" w:color="auto" w:sz="4" w:space="0"/>
            </w:tcBorders>
            <w:vAlign w:val="center"/>
          </w:tcPr>
          <w:p w14:paraId="01E77839">
            <w:pPr>
              <w:jc w:val="center"/>
              <w:rPr>
                <w:rFonts w:ascii="仿宋_GB2312" w:eastAsia="仿宋_GB2312"/>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被授权人</w:t>
            </w:r>
            <w:r>
              <w:rPr>
                <w:rFonts w:hint="eastAsia" w:ascii="宋体" w:hAnsi="宋体"/>
                <w:b/>
                <w:bCs/>
                <w:color w:val="000000" w:themeColor="text1"/>
                <w:kern w:val="0"/>
                <w14:textFill>
                  <w14:solidFill>
                    <w14:schemeClr w14:val="tx1"/>
                  </w14:solidFill>
                </w14:textFill>
              </w:rPr>
              <w:t>身份证反面</w:t>
            </w:r>
          </w:p>
        </w:tc>
      </w:tr>
      <w:tr w14:paraId="6D3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40B11006">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45D048D3">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E651609">
      <w:pPr>
        <w:spacing w:line="440" w:lineRule="exact"/>
        <w:ind w:firstLine="211" w:firstLineChars="100"/>
        <w:jc w:val="left"/>
        <w:rPr>
          <w:rFonts w:ascii="宋体" w:hAnsi="宋体" w:cs="Arial"/>
          <w:b/>
          <w:bCs/>
          <w:color w:val="000000" w:themeColor="text1"/>
          <w14:textFill>
            <w14:solidFill>
              <w14:schemeClr w14:val="tx1"/>
            </w14:solidFill>
          </w14:textFill>
        </w:rPr>
      </w:pPr>
    </w:p>
    <w:p w14:paraId="7F6A0928">
      <w:pPr>
        <w:spacing w:line="440" w:lineRule="exact"/>
        <w:ind w:firstLine="211" w:firstLineChars="100"/>
        <w:jc w:val="left"/>
        <w:rPr>
          <w:rFonts w:ascii="宋体" w:hAnsi="宋体" w:cs="Arial"/>
          <w:b/>
          <w:bCs/>
          <w:color w:val="000000" w:themeColor="text1"/>
          <w14:textFill>
            <w14:solidFill>
              <w14:schemeClr w14:val="tx1"/>
            </w14:solidFill>
          </w14:textFill>
        </w:rPr>
      </w:pPr>
      <w:r>
        <w:rPr>
          <w:rFonts w:hint="eastAsia" w:ascii="宋体" w:hAnsi="宋体" w:cs="Arial"/>
          <w:b/>
          <w:bCs/>
          <w:color w:val="000000" w:themeColor="text1"/>
          <w14:textFill>
            <w14:solidFill>
              <w14:schemeClr w14:val="tx1"/>
            </w14:solidFill>
          </w14:textFill>
        </w:rPr>
        <w:t>（四）法定代表人身份证明书</w:t>
      </w:r>
    </w:p>
    <w:p w14:paraId="11DB327E">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p>
    <w:p w14:paraId="50D52467">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单位性质： </w:t>
      </w:r>
    </w:p>
    <w:p w14:paraId="3FE8101B">
      <w:pPr>
        <w:spacing w:line="36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    址：</w:t>
      </w:r>
    </w:p>
    <w:p w14:paraId="7C7AE4D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成立时间：年月日</w:t>
      </w:r>
    </w:p>
    <w:p w14:paraId="0FD4186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经营期限：</w:t>
      </w:r>
    </w:p>
    <w:p w14:paraId="4DB6A17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供应商纳税人识别号：</w:t>
      </w:r>
    </w:p>
    <w:p w14:paraId="5359CCE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姓名：性别：年龄：职务：_</w:t>
      </w:r>
    </w:p>
    <w:p w14:paraId="12FC16BD">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p w14:paraId="4B2C5948">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系（供应商名称）的法定代表人。</w:t>
      </w:r>
    </w:p>
    <w:p w14:paraId="3A8BDDAD">
      <w:pPr>
        <w:spacing w:line="360" w:lineRule="auto"/>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14:paraId="3154C723">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w:t>
      </w:r>
      <w:r>
        <w:rPr>
          <w:rFonts w:ascii="宋体" w:hAnsi="宋体"/>
          <w:color w:val="000000" w:themeColor="text1"/>
          <w14:textFill>
            <w14:solidFill>
              <w14:schemeClr w14:val="tx1"/>
            </w14:solidFill>
          </w14:textFill>
        </w:rPr>
        <w:t>章</w:t>
      </w:r>
      <w:r>
        <w:rPr>
          <w:rFonts w:hint="eastAsia" w:ascii="宋体" w:hAnsi="宋体"/>
          <w:color w:val="000000" w:themeColor="text1"/>
          <w14:textFill>
            <w14:solidFill>
              <w14:schemeClr w14:val="tx1"/>
            </w14:solidFill>
          </w14:textFill>
        </w:rPr>
        <w:t>）</w:t>
      </w:r>
    </w:p>
    <w:p w14:paraId="74C92996">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14:paraId="2811EFB0">
      <w:pPr>
        <w:spacing w:line="360" w:lineRule="auto"/>
        <w:rPr>
          <w:rFonts w:ascii="宋体" w:hAnsi="宋体"/>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D04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tcBorders>
              <w:top w:val="single" w:color="auto" w:sz="4" w:space="0"/>
              <w:left w:val="single" w:color="auto" w:sz="4" w:space="0"/>
              <w:bottom w:val="single" w:color="auto" w:sz="4" w:space="0"/>
              <w:right w:val="single" w:color="auto" w:sz="4" w:space="0"/>
            </w:tcBorders>
            <w:vAlign w:val="center"/>
          </w:tcPr>
          <w:p w14:paraId="5F544512">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法定代表人身份证正面</w:t>
            </w:r>
          </w:p>
        </w:tc>
        <w:tc>
          <w:tcPr>
            <w:tcW w:w="4261" w:type="dxa"/>
            <w:tcBorders>
              <w:top w:val="single" w:color="auto" w:sz="4" w:space="0"/>
              <w:left w:val="nil"/>
              <w:bottom w:val="single" w:color="auto" w:sz="4" w:space="0"/>
              <w:right w:val="single" w:color="auto" w:sz="4" w:space="0"/>
            </w:tcBorders>
            <w:vAlign w:val="center"/>
          </w:tcPr>
          <w:p w14:paraId="3A9889D1">
            <w:pPr>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法定代表人身份证反面</w:t>
            </w:r>
          </w:p>
        </w:tc>
      </w:tr>
    </w:tbl>
    <w:p w14:paraId="10411463">
      <w:pPr>
        <w:spacing w:line="360" w:lineRule="auto"/>
        <w:rPr>
          <w:rFonts w:ascii="宋体" w:hAnsi="宋体"/>
          <w:color w:val="000000" w:themeColor="text1"/>
          <w:sz w:val="24"/>
          <w:szCs w:val="24"/>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br w:type="page"/>
      </w:r>
      <w:r>
        <w:rPr>
          <w:rFonts w:hint="eastAsia" w:ascii="宋体" w:hAnsi="宋体" w:cs="Arial"/>
          <w:b/>
          <w:bCs/>
          <w:color w:val="000000" w:themeColor="text1"/>
          <w:sz w:val="28"/>
          <w:szCs w:val="28"/>
          <w14:textFill>
            <w14:solidFill>
              <w14:schemeClr w14:val="tx1"/>
            </w14:solidFill>
          </w14:textFill>
        </w:rPr>
        <w:t>（五）磋商文件规定的其他材料</w:t>
      </w:r>
    </w:p>
    <w:p w14:paraId="79DD4FDC">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96" w:name="_Toc511898267"/>
      <w:bookmarkEnd w:id="96"/>
      <w:bookmarkStart w:id="97" w:name="_Toc511899322"/>
      <w:bookmarkEnd w:id="97"/>
      <w:r>
        <w:rPr>
          <w:rFonts w:hint="eastAsia"/>
          <w:b/>
          <w:bCs/>
          <w:color w:val="000000" w:themeColor="text1"/>
          <w14:textFill>
            <w14:solidFill>
              <w14:schemeClr w14:val="tx1"/>
            </w14:solidFill>
          </w14:textFill>
        </w:rPr>
        <w:t>一、开标一览表</w:t>
      </w:r>
    </w:p>
    <w:p w14:paraId="13F09BFB">
      <w:pPr>
        <w:rPr>
          <w:rFonts w:ascii="宋体" w:hAnsi="宋体" w:cs="Arial"/>
          <w:b/>
          <w:bCs/>
          <w:color w:val="000000" w:themeColor="text1"/>
          <w14:textFill>
            <w14:solidFill>
              <w14:schemeClr w14:val="tx1"/>
            </w14:solidFill>
          </w14:textFill>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14:paraId="523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732A474E">
            <w:pPr>
              <w:spacing w:line="500" w:lineRule="exact"/>
              <w:jc w:val="center"/>
              <w:rPr>
                <w:rFonts w:ascii="宋体" w:hAnsi="宋体" w:cs="Arial"/>
                <w:color w:val="000000" w:themeColor="text1"/>
                <w14:textFill>
                  <w14:solidFill>
                    <w14:schemeClr w14:val="tx1"/>
                  </w14:solidFill>
                </w14:textFill>
              </w:rPr>
            </w:pPr>
            <w:bookmarkStart w:id="98" w:name="_Hlk450185766"/>
            <w:r>
              <w:rPr>
                <w:rFonts w:hint="eastAsia" w:ascii="宋体" w:hAnsi="宋体" w:cs="Arial"/>
                <w:color w:val="000000" w:themeColor="text1"/>
                <w14:textFill>
                  <w14:solidFill>
                    <w14:schemeClr w14:val="tx1"/>
                  </w14:solidFill>
                </w14:textFill>
              </w:rPr>
              <w:t>标题</w:t>
            </w:r>
            <w:bookmarkEnd w:id="98"/>
          </w:p>
        </w:tc>
        <w:tc>
          <w:tcPr>
            <w:tcW w:w="5202" w:type="dxa"/>
            <w:tcBorders>
              <w:top w:val="double" w:color="auto" w:sz="2" w:space="0"/>
              <w:left w:val="nil"/>
              <w:bottom w:val="single" w:color="auto" w:sz="4" w:space="0"/>
              <w:right w:val="double" w:color="auto" w:sz="2" w:space="0"/>
            </w:tcBorders>
            <w:vAlign w:val="center"/>
          </w:tcPr>
          <w:p w14:paraId="2F9311BC">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内容</w:t>
            </w:r>
          </w:p>
        </w:tc>
      </w:tr>
      <w:tr w14:paraId="6A1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15AFFC6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项目名称</w:t>
            </w:r>
          </w:p>
        </w:tc>
        <w:tc>
          <w:tcPr>
            <w:tcW w:w="5202" w:type="dxa"/>
            <w:tcBorders>
              <w:top w:val="double" w:color="auto" w:sz="2" w:space="0"/>
              <w:left w:val="nil"/>
              <w:bottom w:val="single" w:color="auto" w:sz="4" w:space="0"/>
              <w:right w:val="double" w:color="auto" w:sz="2" w:space="0"/>
            </w:tcBorders>
            <w:vAlign w:val="center"/>
          </w:tcPr>
          <w:p w14:paraId="0DB7E3DC">
            <w:pPr>
              <w:spacing w:line="500" w:lineRule="exact"/>
              <w:rPr>
                <w:rFonts w:ascii="宋体" w:hAnsi="宋体" w:cs="Arial"/>
                <w:color w:val="000000" w:themeColor="text1"/>
                <w14:textFill>
                  <w14:solidFill>
                    <w14:schemeClr w14:val="tx1"/>
                  </w14:solidFill>
                </w14:textFill>
              </w:rPr>
            </w:pPr>
          </w:p>
        </w:tc>
      </w:tr>
      <w:tr w14:paraId="33F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2" w:space="0"/>
              <w:left w:val="double" w:color="auto" w:sz="2" w:space="0"/>
              <w:bottom w:val="single" w:color="auto" w:sz="4" w:space="0"/>
              <w:right w:val="single" w:color="auto" w:sz="4" w:space="0"/>
            </w:tcBorders>
            <w:vAlign w:val="center"/>
          </w:tcPr>
          <w:p w14:paraId="4F2C7530">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项目编号</w:t>
            </w:r>
          </w:p>
        </w:tc>
        <w:tc>
          <w:tcPr>
            <w:tcW w:w="5202" w:type="dxa"/>
            <w:tcBorders>
              <w:top w:val="double" w:color="auto" w:sz="2" w:space="0"/>
              <w:left w:val="nil"/>
              <w:bottom w:val="single" w:color="auto" w:sz="4" w:space="0"/>
              <w:right w:val="double" w:color="auto" w:sz="2" w:space="0"/>
            </w:tcBorders>
            <w:vAlign w:val="center"/>
          </w:tcPr>
          <w:p w14:paraId="02564BF5">
            <w:pPr>
              <w:spacing w:line="500" w:lineRule="exact"/>
              <w:rPr>
                <w:rFonts w:ascii="宋体" w:hAnsi="宋体" w:cs="Arial"/>
                <w:color w:val="000000" w:themeColor="text1"/>
                <w14:textFill>
                  <w14:solidFill>
                    <w14:schemeClr w14:val="tx1"/>
                  </w14:solidFill>
                </w14:textFill>
              </w:rPr>
            </w:pPr>
          </w:p>
        </w:tc>
      </w:tr>
      <w:tr w14:paraId="4972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216308BE">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供应商（盖章）</w:t>
            </w:r>
          </w:p>
        </w:tc>
        <w:tc>
          <w:tcPr>
            <w:tcW w:w="5202" w:type="dxa"/>
            <w:tcBorders>
              <w:top w:val="double" w:color="auto" w:sz="2" w:space="0"/>
              <w:left w:val="nil"/>
              <w:bottom w:val="single" w:color="auto" w:sz="4" w:space="0"/>
              <w:right w:val="double" w:color="auto" w:sz="2" w:space="0"/>
            </w:tcBorders>
            <w:vAlign w:val="center"/>
          </w:tcPr>
          <w:p w14:paraId="0FA299E3">
            <w:pPr>
              <w:spacing w:line="500" w:lineRule="exact"/>
              <w:rPr>
                <w:rFonts w:ascii="宋体" w:hAnsi="宋体" w:cs="Arial"/>
                <w:color w:val="000000" w:themeColor="text1"/>
                <w14:textFill>
                  <w14:solidFill>
                    <w14:schemeClr w14:val="tx1"/>
                  </w14:solidFill>
                </w14:textFill>
              </w:rPr>
            </w:pPr>
          </w:p>
        </w:tc>
      </w:tr>
      <w:tr w14:paraId="258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2" w:space="0"/>
              <w:left w:val="double" w:color="auto" w:sz="2" w:space="0"/>
              <w:bottom w:val="single" w:color="auto" w:sz="4" w:space="0"/>
              <w:right w:val="single" w:color="auto" w:sz="4" w:space="0"/>
            </w:tcBorders>
            <w:vAlign w:val="center"/>
          </w:tcPr>
          <w:p w14:paraId="71167072">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法定代表人（签字或盖章）或</w:t>
            </w:r>
          </w:p>
          <w:p w14:paraId="42A6140B">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被授权人（签字）</w:t>
            </w:r>
          </w:p>
        </w:tc>
        <w:tc>
          <w:tcPr>
            <w:tcW w:w="5202" w:type="dxa"/>
            <w:tcBorders>
              <w:top w:val="double" w:color="auto" w:sz="2" w:space="0"/>
              <w:left w:val="nil"/>
              <w:bottom w:val="single" w:color="auto" w:sz="4" w:space="0"/>
              <w:right w:val="double" w:color="auto" w:sz="2" w:space="0"/>
            </w:tcBorders>
            <w:vAlign w:val="center"/>
          </w:tcPr>
          <w:p w14:paraId="1F878720">
            <w:pPr>
              <w:spacing w:line="500" w:lineRule="exact"/>
              <w:rPr>
                <w:rFonts w:ascii="宋体" w:hAnsi="宋体" w:cs="Arial"/>
                <w:color w:val="000000" w:themeColor="text1"/>
                <w14:textFill>
                  <w14:solidFill>
                    <w14:schemeClr w14:val="tx1"/>
                  </w14:solidFill>
                </w14:textFill>
              </w:rPr>
            </w:pPr>
          </w:p>
        </w:tc>
      </w:tr>
      <w:tr w14:paraId="39C0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2" w:space="0"/>
              <w:bottom w:val="single" w:color="auto" w:sz="4" w:space="0"/>
              <w:right w:val="single" w:color="auto" w:sz="4" w:space="0"/>
            </w:tcBorders>
            <w:vAlign w:val="center"/>
          </w:tcPr>
          <w:p w14:paraId="3B472AD1">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投标总报价（人民币大写）</w:t>
            </w:r>
          </w:p>
        </w:tc>
        <w:tc>
          <w:tcPr>
            <w:tcW w:w="5202" w:type="dxa"/>
            <w:tcBorders>
              <w:top w:val="single" w:color="auto" w:sz="4" w:space="0"/>
              <w:left w:val="nil"/>
              <w:bottom w:val="single" w:color="auto" w:sz="4" w:space="0"/>
              <w:right w:val="double" w:color="auto" w:sz="2" w:space="0"/>
            </w:tcBorders>
            <w:vAlign w:val="center"/>
          </w:tcPr>
          <w:p w14:paraId="4C3AAAB0">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圆</w:t>
            </w:r>
          </w:p>
        </w:tc>
      </w:tr>
      <w:tr w14:paraId="14C1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2" w:space="0"/>
              <w:bottom w:val="single" w:color="auto" w:sz="4" w:space="0"/>
              <w:right w:val="single" w:color="auto" w:sz="4" w:space="0"/>
            </w:tcBorders>
            <w:vAlign w:val="center"/>
          </w:tcPr>
          <w:p w14:paraId="7321B7A8">
            <w:pPr>
              <w:spacing w:line="5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投标总报价（人民币小写）</w:t>
            </w:r>
          </w:p>
        </w:tc>
        <w:tc>
          <w:tcPr>
            <w:tcW w:w="5202" w:type="dxa"/>
            <w:tcBorders>
              <w:top w:val="single" w:color="auto" w:sz="4" w:space="0"/>
              <w:left w:val="nil"/>
              <w:bottom w:val="single" w:color="auto" w:sz="4" w:space="0"/>
              <w:right w:val="double" w:color="auto" w:sz="2" w:space="0"/>
            </w:tcBorders>
            <w:vAlign w:val="center"/>
          </w:tcPr>
          <w:p w14:paraId="0D15552C">
            <w:pPr>
              <w:spacing w:line="5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                                    元</w:t>
            </w:r>
          </w:p>
        </w:tc>
      </w:tr>
    </w:tbl>
    <w:p w14:paraId="79519124">
      <w:pPr>
        <w:ind w:left="7280" w:hanging="7280" w:hangingChars="2600"/>
        <w:rPr>
          <w:rFonts w:ascii="宋体" w:hAnsi="宋体"/>
          <w:color w:val="000000" w:themeColor="text1"/>
          <w:sz w:val="28"/>
          <w:szCs w:val="28"/>
          <w14:textFill>
            <w14:solidFill>
              <w14:schemeClr w14:val="tx1"/>
            </w14:solidFill>
          </w14:textFill>
        </w:rPr>
      </w:pPr>
    </w:p>
    <w:p w14:paraId="6721696A">
      <w:pPr>
        <w:ind w:left="7280" w:hanging="7280" w:hangingChars="2600"/>
        <w:rPr>
          <w:rFonts w:ascii="宋体" w:hAnsi="宋体"/>
          <w:color w:val="000000" w:themeColor="text1"/>
          <w:sz w:val="28"/>
          <w:szCs w:val="28"/>
          <w14:textFill>
            <w14:solidFill>
              <w14:schemeClr w14:val="tx1"/>
            </w14:solidFill>
          </w14:textFill>
        </w:rPr>
      </w:pPr>
    </w:p>
    <w:p w14:paraId="3DDC86D6">
      <w:pPr>
        <w:ind w:left="7280" w:hanging="7280" w:hangingChars="2600"/>
        <w:rPr>
          <w:rFonts w:ascii="宋体" w:hAnsi="宋体"/>
          <w:color w:val="000000" w:themeColor="text1"/>
          <w:sz w:val="28"/>
          <w:szCs w:val="28"/>
          <w14:textFill>
            <w14:solidFill>
              <w14:schemeClr w14:val="tx1"/>
            </w14:solidFill>
          </w14:textFill>
        </w:rPr>
      </w:pPr>
    </w:p>
    <w:p w14:paraId="1F9C0B12">
      <w:pPr>
        <w:ind w:left="7280" w:hanging="7280" w:hangingChars="2600"/>
        <w:rPr>
          <w:rFonts w:ascii="宋体" w:hAnsi="宋体"/>
          <w:color w:val="000000" w:themeColor="text1"/>
          <w:sz w:val="28"/>
          <w:szCs w:val="28"/>
          <w14:textFill>
            <w14:solidFill>
              <w14:schemeClr w14:val="tx1"/>
            </w14:solidFill>
          </w14:textFill>
        </w:rPr>
      </w:pPr>
    </w:p>
    <w:p w14:paraId="0D5A105F">
      <w:pPr>
        <w:jc w:val="center"/>
        <w:rPr>
          <w:b/>
          <w:bCs/>
          <w:color w:val="auto"/>
          <w:sz w:val="30"/>
          <w:szCs w:val="30"/>
        </w:rPr>
      </w:pPr>
      <w:bookmarkStart w:id="99" w:name="_Toc3760"/>
      <w:bookmarkEnd w:id="99"/>
      <w:r>
        <w:rPr>
          <w:rFonts w:hint="eastAsia"/>
          <w:color w:val="000000" w:themeColor="text1"/>
          <w14:textFill>
            <w14:solidFill>
              <w14:schemeClr w14:val="tx1"/>
            </w14:solidFill>
          </w14:textFill>
        </w:rPr>
        <w:br w:type="page"/>
      </w:r>
      <w:bookmarkStart w:id="100" w:name="_Toc511899323"/>
      <w:bookmarkEnd w:id="100"/>
      <w:bookmarkStart w:id="101" w:name="_Toc511899324"/>
      <w:bookmarkEnd w:id="101"/>
      <w:permStart w:id="1" w:edGrp="everyone"/>
      <w:r>
        <w:rPr>
          <w:rFonts w:hint="eastAsia"/>
          <w:b/>
          <w:bCs/>
          <w:color w:val="auto"/>
        </w:rPr>
        <w:t>二、服务分项报价表（服务类项目适用）</w:t>
      </w:r>
    </w:p>
    <w:p w14:paraId="16417A06">
      <w:pPr>
        <w:rPr>
          <w:color w:val="auto"/>
        </w:rPr>
      </w:pPr>
    </w:p>
    <w:tbl>
      <w:tblPr>
        <w:tblStyle w:val="24"/>
        <w:tblW w:w="4998" w:type="pct"/>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036"/>
        <w:gridCol w:w="1201"/>
        <w:gridCol w:w="983"/>
        <w:gridCol w:w="983"/>
        <w:gridCol w:w="984"/>
      </w:tblGrid>
      <w:tr w14:paraId="6242EF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7" w:type="pct"/>
            <w:tcBorders>
              <w:top w:val="double" w:color="auto" w:sz="2" w:space="0"/>
              <w:left w:val="double" w:color="auto" w:sz="2" w:space="0"/>
              <w:bottom w:val="single" w:color="auto" w:sz="4" w:space="0"/>
              <w:right w:val="single" w:color="auto" w:sz="4" w:space="0"/>
            </w:tcBorders>
            <w:vAlign w:val="center"/>
          </w:tcPr>
          <w:p w14:paraId="00C29755">
            <w:pPr>
              <w:jc w:val="center"/>
              <w:rPr>
                <w:rFonts w:ascii="宋体" w:hAnsi="宋体" w:cs="Arial"/>
                <w:color w:val="auto"/>
              </w:rPr>
            </w:pPr>
            <w:r>
              <w:rPr>
                <w:rFonts w:hint="eastAsia" w:ascii="宋体" w:hAnsi="宋体" w:cs="Arial"/>
                <w:color w:val="auto"/>
              </w:rPr>
              <w:t>序号</w:t>
            </w:r>
          </w:p>
        </w:tc>
        <w:tc>
          <w:tcPr>
            <w:tcW w:w="2308" w:type="pct"/>
            <w:tcBorders>
              <w:top w:val="double" w:color="auto" w:sz="2" w:space="0"/>
              <w:left w:val="single" w:color="auto" w:sz="4" w:space="0"/>
              <w:bottom w:val="single" w:color="auto" w:sz="4" w:space="0"/>
              <w:right w:val="single" w:color="auto" w:sz="4" w:space="0"/>
            </w:tcBorders>
            <w:vAlign w:val="center"/>
          </w:tcPr>
          <w:p w14:paraId="7F69AF14">
            <w:pPr>
              <w:jc w:val="center"/>
              <w:rPr>
                <w:rFonts w:ascii="宋体" w:hAnsi="宋体" w:cs="Arial"/>
                <w:color w:val="auto"/>
              </w:rPr>
            </w:pPr>
            <w:r>
              <w:rPr>
                <w:rFonts w:hint="eastAsia" w:ascii="宋体" w:hAnsi="宋体" w:cs="Arial"/>
                <w:color w:val="auto"/>
              </w:rPr>
              <w:t>内容</w:t>
            </w:r>
          </w:p>
        </w:tc>
        <w:tc>
          <w:tcPr>
            <w:tcW w:w="687" w:type="pct"/>
            <w:tcBorders>
              <w:top w:val="double" w:color="auto" w:sz="2" w:space="0"/>
              <w:left w:val="single" w:color="auto" w:sz="4" w:space="0"/>
              <w:bottom w:val="single" w:color="auto" w:sz="4" w:space="0"/>
              <w:right w:val="single" w:color="auto" w:sz="4" w:space="0"/>
            </w:tcBorders>
            <w:vAlign w:val="center"/>
          </w:tcPr>
          <w:p w14:paraId="563F71F5">
            <w:pPr>
              <w:jc w:val="center"/>
              <w:rPr>
                <w:rFonts w:hint="default" w:ascii="宋体" w:hAnsi="宋体" w:eastAsia="宋体" w:cs="Arial"/>
                <w:color w:val="auto"/>
                <w:lang w:val="en-US" w:eastAsia="zh-CN"/>
              </w:rPr>
            </w:pPr>
            <w:r>
              <w:rPr>
                <w:rFonts w:hint="eastAsia" w:ascii="宋体" w:hAnsi="宋体" w:cs="Arial"/>
                <w:color w:val="auto"/>
                <w:lang w:val="en-US" w:eastAsia="zh-CN"/>
              </w:rPr>
              <w:t>数量</w:t>
            </w:r>
          </w:p>
        </w:tc>
        <w:tc>
          <w:tcPr>
            <w:tcW w:w="562" w:type="pct"/>
            <w:tcBorders>
              <w:top w:val="double" w:color="auto" w:sz="2" w:space="0"/>
              <w:left w:val="single" w:color="auto" w:sz="4" w:space="0"/>
              <w:bottom w:val="single" w:color="auto" w:sz="4" w:space="0"/>
              <w:right w:val="double" w:color="auto" w:sz="2" w:space="0"/>
            </w:tcBorders>
            <w:vAlign w:val="center"/>
          </w:tcPr>
          <w:p w14:paraId="267D5B32">
            <w:pPr>
              <w:jc w:val="center"/>
              <w:rPr>
                <w:rFonts w:hint="eastAsia" w:ascii="宋体" w:hAnsi="宋体" w:eastAsia="宋体" w:cs="Arial"/>
                <w:color w:val="auto"/>
                <w:lang w:val="en-US" w:eastAsia="zh-CN"/>
              </w:rPr>
            </w:pPr>
            <w:r>
              <w:rPr>
                <w:rFonts w:hint="eastAsia" w:ascii="宋体" w:hAnsi="宋体" w:cs="Arial"/>
                <w:color w:val="auto"/>
                <w:lang w:val="en-US" w:eastAsia="zh-CN"/>
              </w:rPr>
              <w:t>单价</w:t>
            </w:r>
          </w:p>
        </w:tc>
        <w:tc>
          <w:tcPr>
            <w:tcW w:w="562" w:type="pct"/>
            <w:tcBorders>
              <w:top w:val="double" w:color="auto" w:sz="2" w:space="0"/>
              <w:left w:val="single" w:color="auto" w:sz="4" w:space="0"/>
              <w:bottom w:val="single" w:color="auto" w:sz="4" w:space="0"/>
              <w:right w:val="double" w:color="auto" w:sz="2" w:space="0"/>
            </w:tcBorders>
            <w:vAlign w:val="center"/>
          </w:tcPr>
          <w:p w14:paraId="233BDEF0">
            <w:pPr>
              <w:jc w:val="center"/>
              <w:rPr>
                <w:rFonts w:hint="eastAsia" w:ascii="宋体" w:hAnsi="宋体" w:eastAsia="宋体" w:cs="Arial"/>
                <w:color w:val="auto"/>
                <w:lang w:val="en-US" w:eastAsia="zh-CN"/>
              </w:rPr>
            </w:pPr>
            <w:r>
              <w:rPr>
                <w:rFonts w:hint="eastAsia" w:ascii="宋体" w:hAnsi="宋体" w:cs="Arial"/>
                <w:color w:val="auto"/>
                <w:lang w:val="en-US" w:eastAsia="zh-CN"/>
              </w:rPr>
              <w:t>总价</w:t>
            </w:r>
          </w:p>
        </w:tc>
        <w:tc>
          <w:tcPr>
            <w:tcW w:w="562" w:type="pct"/>
            <w:tcBorders>
              <w:top w:val="double" w:color="auto" w:sz="2" w:space="0"/>
              <w:left w:val="single" w:color="auto" w:sz="4" w:space="0"/>
              <w:bottom w:val="single" w:color="auto" w:sz="4" w:space="0"/>
              <w:right w:val="double" w:color="auto" w:sz="2" w:space="0"/>
            </w:tcBorders>
            <w:vAlign w:val="center"/>
          </w:tcPr>
          <w:p w14:paraId="2E723393">
            <w:pPr>
              <w:jc w:val="center"/>
              <w:rPr>
                <w:rFonts w:ascii="宋体" w:hAnsi="宋体" w:cs="Arial"/>
                <w:color w:val="auto"/>
              </w:rPr>
            </w:pPr>
            <w:r>
              <w:rPr>
                <w:rFonts w:hint="eastAsia" w:ascii="宋体" w:hAnsi="宋体" w:cs="Arial"/>
                <w:color w:val="auto"/>
              </w:rPr>
              <w:t>备注</w:t>
            </w:r>
          </w:p>
        </w:tc>
      </w:tr>
      <w:tr w14:paraId="1F5AB1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04F535E">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4F79CEEC">
            <w:pPr>
              <w:jc w:val="center"/>
              <w:rPr>
                <w:rFonts w:ascii="宋体" w:hAnsi="宋体" w:cs="Arial"/>
                <w:color w:val="auto"/>
              </w:rPr>
            </w:pPr>
            <w:r>
              <w:rPr>
                <w:rFonts w:hint="eastAsia" w:ascii="宋体" w:hAnsi="宋体" w:cs="Arial"/>
                <w:color w:val="auto"/>
              </w:rPr>
              <w:t>拟提供的服务或工程费用</w:t>
            </w:r>
          </w:p>
        </w:tc>
        <w:tc>
          <w:tcPr>
            <w:tcW w:w="687" w:type="pct"/>
            <w:tcBorders>
              <w:top w:val="single" w:color="auto" w:sz="4" w:space="0"/>
              <w:left w:val="single" w:color="auto" w:sz="4" w:space="0"/>
              <w:bottom w:val="single" w:color="auto" w:sz="4" w:space="0"/>
              <w:right w:val="single" w:color="auto" w:sz="4" w:space="0"/>
            </w:tcBorders>
            <w:vAlign w:val="center"/>
          </w:tcPr>
          <w:p w14:paraId="7DF8C4A4">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EC77D68">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43300324">
            <w:pPr>
              <w:jc w:val="center"/>
              <w:rPr>
                <w:rFonts w:ascii="宋体" w:hAnsi="宋体" w:cs="Arial"/>
                <w:color w:val="auto"/>
              </w:rPr>
            </w:pPr>
          </w:p>
        </w:tc>
        <w:tc>
          <w:tcPr>
            <w:tcW w:w="562" w:type="pct"/>
            <w:vMerge w:val="restart"/>
            <w:tcBorders>
              <w:top w:val="single" w:color="auto" w:sz="4" w:space="0"/>
              <w:left w:val="single" w:color="auto" w:sz="4" w:space="0"/>
              <w:bottom w:val="single" w:color="auto" w:sz="4" w:space="0"/>
              <w:right w:val="double" w:color="auto" w:sz="2" w:space="0"/>
            </w:tcBorders>
            <w:vAlign w:val="center"/>
          </w:tcPr>
          <w:p w14:paraId="73D69EA3">
            <w:pPr>
              <w:jc w:val="center"/>
              <w:rPr>
                <w:rFonts w:ascii="宋体" w:hAnsi="宋体" w:cs="Arial"/>
                <w:color w:val="auto"/>
              </w:rPr>
            </w:pPr>
          </w:p>
        </w:tc>
      </w:tr>
      <w:tr w14:paraId="197F8CF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3FB41170">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26CBDF0E">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72AAB359">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3A727196">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1CCB9F20">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25CFA5BC">
            <w:pPr>
              <w:jc w:val="left"/>
              <w:rPr>
                <w:rFonts w:ascii="宋体" w:hAnsi="宋体" w:cs="Arial"/>
                <w:color w:val="auto"/>
              </w:rPr>
            </w:pPr>
          </w:p>
        </w:tc>
      </w:tr>
      <w:tr w14:paraId="782A82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0D24C62">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26D1AF43">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0DBE02EB">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008E49BD">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5A24339C">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78F8C39">
            <w:pPr>
              <w:jc w:val="left"/>
              <w:rPr>
                <w:rFonts w:ascii="宋体" w:hAnsi="宋体" w:cs="Arial"/>
                <w:color w:val="auto"/>
              </w:rPr>
            </w:pPr>
          </w:p>
        </w:tc>
      </w:tr>
      <w:tr w14:paraId="6260FAE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5B6DA1C5">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04808F83">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06176696">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38CC841C">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717447C">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1956831F">
            <w:pPr>
              <w:jc w:val="left"/>
              <w:rPr>
                <w:rFonts w:ascii="宋体" w:hAnsi="宋体" w:cs="Arial"/>
                <w:color w:val="auto"/>
              </w:rPr>
            </w:pPr>
          </w:p>
        </w:tc>
      </w:tr>
      <w:tr w14:paraId="0B7F5C4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78364AC7">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37F0997E">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3480724C">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3BECC567">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29D19A9B">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473247AE">
            <w:pPr>
              <w:jc w:val="left"/>
              <w:rPr>
                <w:rFonts w:ascii="宋体" w:hAnsi="宋体" w:cs="Arial"/>
                <w:color w:val="auto"/>
              </w:rPr>
            </w:pPr>
          </w:p>
        </w:tc>
      </w:tr>
      <w:tr w14:paraId="009EF5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6734201E">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128597D7">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07E147EB">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33596BE8">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1545CDCE">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4D1CE80">
            <w:pPr>
              <w:jc w:val="left"/>
              <w:rPr>
                <w:rFonts w:ascii="宋体" w:hAnsi="宋体" w:cs="Arial"/>
                <w:color w:val="auto"/>
              </w:rPr>
            </w:pPr>
          </w:p>
        </w:tc>
      </w:tr>
      <w:tr w14:paraId="74DD2E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0DD6880">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05B7C936">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29407629">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9180098">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7F384F2">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64A90136">
            <w:pPr>
              <w:jc w:val="left"/>
              <w:rPr>
                <w:rFonts w:ascii="宋体" w:hAnsi="宋体" w:cs="Arial"/>
                <w:color w:val="auto"/>
              </w:rPr>
            </w:pPr>
          </w:p>
        </w:tc>
      </w:tr>
      <w:tr w14:paraId="0BAFF8A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AE390FC">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3FDB737D">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15AA18B6">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2C04BB96">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437AD5F">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7CD55387">
            <w:pPr>
              <w:jc w:val="left"/>
              <w:rPr>
                <w:rFonts w:ascii="宋体" w:hAnsi="宋体" w:cs="Arial"/>
                <w:color w:val="auto"/>
              </w:rPr>
            </w:pPr>
          </w:p>
        </w:tc>
      </w:tr>
      <w:tr w14:paraId="3FE73DB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48C1FCC7">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4E876865">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224E6A3B">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7FA6BC20">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1411919B">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69488E1">
            <w:pPr>
              <w:jc w:val="left"/>
              <w:rPr>
                <w:rFonts w:ascii="宋体" w:hAnsi="宋体" w:cs="Arial"/>
                <w:color w:val="auto"/>
              </w:rPr>
            </w:pPr>
          </w:p>
        </w:tc>
      </w:tr>
      <w:tr w14:paraId="43554A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11CB5838">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01DEC3D8">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4E9111C6">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092CA2D">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74CA890B">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570DAAE9">
            <w:pPr>
              <w:jc w:val="left"/>
              <w:rPr>
                <w:rFonts w:ascii="宋体" w:hAnsi="宋体" w:cs="Arial"/>
                <w:color w:val="auto"/>
              </w:rPr>
            </w:pPr>
          </w:p>
        </w:tc>
      </w:tr>
      <w:tr w14:paraId="69D7EA5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single" w:color="auto" w:sz="4" w:space="0"/>
              <w:right w:val="single" w:color="auto" w:sz="4" w:space="0"/>
            </w:tcBorders>
            <w:vAlign w:val="center"/>
          </w:tcPr>
          <w:p w14:paraId="2716D6A7">
            <w:pPr>
              <w:jc w:val="center"/>
              <w:rPr>
                <w:rFonts w:ascii="宋体" w:hAnsi="宋体" w:cs="Arial"/>
                <w:color w:val="auto"/>
              </w:rPr>
            </w:pPr>
          </w:p>
        </w:tc>
        <w:tc>
          <w:tcPr>
            <w:tcW w:w="2308" w:type="pct"/>
            <w:tcBorders>
              <w:top w:val="single" w:color="auto" w:sz="4" w:space="0"/>
              <w:left w:val="single" w:color="auto" w:sz="4" w:space="0"/>
              <w:bottom w:val="single" w:color="auto" w:sz="4" w:space="0"/>
              <w:right w:val="single" w:color="auto" w:sz="4" w:space="0"/>
            </w:tcBorders>
            <w:vAlign w:val="center"/>
          </w:tcPr>
          <w:p w14:paraId="6F66B097">
            <w:pPr>
              <w:jc w:val="center"/>
              <w:rPr>
                <w:rFonts w:ascii="宋体" w:hAnsi="宋体" w:cs="Arial"/>
                <w:color w:val="auto"/>
              </w:rPr>
            </w:pPr>
          </w:p>
        </w:tc>
        <w:tc>
          <w:tcPr>
            <w:tcW w:w="687" w:type="pct"/>
            <w:tcBorders>
              <w:top w:val="single" w:color="auto" w:sz="4" w:space="0"/>
              <w:left w:val="single" w:color="auto" w:sz="4" w:space="0"/>
              <w:bottom w:val="single" w:color="auto" w:sz="4" w:space="0"/>
              <w:right w:val="single" w:color="auto" w:sz="4" w:space="0"/>
            </w:tcBorders>
            <w:vAlign w:val="center"/>
          </w:tcPr>
          <w:p w14:paraId="110ACF3E">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648D21CD">
            <w:pPr>
              <w:jc w:val="center"/>
              <w:rPr>
                <w:rFonts w:ascii="宋体" w:hAnsi="宋体" w:cs="Arial"/>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314FECCA">
            <w:pPr>
              <w:jc w:val="center"/>
              <w:rPr>
                <w:rFonts w:ascii="宋体" w:hAnsi="宋体" w:cs="Arial"/>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0957AA36">
            <w:pPr>
              <w:jc w:val="left"/>
              <w:rPr>
                <w:rFonts w:ascii="宋体" w:hAnsi="宋体" w:cs="Arial"/>
                <w:color w:val="auto"/>
              </w:rPr>
            </w:pPr>
          </w:p>
        </w:tc>
      </w:tr>
      <w:tr w14:paraId="5EEF8B3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7" w:type="pct"/>
            <w:tcBorders>
              <w:top w:val="single" w:color="auto" w:sz="4" w:space="0"/>
              <w:left w:val="double" w:color="auto" w:sz="2" w:space="0"/>
              <w:bottom w:val="double" w:color="auto" w:sz="2" w:space="0"/>
              <w:right w:val="single" w:color="auto" w:sz="4" w:space="0"/>
            </w:tcBorders>
            <w:vAlign w:val="center"/>
          </w:tcPr>
          <w:p w14:paraId="3BA4EFBD">
            <w:pPr>
              <w:jc w:val="center"/>
              <w:rPr>
                <w:rFonts w:ascii="宋体" w:hAnsi="宋体" w:cs="Arial"/>
                <w:b/>
                <w:bCs/>
                <w:color w:val="auto"/>
              </w:rPr>
            </w:pPr>
            <w:r>
              <w:rPr>
                <w:rFonts w:hint="eastAsia" w:ascii="宋体" w:hAnsi="宋体" w:cs="Arial"/>
                <w:b/>
                <w:bCs/>
                <w:color w:val="auto"/>
              </w:rPr>
              <w:t>合计</w:t>
            </w:r>
          </w:p>
        </w:tc>
        <w:tc>
          <w:tcPr>
            <w:tcW w:w="2308" w:type="pct"/>
            <w:tcBorders>
              <w:top w:val="single" w:color="auto" w:sz="4" w:space="0"/>
              <w:left w:val="single" w:color="auto" w:sz="4" w:space="0"/>
              <w:bottom w:val="double" w:color="auto" w:sz="2" w:space="0"/>
              <w:right w:val="single" w:color="auto" w:sz="4" w:space="0"/>
            </w:tcBorders>
            <w:vAlign w:val="center"/>
          </w:tcPr>
          <w:p w14:paraId="315930DA">
            <w:pPr>
              <w:jc w:val="center"/>
              <w:rPr>
                <w:rFonts w:ascii="宋体" w:hAnsi="宋体" w:cs="Arial"/>
                <w:b/>
                <w:bCs/>
                <w:color w:val="auto"/>
              </w:rPr>
            </w:pPr>
          </w:p>
        </w:tc>
        <w:tc>
          <w:tcPr>
            <w:tcW w:w="687" w:type="pct"/>
            <w:tcBorders>
              <w:top w:val="single" w:color="auto" w:sz="4" w:space="0"/>
              <w:left w:val="single" w:color="auto" w:sz="4" w:space="0"/>
              <w:bottom w:val="double" w:color="auto" w:sz="2" w:space="0"/>
              <w:right w:val="single" w:color="auto" w:sz="4" w:space="0"/>
            </w:tcBorders>
            <w:vAlign w:val="center"/>
          </w:tcPr>
          <w:p w14:paraId="2C41B9AB">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005DB40D">
            <w:pPr>
              <w:jc w:val="center"/>
              <w:rPr>
                <w:rFonts w:ascii="宋体" w:hAnsi="宋体" w:cs="Arial"/>
                <w:b/>
                <w:bCs/>
                <w:color w:val="auto"/>
              </w:rPr>
            </w:pPr>
          </w:p>
        </w:tc>
        <w:tc>
          <w:tcPr>
            <w:tcW w:w="562" w:type="pct"/>
            <w:tcBorders>
              <w:top w:val="single" w:color="auto" w:sz="4" w:space="0"/>
              <w:left w:val="single" w:color="auto" w:sz="4" w:space="0"/>
              <w:bottom w:val="single" w:color="auto" w:sz="4" w:space="0"/>
              <w:right w:val="double" w:color="auto" w:sz="2" w:space="0"/>
            </w:tcBorders>
            <w:vAlign w:val="center"/>
          </w:tcPr>
          <w:p w14:paraId="172A2AE7">
            <w:pPr>
              <w:jc w:val="center"/>
              <w:rPr>
                <w:rFonts w:ascii="宋体" w:hAnsi="宋体" w:cs="Arial"/>
                <w:b/>
                <w:bCs/>
                <w:color w:val="auto"/>
              </w:rPr>
            </w:pPr>
          </w:p>
        </w:tc>
        <w:tc>
          <w:tcPr>
            <w:tcW w:w="562" w:type="pct"/>
            <w:vMerge w:val="continue"/>
            <w:tcBorders>
              <w:top w:val="single" w:color="auto" w:sz="4" w:space="0"/>
              <w:left w:val="single" w:color="auto" w:sz="4" w:space="0"/>
              <w:bottom w:val="single" w:color="auto" w:sz="4" w:space="0"/>
              <w:right w:val="double" w:color="auto" w:sz="2" w:space="0"/>
            </w:tcBorders>
            <w:vAlign w:val="center"/>
          </w:tcPr>
          <w:p w14:paraId="3B9AB3DC">
            <w:pPr>
              <w:jc w:val="left"/>
              <w:rPr>
                <w:rFonts w:ascii="宋体" w:hAnsi="宋体" w:cs="Arial"/>
                <w:color w:val="auto"/>
              </w:rPr>
            </w:pPr>
          </w:p>
        </w:tc>
      </w:tr>
    </w:tbl>
    <w:p w14:paraId="0B8CB352">
      <w:pPr>
        <w:rPr>
          <w:rFonts w:ascii="宋体" w:hAnsi="宋体" w:cs="Arial"/>
          <w:color w:val="auto"/>
        </w:rPr>
      </w:pPr>
    </w:p>
    <w:p w14:paraId="555C314E">
      <w:pPr>
        <w:spacing w:line="520" w:lineRule="exact"/>
        <w:rPr>
          <w:rFonts w:hint="eastAsia" w:ascii="宋体" w:hAnsi="宋体" w:cs="Arial"/>
          <w:b/>
          <w:bCs/>
          <w:color w:val="FF0000"/>
          <w:sz w:val="24"/>
          <w:szCs w:val="24"/>
        </w:rPr>
      </w:pPr>
      <w:r>
        <w:rPr>
          <w:rFonts w:hint="eastAsia" w:ascii="宋体" w:hAnsi="宋体" w:cs="Arial"/>
          <w:b/>
          <w:bCs/>
          <w:color w:val="FF0000"/>
          <w:sz w:val="24"/>
          <w:szCs w:val="24"/>
        </w:rPr>
        <w:t xml:space="preserve"> 注：</w:t>
      </w:r>
      <w:r>
        <w:rPr>
          <w:rFonts w:hint="eastAsia" w:ascii="宋体" w:hAnsi="宋体" w:cs="Arial"/>
          <w:b/>
          <w:bCs/>
          <w:color w:val="FF0000"/>
          <w:sz w:val="24"/>
          <w:szCs w:val="24"/>
          <w:lang w:val="en-US" w:eastAsia="zh-CN"/>
        </w:rPr>
        <w:t>1、</w:t>
      </w:r>
      <w:r>
        <w:rPr>
          <w:rFonts w:hint="eastAsia" w:ascii="宋体" w:hAnsi="宋体" w:cs="Arial"/>
          <w:b/>
          <w:bCs/>
          <w:color w:val="FF0000"/>
          <w:sz w:val="24"/>
          <w:szCs w:val="24"/>
        </w:rPr>
        <w:t>本表应清楚地标明供应商拟提供的服务用等内容，其合计价格应与开标一览表中的总报价保持一致。</w:t>
      </w:r>
    </w:p>
    <w:p w14:paraId="206B563D">
      <w:pPr>
        <w:pStyle w:val="2"/>
        <w:ind w:left="0" w:leftChars="0" w:firstLine="0" w:firstLineChars="0"/>
        <w:rPr>
          <w:rFonts w:hint="default" w:eastAsia="仿宋_GB2312"/>
          <w:b/>
          <w:bCs/>
          <w:color w:val="FF0000"/>
          <w:sz w:val="36"/>
          <w:szCs w:val="24"/>
          <w:lang w:val="en-US" w:eastAsia="zh-CN"/>
        </w:rPr>
      </w:pPr>
      <w:r>
        <w:rPr>
          <w:rFonts w:hint="eastAsia" w:ascii="宋体" w:hAnsi="宋体" w:cs="Arial"/>
          <w:b/>
          <w:bCs/>
          <w:color w:val="FF0000"/>
          <w:sz w:val="36"/>
          <w:szCs w:val="24"/>
          <w:lang w:val="en-US" w:eastAsia="zh-CN"/>
        </w:rPr>
        <w:t xml:space="preserve">   </w:t>
      </w:r>
      <w:r>
        <w:rPr>
          <w:rFonts w:hint="eastAsia" w:ascii="宋体" w:hAnsi="宋体" w:eastAsia="宋体" w:cs="Arial"/>
          <w:b/>
          <w:bCs/>
          <w:color w:val="FF0000"/>
          <w:kern w:val="2"/>
          <w:sz w:val="24"/>
          <w:szCs w:val="24"/>
          <w:lang w:val="en-US" w:eastAsia="zh-CN" w:bidi="ar-SA"/>
        </w:rPr>
        <w:t>2、本项目具体结算金额以实际完成工作量，按中标供应商所报单价据实结算</w:t>
      </w:r>
    </w:p>
    <w:p w14:paraId="1500F24A">
      <w:pPr>
        <w:spacing w:line="520" w:lineRule="exact"/>
        <w:rPr>
          <w:rFonts w:ascii="宋体" w:hAnsi="宋体" w:cs="Arial"/>
          <w:color w:val="0000FF"/>
        </w:rPr>
      </w:pPr>
    </w:p>
    <w:p w14:paraId="7C4CDDC4">
      <w:pPr>
        <w:spacing w:line="520" w:lineRule="exact"/>
        <w:rPr>
          <w:rFonts w:ascii="宋体" w:hAnsi="宋体" w:cs="Arial"/>
          <w:color w:val="000000" w:themeColor="text1"/>
          <w14:textFill>
            <w14:solidFill>
              <w14:schemeClr w14:val="tx1"/>
            </w14:solidFill>
          </w14:textFill>
        </w:rPr>
      </w:pPr>
    </w:p>
    <w:p w14:paraId="45FEE079">
      <w:pPr>
        <w:spacing w:line="520" w:lineRule="exact"/>
        <w:rPr>
          <w:rFonts w:ascii="宋体" w:hAnsi="宋体" w:cs="Arial"/>
          <w:color w:val="000000" w:themeColor="text1"/>
          <w14:textFill>
            <w14:solidFill>
              <w14:schemeClr w14:val="tx1"/>
            </w14:solidFill>
          </w14:textFill>
        </w:rPr>
      </w:pPr>
    </w:p>
    <w:p w14:paraId="7D82A2A1">
      <w:pPr>
        <w:spacing w:line="520" w:lineRule="exact"/>
        <w:rPr>
          <w:rFonts w:ascii="宋体" w:hAnsi="宋体" w:cs="Arial"/>
          <w:color w:val="000000" w:themeColor="text1"/>
          <w14:textFill>
            <w14:solidFill>
              <w14:schemeClr w14:val="tx1"/>
            </w14:solidFill>
          </w14:textFill>
        </w:rPr>
      </w:pPr>
    </w:p>
    <w:p w14:paraId="63C996C8">
      <w:pPr>
        <w:spacing w:line="520" w:lineRule="exact"/>
        <w:rPr>
          <w:rFonts w:ascii="宋体" w:hAnsi="宋体" w:cs="Arial"/>
          <w:color w:val="000000" w:themeColor="text1"/>
          <w14:textFill>
            <w14:solidFill>
              <w14:schemeClr w14:val="tx1"/>
            </w14:solidFill>
          </w14:textFill>
        </w:rPr>
      </w:pPr>
    </w:p>
    <w:p w14:paraId="75A94A28">
      <w:pPr>
        <w:spacing w:line="520" w:lineRule="exact"/>
        <w:rPr>
          <w:rFonts w:ascii="宋体" w:hAnsi="宋体" w:cs="Arial"/>
          <w:color w:val="000000" w:themeColor="text1"/>
          <w14:textFill>
            <w14:solidFill>
              <w14:schemeClr w14:val="tx1"/>
            </w14:solidFill>
          </w14:textFill>
        </w:rPr>
      </w:pPr>
    </w:p>
    <w:p w14:paraId="213B031C">
      <w:pPr>
        <w:spacing w:line="520" w:lineRule="exact"/>
        <w:rPr>
          <w:rFonts w:ascii="宋体" w:hAnsi="宋体" w:cs="Arial"/>
          <w:color w:val="000000" w:themeColor="text1"/>
          <w14:textFill>
            <w14:solidFill>
              <w14:schemeClr w14:val="tx1"/>
            </w14:solidFill>
          </w14:textFill>
        </w:rPr>
      </w:pPr>
    </w:p>
    <w:p w14:paraId="0ECDCA2D">
      <w:pPr>
        <w:pStyle w:val="33"/>
        <w:jc w:val="both"/>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p>
    <w:permEnd w:id="1"/>
    <w:p w14:paraId="4464E789">
      <w:pPr>
        <w:pStyle w:val="36"/>
        <w:ind w:firstLine="843" w:firstLineChars="400"/>
        <w:jc w:val="left"/>
        <w:rPr>
          <w:rFonts w:ascii="Times New Roman"/>
          <w:b/>
          <w:bCs/>
          <w:color w:val="000000" w:themeColor="text1"/>
          <w14:textFill>
            <w14:solidFill>
              <w14:schemeClr w14:val="tx1"/>
            </w14:solidFill>
          </w14:textFill>
        </w:rPr>
      </w:pPr>
      <w:r>
        <w:rPr>
          <w:rFonts w:hint="eastAsia" w:ascii="Times New Roman"/>
          <w:b/>
          <w:bCs/>
          <w:color w:val="000000" w:themeColor="text1"/>
          <w14:textFill>
            <w14:solidFill>
              <w14:schemeClr w14:val="tx1"/>
            </w14:solidFill>
          </w14:textFill>
        </w:rPr>
        <w:t>磋商承诺函</w:t>
      </w:r>
    </w:p>
    <w:p w14:paraId="23E6919C">
      <w:pPr>
        <w:pStyle w:val="36"/>
        <w:spacing w:line="360" w:lineRule="auto"/>
        <w:ind w:left="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（采购人名称）：</w:t>
      </w:r>
    </w:p>
    <w:p w14:paraId="4ADEDB4B">
      <w:pPr>
        <w:pStyle w:val="36"/>
        <w:spacing w:line="360" w:lineRule="auto"/>
        <w:ind w:left="0"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根据贵方发布的竞争性磋商公告，我们决定参加贵方组织的</w:t>
      </w:r>
      <w:r>
        <w:rPr>
          <w:rFonts w:hint="eastAsia"/>
          <w:color w:val="000000" w:themeColor="text1"/>
          <w:u w:val="single"/>
          <w14:textFill>
            <w14:solidFill>
              <w14:schemeClr w14:val="tx1"/>
            </w14:solidFill>
          </w14:textFill>
        </w:rPr>
        <w:t xml:space="preserve"> （项目名称、项目编号） </w:t>
      </w:r>
      <w:r>
        <w:rPr>
          <w:rFonts w:hint="eastAsia"/>
          <w:color w:val="000000" w:themeColor="text1"/>
          <w14:textFill>
            <w14:solidFill>
              <w14:schemeClr w14:val="tx1"/>
            </w14:solidFill>
          </w14:textFill>
        </w:rPr>
        <w:t>的采购活动。</w:t>
      </w:r>
    </w:p>
    <w:p w14:paraId="5EFAA374">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公司郑重承诺如在政府采购活动中存在“有效期内撤销文件、无故放弃中标、弄虚作假、串通投标、不交履约保证金、不签订合同”等违反政府采购相关规定，以及在采购文件中规定磋商保证金不予退还的其他情形，我方愿承担利益受损方的赔偿责任。</w:t>
      </w:r>
    </w:p>
    <w:p w14:paraId="52215BAF">
      <w:pPr>
        <w:pStyle w:val="36"/>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我单位将全面、真实、有效的履行本承诺，如不履行失信行为将被纳入诚信记录，并依法承担相应责任。</w:t>
      </w:r>
    </w:p>
    <w:p w14:paraId="5DC19361">
      <w:pPr>
        <w:pStyle w:val="36"/>
        <w:spacing w:line="360" w:lineRule="auto"/>
        <w:ind w:firstLine="420" w:firstLineChars="200"/>
        <w:rPr>
          <w:color w:val="000000" w:themeColor="text1"/>
          <w14:textFill>
            <w14:solidFill>
              <w14:schemeClr w14:val="tx1"/>
            </w14:solidFill>
          </w14:textFill>
        </w:rPr>
      </w:pPr>
    </w:p>
    <w:p w14:paraId="5014F747">
      <w:pPr>
        <w:pStyle w:val="36"/>
        <w:spacing w:line="360" w:lineRule="auto"/>
        <w:ind w:firstLine="420" w:firstLineChars="200"/>
        <w:rPr>
          <w:color w:val="000000" w:themeColor="text1"/>
          <w14:textFill>
            <w14:solidFill>
              <w14:schemeClr w14:val="tx1"/>
            </w14:solidFill>
          </w14:textFill>
        </w:rPr>
      </w:pPr>
    </w:p>
    <w:p w14:paraId="7A682D9A">
      <w:pPr>
        <w:pStyle w:val="36"/>
        <w:spacing w:line="360" w:lineRule="auto"/>
        <w:ind w:firstLine="420" w:firstLineChars="200"/>
        <w:rPr>
          <w:color w:val="000000" w:themeColor="text1"/>
          <w14:textFill>
            <w14:solidFill>
              <w14:schemeClr w14:val="tx1"/>
            </w14:solidFill>
          </w14:textFill>
        </w:rPr>
      </w:pPr>
    </w:p>
    <w:p w14:paraId="4F21DB63">
      <w:pPr>
        <w:pStyle w:val="36"/>
        <w:spacing w:line="360" w:lineRule="auto"/>
        <w:ind w:firstLine="420" w:firstLineChars="200"/>
        <w:rPr>
          <w:color w:val="000000" w:themeColor="text1"/>
          <w14:textFill>
            <w14:solidFill>
              <w14:schemeClr w14:val="tx1"/>
            </w14:solidFill>
          </w14:textFill>
        </w:rPr>
      </w:pPr>
    </w:p>
    <w:p w14:paraId="1D2161A2">
      <w:pPr>
        <w:pStyle w:val="36"/>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4B1E43B4">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法定代表人或代理人（签字或盖章）：</w:t>
      </w:r>
    </w:p>
    <w:p w14:paraId="65DF1FE3">
      <w:pPr>
        <w:pStyle w:val="36"/>
        <w:spacing w:line="360" w:lineRule="auto"/>
        <w:ind w:firstLine="42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p>
    <w:p w14:paraId="0DC2673D">
      <w:pPr>
        <w:spacing w:line="360" w:lineRule="auto"/>
        <w:rPr>
          <w:rFonts w:ascii="仿宋_GB2312" w:hAnsi="仿宋" w:eastAsia="仿宋_GB2312"/>
          <w:b/>
          <w:bCs/>
          <w:color w:val="000000" w:themeColor="text1"/>
          <w:szCs w:val="28"/>
          <w14:textFill>
            <w14:solidFill>
              <w14:schemeClr w14:val="tx1"/>
            </w14:solidFill>
          </w14:textFill>
        </w:rPr>
      </w:pPr>
    </w:p>
    <w:p w14:paraId="35A88328">
      <w:pPr>
        <w:pStyle w:val="2"/>
        <w:ind w:firstLine="560"/>
        <w:rPr>
          <w:b/>
          <w:bCs/>
          <w:color w:val="000000" w:themeColor="text1"/>
          <w14:textFill>
            <w14:solidFill>
              <w14:schemeClr w14:val="tx1"/>
            </w14:solidFill>
          </w14:textFill>
        </w:rPr>
      </w:pPr>
    </w:p>
    <w:p w14:paraId="4D597AF1">
      <w:pPr>
        <w:rPr>
          <w:color w:val="000000" w:themeColor="text1"/>
          <w14:textFill>
            <w14:solidFill>
              <w14:schemeClr w14:val="tx1"/>
            </w14:solidFill>
          </w14:textFill>
        </w:rPr>
      </w:pPr>
    </w:p>
    <w:p w14:paraId="109E590A">
      <w:pPr>
        <w:rPr>
          <w:color w:val="000000" w:themeColor="text1"/>
          <w14:textFill>
            <w14:solidFill>
              <w14:schemeClr w14:val="tx1"/>
            </w14:solidFill>
          </w14:textFill>
        </w:rPr>
      </w:pPr>
    </w:p>
    <w:p w14:paraId="74296126">
      <w:pPr>
        <w:pStyle w:val="2"/>
        <w:ind w:firstLine="560"/>
        <w:rPr>
          <w:color w:val="000000" w:themeColor="text1"/>
          <w14:textFill>
            <w14:solidFill>
              <w14:schemeClr w14:val="tx1"/>
            </w14:solidFill>
          </w14:textFill>
        </w:rPr>
      </w:pPr>
    </w:p>
    <w:p w14:paraId="1F4603EF">
      <w:pPr>
        <w:pStyle w:val="2"/>
        <w:ind w:firstLine="560"/>
        <w:rPr>
          <w:color w:val="000000" w:themeColor="text1"/>
          <w14:textFill>
            <w14:solidFill>
              <w14:schemeClr w14:val="tx1"/>
            </w14:solidFill>
          </w14:textFill>
        </w:rPr>
      </w:pPr>
    </w:p>
    <w:p w14:paraId="7E86F3D4">
      <w:pPr>
        <w:jc w:val="center"/>
        <w:rPr>
          <w:rFonts w:ascii="宋体" w:hAnsi="宋体" w:cs="Arial"/>
          <w:color w:val="000000" w:themeColor="text1"/>
          <w:sz w:val="32"/>
          <w:szCs w:val="22"/>
          <w14:textFill>
            <w14:solidFill>
              <w14:schemeClr w14:val="tx1"/>
            </w14:solidFill>
          </w14:textFill>
        </w:rPr>
      </w:pPr>
    </w:p>
    <w:p w14:paraId="5A067B1A">
      <w:pPr>
        <w:rPr>
          <w:rFonts w:ascii="宋体" w:hAnsi="宋体" w:cs="Arial"/>
          <w:color w:val="000000" w:themeColor="text1"/>
          <w:sz w:val="32"/>
          <w:szCs w:val="22"/>
          <w:u w:val="single"/>
          <w14:textFill>
            <w14:solidFill>
              <w14:schemeClr w14:val="tx1"/>
            </w14:solidFill>
          </w14:textFill>
        </w:rPr>
      </w:pPr>
      <w:r>
        <w:rPr>
          <w:rFonts w:hint="eastAsia" w:ascii="宋体" w:hAnsi="宋体" w:cs="Arial"/>
          <w:color w:val="000000" w:themeColor="text1"/>
          <w:sz w:val="32"/>
          <w:szCs w:val="22"/>
          <w:u w:val="single"/>
          <w14:textFill>
            <w14:solidFill>
              <w14:schemeClr w14:val="tx1"/>
            </w14:solidFill>
          </w14:textFill>
        </w:rPr>
        <w:br w:type="page"/>
      </w:r>
    </w:p>
    <w:p w14:paraId="5EBCB870">
      <w:pPr>
        <w:jc w:val="center"/>
        <w:rPr>
          <w:rFonts w:ascii="宋体" w:hAnsi="宋体" w:cs="Arial"/>
          <w:color w:val="auto"/>
          <w:sz w:val="32"/>
          <w:szCs w:val="22"/>
        </w:rPr>
      </w:pPr>
      <w:r>
        <w:rPr>
          <w:rFonts w:hint="eastAsia" w:ascii="宋体" w:hAnsi="宋体" w:cs="Arial"/>
          <w:color w:val="auto"/>
          <w:sz w:val="32"/>
          <w:szCs w:val="22"/>
        </w:rPr>
        <w:t>次报价表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24D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C013486">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5D528801">
            <w:pPr>
              <w:rPr>
                <w:rFonts w:ascii="宋体" w:hAnsi="宋体" w:cs="Arial"/>
                <w:color w:val="auto"/>
                <w:sz w:val="24"/>
                <w:szCs w:val="24"/>
              </w:rPr>
            </w:pPr>
          </w:p>
        </w:tc>
      </w:tr>
      <w:tr w14:paraId="5C07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5B335E8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1EC75535">
            <w:pPr>
              <w:rPr>
                <w:rFonts w:ascii="宋体" w:hAnsi="宋体" w:cs="Arial"/>
                <w:color w:val="auto"/>
                <w:sz w:val="24"/>
                <w:szCs w:val="24"/>
              </w:rPr>
            </w:pPr>
          </w:p>
        </w:tc>
      </w:tr>
      <w:tr w14:paraId="2123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4B13C8AB">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4672CD89">
            <w:pPr>
              <w:rPr>
                <w:rFonts w:ascii="宋体" w:hAnsi="宋体" w:cs="Arial"/>
                <w:color w:val="auto"/>
                <w:sz w:val="24"/>
                <w:szCs w:val="24"/>
              </w:rPr>
            </w:pPr>
          </w:p>
        </w:tc>
      </w:tr>
      <w:tr w14:paraId="1B62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5AF5ADA0">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77B0DE33">
            <w:pPr>
              <w:rPr>
                <w:rFonts w:ascii="宋体" w:hAnsi="宋体" w:cs="Arial"/>
                <w:color w:val="auto"/>
                <w:sz w:val="24"/>
                <w:szCs w:val="24"/>
              </w:rPr>
            </w:pPr>
            <w:r>
              <w:rPr>
                <w:rFonts w:hint="eastAsia" w:ascii="宋体" w:hAnsi="宋体" w:cs="Arial"/>
                <w:color w:val="auto"/>
                <w:sz w:val="24"/>
                <w:szCs w:val="24"/>
              </w:rPr>
              <w:t>总价（大写）：</w:t>
            </w:r>
          </w:p>
          <w:p w14:paraId="1309321C">
            <w:pPr>
              <w:rPr>
                <w:rFonts w:ascii="宋体" w:hAnsi="宋体" w:cs="Arial"/>
                <w:color w:val="auto"/>
                <w:sz w:val="24"/>
                <w:szCs w:val="24"/>
              </w:rPr>
            </w:pPr>
          </w:p>
          <w:p w14:paraId="67B6C6D4">
            <w:pPr>
              <w:rPr>
                <w:rFonts w:ascii="宋体" w:hAnsi="宋体" w:cs="Arial"/>
                <w:color w:val="auto"/>
                <w:sz w:val="24"/>
                <w:szCs w:val="24"/>
              </w:rPr>
            </w:pPr>
            <w:r>
              <w:rPr>
                <w:rFonts w:hint="eastAsia" w:ascii="宋体" w:hAnsi="宋体" w:cs="Arial"/>
                <w:color w:val="auto"/>
                <w:sz w:val="24"/>
                <w:szCs w:val="24"/>
              </w:rPr>
              <w:t xml:space="preserve">    （小写）：                    </w:t>
            </w:r>
          </w:p>
        </w:tc>
      </w:tr>
      <w:tr w14:paraId="0F56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4E61274">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3B3C9E62">
            <w:pPr>
              <w:rPr>
                <w:rFonts w:ascii="宋体" w:hAnsi="宋体" w:cs="Arial"/>
                <w:color w:val="auto"/>
                <w:sz w:val="24"/>
                <w:szCs w:val="24"/>
              </w:rPr>
            </w:pPr>
            <w:r>
              <w:rPr>
                <w:rFonts w:hint="eastAsia" w:ascii="宋体" w:hAnsi="宋体" w:cs="Arial"/>
                <w:color w:val="auto"/>
                <w:sz w:val="24"/>
                <w:szCs w:val="24"/>
              </w:rPr>
              <w:t>请填写“响应”或者“不响应”</w:t>
            </w:r>
          </w:p>
        </w:tc>
      </w:tr>
      <w:tr w14:paraId="683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55428A7F">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72CC24C9">
            <w:pPr>
              <w:rPr>
                <w:rFonts w:ascii="宋体" w:hAnsi="宋体" w:cs="Arial"/>
                <w:color w:val="auto"/>
                <w:sz w:val="24"/>
                <w:szCs w:val="24"/>
              </w:rPr>
            </w:pPr>
          </w:p>
        </w:tc>
      </w:tr>
    </w:tbl>
    <w:p w14:paraId="7F7D4A4A">
      <w:pPr>
        <w:spacing w:line="360" w:lineRule="auto"/>
        <w:rPr>
          <w:rFonts w:ascii="宋体" w:hAnsi="宋体" w:cs="Arial"/>
          <w:color w:val="auto"/>
          <w:sz w:val="24"/>
          <w:szCs w:val="24"/>
        </w:rPr>
      </w:pPr>
    </w:p>
    <w:p w14:paraId="616C4635">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117DD6C4">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1E83C61F">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89AB61">
      <w:pPr>
        <w:pStyle w:val="2"/>
        <w:rPr>
          <w:rFonts w:hint="eastAsia" w:ascii="宋体" w:hAnsi="宋体" w:cs="Arial"/>
          <w:color w:val="0000FF"/>
          <w:sz w:val="24"/>
          <w:szCs w:val="24"/>
        </w:rPr>
      </w:pPr>
    </w:p>
    <w:p w14:paraId="20129083">
      <w:pPr>
        <w:pStyle w:val="2"/>
        <w:rPr>
          <w:rFonts w:hint="eastAsia" w:ascii="宋体" w:hAnsi="宋体" w:cs="Arial"/>
          <w:color w:val="0000FF"/>
          <w:sz w:val="24"/>
          <w:szCs w:val="24"/>
        </w:rPr>
      </w:pPr>
    </w:p>
    <w:p w14:paraId="3E4EB34C">
      <w:pPr>
        <w:pStyle w:val="2"/>
        <w:rPr>
          <w:rFonts w:hint="eastAsia" w:ascii="宋体" w:hAnsi="宋体" w:cs="Arial"/>
          <w:color w:val="0000FF"/>
          <w:sz w:val="24"/>
          <w:szCs w:val="24"/>
        </w:rPr>
      </w:pPr>
    </w:p>
    <w:p w14:paraId="06CD70D6">
      <w:pPr>
        <w:pStyle w:val="2"/>
        <w:rPr>
          <w:rFonts w:hint="eastAsia" w:ascii="宋体" w:hAnsi="宋体" w:cs="Arial"/>
          <w:color w:val="0000FF"/>
          <w:sz w:val="24"/>
          <w:szCs w:val="24"/>
        </w:rPr>
      </w:pPr>
    </w:p>
    <w:p w14:paraId="0913FCD3">
      <w:pPr>
        <w:pStyle w:val="2"/>
        <w:rPr>
          <w:rFonts w:hint="eastAsia" w:ascii="宋体" w:hAnsi="宋体" w:cs="Arial"/>
          <w:color w:val="0000FF"/>
          <w:sz w:val="24"/>
          <w:szCs w:val="24"/>
        </w:rPr>
      </w:pPr>
    </w:p>
    <w:p w14:paraId="34BA2CAA">
      <w:pPr>
        <w:pStyle w:val="2"/>
        <w:rPr>
          <w:rFonts w:hint="eastAsia" w:ascii="宋体" w:hAnsi="宋体" w:cs="Arial"/>
          <w:color w:val="0000FF"/>
          <w:sz w:val="24"/>
          <w:szCs w:val="24"/>
        </w:rPr>
      </w:pPr>
    </w:p>
    <w:p w14:paraId="5F4CB8E6">
      <w:pPr>
        <w:pStyle w:val="2"/>
        <w:rPr>
          <w:rFonts w:hint="eastAsia" w:ascii="宋体" w:hAnsi="宋体" w:cs="Arial"/>
          <w:color w:val="0000FF"/>
          <w:sz w:val="24"/>
          <w:szCs w:val="24"/>
        </w:rPr>
      </w:pPr>
    </w:p>
    <w:p w14:paraId="739F4A16">
      <w:pPr>
        <w:pStyle w:val="2"/>
        <w:rPr>
          <w:rFonts w:hint="eastAsia" w:ascii="宋体" w:hAnsi="宋体" w:cs="Arial"/>
          <w:color w:val="0000FF"/>
          <w:sz w:val="24"/>
          <w:szCs w:val="24"/>
        </w:rPr>
      </w:pPr>
    </w:p>
    <w:p w14:paraId="5B4FC050">
      <w:pPr>
        <w:pStyle w:val="2"/>
        <w:rPr>
          <w:rFonts w:hint="eastAsia" w:ascii="宋体" w:hAnsi="宋体" w:cs="Arial"/>
          <w:color w:val="0000FF"/>
          <w:sz w:val="24"/>
          <w:szCs w:val="24"/>
        </w:rPr>
      </w:pPr>
    </w:p>
    <w:p w14:paraId="715BA89A">
      <w:pPr>
        <w:pStyle w:val="2"/>
        <w:rPr>
          <w:rFonts w:hint="eastAsia" w:ascii="宋体" w:hAnsi="宋体" w:cs="Arial"/>
          <w:color w:val="0000FF"/>
          <w:sz w:val="24"/>
          <w:szCs w:val="24"/>
        </w:rPr>
      </w:pPr>
    </w:p>
    <w:p w14:paraId="5F2F90A7">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523F1023">
      <w:pPr>
        <w:spacing w:line="360" w:lineRule="auto"/>
        <w:rPr>
          <w:rFonts w:ascii="宋体" w:hAnsi="宋体" w:cs="Arial"/>
          <w:color w:val="0000FF"/>
          <w:sz w:val="24"/>
          <w:szCs w:val="24"/>
        </w:rPr>
      </w:pPr>
    </w:p>
    <w:p w14:paraId="5B1281D2">
      <w:pPr>
        <w:spacing w:line="360" w:lineRule="auto"/>
        <w:rPr>
          <w:rFonts w:ascii="仿宋" w:hAnsi="仿宋"/>
          <w:color w:val="0000FF"/>
          <w:szCs w:val="28"/>
        </w:rPr>
      </w:pPr>
    </w:p>
    <w:p w14:paraId="0D12B29C">
      <w:pPr>
        <w:rPr>
          <w:color w:val="0000FF"/>
        </w:rPr>
      </w:pPr>
    </w:p>
    <w:p w14:paraId="5A741609">
      <w:pPr>
        <w:jc w:val="both"/>
        <w:rPr>
          <w:rFonts w:hint="eastAsia" w:ascii="宋体" w:hAnsi="宋体" w:cs="Arial"/>
          <w:color w:val="0000FF"/>
          <w:sz w:val="32"/>
          <w:szCs w:val="22"/>
        </w:rPr>
      </w:pPr>
    </w:p>
    <w:p w14:paraId="5BFF64AB">
      <w:pPr>
        <w:jc w:val="center"/>
        <w:rPr>
          <w:rFonts w:ascii="宋体" w:hAnsi="宋体" w:cs="Arial"/>
          <w:color w:val="auto"/>
          <w:sz w:val="32"/>
          <w:szCs w:val="22"/>
        </w:rPr>
      </w:pPr>
      <w:r>
        <w:rPr>
          <w:rFonts w:hint="eastAsia" w:ascii="宋体" w:hAnsi="宋体" w:cs="Arial"/>
          <w:color w:val="auto"/>
          <w:sz w:val="32"/>
          <w:szCs w:val="22"/>
        </w:rPr>
        <w:t>最终报价表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25"/>
      </w:tblGrid>
      <w:tr w14:paraId="5C5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14:paraId="20030055">
            <w:pPr>
              <w:rPr>
                <w:rFonts w:ascii="宋体" w:hAnsi="宋体" w:cs="Arial"/>
                <w:color w:val="auto"/>
                <w:sz w:val="24"/>
                <w:szCs w:val="24"/>
              </w:rPr>
            </w:pPr>
            <w:r>
              <w:rPr>
                <w:rFonts w:hint="eastAsia" w:ascii="宋体" w:hAnsi="宋体" w:cs="Arial"/>
                <w:color w:val="auto"/>
                <w:sz w:val="24"/>
                <w:szCs w:val="24"/>
              </w:rPr>
              <w:t>项 目 名 称</w:t>
            </w:r>
          </w:p>
        </w:tc>
        <w:tc>
          <w:tcPr>
            <w:tcW w:w="6825" w:type="dxa"/>
            <w:tcBorders>
              <w:top w:val="single" w:color="auto" w:sz="4" w:space="0"/>
              <w:bottom w:val="single" w:color="auto" w:sz="4" w:space="0"/>
              <w:right w:val="single" w:color="auto" w:sz="4" w:space="0"/>
            </w:tcBorders>
            <w:vAlign w:val="center"/>
          </w:tcPr>
          <w:p w14:paraId="794EA2A6">
            <w:pPr>
              <w:rPr>
                <w:rFonts w:ascii="宋体" w:hAnsi="宋体" w:cs="Arial"/>
                <w:color w:val="auto"/>
                <w:sz w:val="24"/>
                <w:szCs w:val="24"/>
              </w:rPr>
            </w:pPr>
          </w:p>
        </w:tc>
      </w:tr>
      <w:tr w14:paraId="7AF7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14:paraId="093EB3C0">
            <w:pPr>
              <w:rPr>
                <w:rFonts w:ascii="宋体" w:hAnsi="宋体" w:cs="Arial"/>
                <w:color w:val="auto"/>
                <w:sz w:val="24"/>
                <w:szCs w:val="24"/>
              </w:rPr>
            </w:pPr>
            <w:r>
              <w:rPr>
                <w:rFonts w:hint="eastAsia" w:ascii="宋体" w:hAnsi="宋体" w:cs="Arial"/>
                <w:color w:val="auto"/>
                <w:sz w:val="24"/>
                <w:szCs w:val="24"/>
              </w:rPr>
              <w:t>供应商全称</w:t>
            </w:r>
          </w:p>
        </w:tc>
        <w:tc>
          <w:tcPr>
            <w:tcW w:w="6825" w:type="dxa"/>
            <w:tcBorders>
              <w:top w:val="nil"/>
            </w:tcBorders>
            <w:vAlign w:val="center"/>
          </w:tcPr>
          <w:p w14:paraId="0DB32B1E">
            <w:pPr>
              <w:rPr>
                <w:rFonts w:ascii="宋体" w:hAnsi="宋体" w:cs="Arial"/>
                <w:color w:val="auto"/>
                <w:sz w:val="24"/>
                <w:szCs w:val="24"/>
              </w:rPr>
            </w:pPr>
          </w:p>
        </w:tc>
      </w:tr>
      <w:tr w14:paraId="30A6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14:paraId="03F42D7A">
            <w:pPr>
              <w:rPr>
                <w:rFonts w:ascii="宋体" w:hAnsi="宋体" w:cs="Arial"/>
                <w:color w:val="auto"/>
                <w:sz w:val="24"/>
                <w:szCs w:val="24"/>
              </w:rPr>
            </w:pPr>
            <w:r>
              <w:rPr>
                <w:rFonts w:hint="eastAsia" w:ascii="宋体" w:hAnsi="宋体" w:cs="Arial"/>
                <w:color w:val="auto"/>
                <w:sz w:val="24"/>
                <w:szCs w:val="24"/>
              </w:rPr>
              <w:t>磋商范围</w:t>
            </w:r>
          </w:p>
        </w:tc>
        <w:tc>
          <w:tcPr>
            <w:tcW w:w="6825" w:type="dxa"/>
            <w:vAlign w:val="center"/>
          </w:tcPr>
          <w:p w14:paraId="54E2BE17">
            <w:pPr>
              <w:rPr>
                <w:rFonts w:ascii="宋体" w:hAnsi="宋体" w:cs="Arial"/>
                <w:color w:val="auto"/>
                <w:sz w:val="24"/>
                <w:szCs w:val="24"/>
              </w:rPr>
            </w:pPr>
          </w:p>
        </w:tc>
      </w:tr>
      <w:tr w14:paraId="4D9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14:paraId="44B381A1">
            <w:pPr>
              <w:rPr>
                <w:rFonts w:ascii="宋体" w:hAnsi="宋体" w:cs="Arial"/>
                <w:color w:val="auto"/>
                <w:sz w:val="24"/>
                <w:szCs w:val="24"/>
              </w:rPr>
            </w:pPr>
            <w:r>
              <w:rPr>
                <w:rFonts w:hint="eastAsia" w:ascii="宋体" w:hAnsi="宋体" w:cs="Arial"/>
                <w:color w:val="auto"/>
                <w:sz w:val="24"/>
                <w:szCs w:val="24"/>
              </w:rPr>
              <w:t>磋商报价（人民币）</w:t>
            </w:r>
          </w:p>
        </w:tc>
        <w:tc>
          <w:tcPr>
            <w:tcW w:w="6825" w:type="dxa"/>
            <w:vAlign w:val="center"/>
          </w:tcPr>
          <w:p w14:paraId="47A60A74">
            <w:pPr>
              <w:rPr>
                <w:rFonts w:ascii="宋体" w:hAnsi="宋体" w:cs="Arial"/>
                <w:color w:val="auto"/>
                <w:sz w:val="24"/>
                <w:szCs w:val="24"/>
              </w:rPr>
            </w:pPr>
            <w:r>
              <w:rPr>
                <w:rFonts w:hint="eastAsia" w:ascii="宋体" w:hAnsi="宋体" w:cs="Arial"/>
                <w:color w:val="auto"/>
                <w:sz w:val="24"/>
                <w:szCs w:val="24"/>
              </w:rPr>
              <w:t>总价（大写）：</w:t>
            </w:r>
          </w:p>
          <w:p w14:paraId="5519EEB0">
            <w:pPr>
              <w:rPr>
                <w:rFonts w:ascii="宋体" w:hAnsi="宋体" w:cs="Arial"/>
                <w:color w:val="auto"/>
                <w:sz w:val="24"/>
                <w:szCs w:val="24"/>
              </w:rPr>
            </w:pPr>
          </w:p>
          <w:p w14:paraId="4EBC839A">
            <w:pPr>
              <w:rPr>
                <w:rFonts w:ascii="宋体" w:hAnsi="宋体" w:cs="Arial"/>
                <w:color w:val="auto"/>
                <w:sz w:val="24"/>
                <w:szCs w:val="24"/>
              </w:rPr>
            </w:pPr>
            <w:r>
              <w:rPr>
                <w:rFonts w:hint="eastAsia" w:ascii="宋体" w:hAnsi="宋体" w:cs="Arial"/>
                <w:color w:val="auto"/>
                <w:sz w:val="24"/>
                <w:szCs w:val="24"/>
              </w:rPr>
              <w:t xml:space="preserve">    （小写）：                    </w:t>
            </w:r>
          </w:p>
        </w:tc>
      </w:tr>
      <w:tr w14:paraId="21E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14:paraId="2A0CB248">
            <w:pPr>
              <w:rPr>
                <w:rFonts w:ascii="宋体" w:hAnsi="宋体" w:cs="Arial"/>
                <w:color w:val="auto"/>
                <w:sz w:val="24"/>
                <w:szCs w:val="24"/>
              </w:rPr>
            </w:pPr>
            <w:r>
              <w:rPr>
                <w:rFonts w:hint="eastAsia" w:ascii="宋体" w:hAnsi="宋体" w:cs="Arial"/>
                <w:color w:val="auto"/>
                <w:sz w:val="24"/>
                <w:szCs w:val="24"/>
              </w:rPr>
              <w:t>是否响应磋商文件的要求</w:t>
            </w:r>
          </w:p>
        </w:tc>
        <w:tc>
          <w:tcPr>
            <w:tcW w:w="6825" w:type="dxa"/>
            <w:vAlign w:val="center"/>
          </w:tcPr>
          <w:p w14:paraId="4C169BC4">
            <w:pPr>
              <w:rPr>
                <w:rFonts w:ascii="宋体" w:hAnsi="宋体" w:cs="Arial"/>
                <w:color w:val="auto"/>
                <w:sz w:val="24"/>
                <w:szCs w:val="24"/>
              </w:rPr>
            </w:pPr>
            <w:r>
              <w:rPr>
                <w:rFonts w:hint="eastAsia" w:ascii="宋体" w:hAnsi="宋体" w:cs="Arial"/>
                <w:color w:val="auto"/>
                <w:sz w:val="24"/>
                <w:szCs w:val="24"/>
              </w:rPr>
              <w:t>请填写“响应”或者“不响应”</w:t>
            </w:r>
          </w:p>
        </w:tc>
      </w:tr>
      <w:tr w14:paraId="7A0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14:paraId="77C19C36">
            <w:pPr>
              <w:rPr>
                <w:rFonts w:ascii="宋体" w:hAnsi="宋体" w:cs="Arial"/>
                <w:color w:val="auto"/>
                <w:sz w:val="24"/>
                <w:szCs w:val="24"/>
              </w:rPr>
            </w:pPr>
            <w:r>
              <w:rPr>
                <w:rFonts w:hint="eastAsia" w:ascii="宋体" w:hAnsi="宋体" w:cs="Arial"/>
                <w:color w:val="auto"/>
                <w:sz w:val="24"/>
                <w:szCs w:val="24"/>
              </w:rPr>
              <w:t>备注</w:t>
            </w:r>
          </w:p>
        </w:tc>
        <w:tc>
          <w:tcPr>
            <w:tcW w:w="6825" w:type="dxa"/>
            <w:vAlign w:val="center"/>
          </w:tcPr>
          <w:p w14:paraId="3DB78BE2">
            <w:pPr>
              <w:rPr>
                <w:rFonts w:ascii="宋体" w:hAnsi="宋体" w:cs="Arial"/>
                <w:color w:val="auto"/>
                <w:sz w:val="24"/>
                <w:szCs w:val="24"/>
              </w:rPr>
            </w:pPr>
          </w:p>
        </w:tc>
      </w:tr>
    </w:tbl>
    <w:p w14:paraId="704A738C">
      <w:pPr>
        <w:spacing w:line="360" w:lineRule="auto"/>
        <w:rPr>
          <w:rFonts w:ascii="宋体" w:hAnsi="宋体" w:cs="Arial"/>
          <w:color w:val="auto"/>
          <w:sz w:val="24"/>
          <w:szCs w:val="24"/>
        </w:rPr>
      </w:pPr>
    </w:p>
    <w:p w14:paraId="03E8A8C6">
      <w:pPr>
        <w:spacing w:line="360" w:lineRule="auto"/>
        <w:rPr>
          <w:rFonts w:ascii="宋体" w:hAnsi="宋体" w:cs="Arial"/>
          <w:color w:val="auto"/>
          <w:sz w:val="24"/>
          <w:szCs w:val="24"/>
        </w:rPr>
      </w:pPr>
      <w:r>
        <w:rPr>
          <w:rFonts w:hint="eastAsia" w:ascii="宋体" w:hAnsi="宋体" w:cs="Arial"/>
          <w:color w:val="auto"/>
          <w:sz w:val="24"/>
          <w:szCs w:val="24"/>
        </w:rPr>
        <w:t>供应商：（盖章）</w:t>
      </w:r>
    </w:p>
    <w:p w14:paraId="776C6887">
      <w:pPr>
        <w:spacing w:line="360" w:lineRule="auto"/>
        <w:rPr>
          <w:rFonts w:ascii="宋体" w:hAnsi="宋体" w:cs="Arial"/>
          <w:color w:val="auto"/>
          <w:sz w:val="24"/>
          <w:szCs w:val="24"/>
        </w:rPr>
      </w:pPr>
      <w:r>
        <w:rPr>
          <w:rFonts w:hint="eastAsia" w:ascii="宋体" w:hAnsi="宋体" w:cs="Arial"/>
          <w:color w:val="auto"/>
          <w:sz w:val="24"/>
          <w:szCs w:val="24"/>
        </w:rPr>
        <w:t>法定代表人或授权委托人：（签字或盖章）</w:t>
      </w:r>
    </w:p>
    <w:p w14:paraId="7C2FD8A7">
      <w:pPr>
        <w:spacing w:line="360" w:lineRule="auto"/>
        <w:rPr>
          <w:rFonts w:hint="eastAsia" w:ascii="宋体" w:hAnsi="宋体" w:cs="Arial"/>
          <w:color w:val="auto"/>
          <w:sz w:val="24"/>
          <w:szCs w:val="24"/>
        </w:rPr>
      </w:pPr>
      <w:r>
        <w:rPr>
          <w:rFonts w:hint="eastAsia" w:ascii="宋体" w:hAnsi="宋体" w:cs="Arial"/>
          <w:color w:val="auto"/>
          <w:sz w:val="24"/>
          <w:szCs w:val="24"/>
        </w:rPr>
        <w:t>日期：</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月</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日</w:t>
      </w:r>
    </w:p>
    <w:p w14:paraId="13D47054">
      <w:pPr>
        <w:pStyle w:val="2"/>
        <w:rPr>
          <w:rFonts w:hint="eastAsia" w:ascii="宋体" w:hAnsi="宋体" w:cs="Arial"/>
          <w:color w:val="auto"/>
          <w:sz w:val="24"/>
          <w:szCs w:val="24"/>
        </w:rPr>
      </w:pPr>
    </w:p>
    <w:p w14:paraId="678F5FA2">
      <w:pPr>
        <w:pStyle w:val="2"/>
        <w:rPr>
          <w:rFonts w:hint="eastAsia" w:ascii="宋体" w:hAnsi="宋体" w:cs="Arial"/>
          <w:color w:val="0000FF"/>
          <w:sz w:val="24"/>
          <w:szCs w:val="24"/>
        </w:rPr>
      </w:pPr>
    </w:p>
    <w:p w14:paraId="3D22444C">
      <w:pPr>
        <w:pStyle w:val="2"/>
        <w:rPr>
          <w:rFonts w:hint="eastAsia" w:ascii="宋体" w:hAnsi="宋体" w:cs="Arial"/>
          <w:color w:val="0000FF"/>
          <w:sz w:val="24"/>
          <w:szCs w:val="24"/>
        </w:rPr>
      </w:pPr>
    </w:p>
    <w:p w14:paraId="5694AF61">
      <w:pPr>
        <w:pStyle w:val="2"/>
        <w:rPr>
          <w:rFonts w:hint="eastAsia" w:ascii="宋体" w:hAnsi="宋体" w:cs="Arial"/>
          <w:color w:val="0000FF"/>
          <w:sz w:val="24"/>
          <w:szCs w:val="24"/>
        </w:rPr>
      </w:pPr>
    </w:p>
    <w:p w14:paraId="5CD1EE6A">
      <w:pPr>
        <w:pStyle w:val="2"/>
        <w:rPr>
          <w:rFonts w:hint="eastAsia" w:ascii="宋体" w:hAnsi="宋体" w:cs="Arial"/>
          <w:color w:val="0000FF"/>
          <w:sz w:val="24"/>
          <w:szCs w:val="24"/>
        </w:rPr>
      </w:pPr>
    </w:p>
    <w:p w14:paraId="320745FE">
      <w:pPr>
        <w:pStyle w:val="2"/>
        <w:rPr>
          <w:rFonts w:hint="eastAsia" w:ascii="宋体" w:hAnsi="宋体" w:cs="Arial"/>
          <w:color w:val="0000FF"/>
          <w:sz w:val="24"/>
          <w:szCs w:val="24"/>
        </w:rPr>
      </w:pPr>
    </w:p>
    <w:p w14:paraId="7F2CB42A">
      <w:pPr>
        <w:pStyle w:val="2"/>
        <w:rPr>
          <w:rFonts w:hint="eastAsia" w:ascii="宋体" w:hAnsi="宋体" w:cs="Arial"/>
          <w:color w:val="0000FF"/>
          <w:sz w:val="24"/>
          <w:szCs w:val="24"/>
        </w:rPr>
      </w:pPr>
    </w:p>
    <w:p w14:paraId="6D248775">
      <w:pPr>
        <w:pStyle w:val="2"/>
        <w:rPr>
          <w:rFonts w:hint="eastAsia" w:ascii="宋体" w:hAnsi="宋体" w:cs="Arial"/>
          <w:color w:val="0000FF"/>
          <w:sz w:val="24"/>
          <w:szCs w:val="24"/>
        </w:rPr>
      </w:pPr>
    </w:p>
    <w:p w14:paraId="116D5CDC">
      <w:pPr>
        <w:pStyle w:val="2"/>
        <w:ind w:left="0" w:leftChars="0" w:firstLine="0" w:firstLineChars="0"/>
        <w:rPr>
          <w:rFonts w:hint="default" w:ascii="宋体" w:hAnsi="宋体" w:eastAsia="仿宋_GB2312" w:cs="Arial"/>
          <w:b/>
          <w:bCs/>
          <w:color w:val="FF0000"/>
          <w:sz w:val="28"/>
          <w:szCs w:val="28"/>
          <w:lang w:val="en-US" w:eastAsia="zh-CN"/>
        </w:rPr>
      </w:pPr>
      <w:r>
        <w:rPr>
          <w:rFonts w:hint="eastAsia" w:ascii="宋体" w:hAnsi="宋体" w:cs="Arial"/>
          <w:b/>
          <w:bCs/>
          <w:color w:val="FF0000"/>
          <w:sz w:val="28"/>
          <w:szCs w:val="28"/>
          <w:lang w:val="en-US" w:eastAsia="zh-CN"/>
        </w:rPr>
        <w:t>开标当日供应商应手持此表并加盖供应商和法定代表签章</w:t>
      </w:r>
    </w:p>
    <w:p w14:paraId="187736EF">
      <w:pPr>
        <w:pStyle w:val="2"/>
        <w:rPr>
          <w:rFonts w:hint="eastAsia" w:ascii="宋体" w:hAnsi="宋体" w:cs="Arial"/>
          <w:color w:val="0000FF"/>
          <w:sz w:val="24"/>
          <w:szCs w:val="24"/>
        </w:rPr>
      </w:pPr>
    </w:p>
    <w:p w14:paraId="169C3BD0">
      <w:pPr>
        <w:spacing w:line="360" w:lineRule="auto"/>
        <w:rPr>
          <w:rFonts w:ascii="宋体" w:hAnsi="宋体" w:cs="Arial"/>
          <w:b/>
          <w:bCs/>
          <w:color w:val="0000FF"/>
          <w:sz w:val="24"/>
          <w:szCs w:val="24"/>
        </w:rPr>
      </w:pPr>
    </w:p>
    <w:p w14:paraId="0DC9C318">
      <w:pPr>
        <w:pStyle w:val="2"/>
        <w:ind w:left="0" w:leftChars="0" w:firstLine="0" w:firstLineChars="0"/>
        <w:rPr>
          <w:color w:val="0000FF"/>
        </w:rPr>
      </w:pPr>
    </w:p>
    <w:p w14:paraId="192824F4">
      <w:pPr>
        <w:pStyle w:val="2"/>
        <w:ind w:left="0" w:leftChars="0" w:firstLine="0" w:firstLineChars="0"/>
        <w:rPr>
          <w:color w:val="0000FF"/>
        </w:rPr>
      </w:pPr>
    </w:p>
    <w:sectPr>
      <w:pgSz w:w="11906" w:h="16838"/>
      <w:pgMar w:top="1440" w:right="1689" w:bottom="1440" w:left="168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E15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13D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F513D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7AB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FA6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53FA6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24B4">
    <w:pPr>
      <w:pStyle w:val="16"/>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7496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57496B">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27EB1930">
    <w:pPr>
      <w:pStyle w:val="16"/>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7CA8B"/>
    <w:multiLevelType w:val="singleLevel"/>
    <w:tmpl w:val="A0F7CA8B"/>
    <w:lvl w:ilvl="0" w:tentative="0">
      <w:start w:val="5"/>
      <w:numFmt w:val="chineseCounting"/>
      <w:suff w:val="nothing"/>
      <w:lvlText w:val="第%1章、"/>
      <w:lvlJc w:val="left"/>
      <w:rPr>
        <w:rFonts w:hint="eastAsia"/>
      </w:rPr>
    </w:lvl>
  </w:abstractNum>
  <w:abstractNum w:abstractNumId="1">
    <w:nsid w:val="D2C8FE26"/>
    <w:multiLevelType w:val="singleLevel"/>
    <w:tmpl w:val="D2C8FE26"/>
    <w:lvl w:ilvl="0" w:tentative="0">
      <w:start w:val="1"/>
      <w:numFmt w:val="chineseCounting"/>
      <w:suff w:val="nothing"/>
      <w:lvlText w:val="%1、"/>
      <w:lvlJc w:val="left"/>
      <w:rPr>
        <w:rFonts w:hint="eastAsia"/>
      </w:rPr>
    </w:lvl>
  </w:abstractNum>
  <w:abstractNum w:abstractNumId="2">
    <w:nsid w:val="FBCC0DDB"/>
    <w:multiLevelType w:val="singleLevel"/>
    <w:tmpl w:val="FBCC0DDB"/>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none"/>
      <w:pStyle w:val="5"/>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9581245"/>
    <w:multiLevelType w:val="multilevel"/>
    <w:tmpl w:val="39581245"/>
    <w:lvl w:ilvl="0" w:tentative="0">
      <w:start w:val="27"/>
      <w:numFmt w:val="decimal"/>
      <w:lvlText w:val="%1、"/>
      <w:lvlJc w:val="left"/>
      <w:pPr>
        <w:ind w:left="1088" w:hanging="456"/>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6">
    <w:nsid w:val="3EC437A2"/>
    <w:multiLevelType w:val="multilevel"/>
    <w:tmpl w:val="3EC437A2"/>
    <w:lvl w:ilvl="0" w:tentative="0">
      <w:start w:val="1"/>
      <w:numFmt w:val="japaneseCounting"/>
      <w:lvlText w:val="（%1）"/>
      <w:lvlJc w:val="left"/>
      <w:pPr>
        <w:ind w:left="915" w:hanging="720"/>
      </w:pPr>
      <w:rPr>
        <w:rFonts w:hint="default" w:ascii="Times New Roman" w:hAnsi="Times New Roman" w:cs="Times New Roman"/>
        <w:b w:val="0"/>
        <w:bCs w:val="0"/>
      </w:rPr>
    </w:lvl>
    <w:lvl w:ilvl="1" w:tentative="0">
      <w:start w:val="1"/>
      <w:numFmt w:val="lowerLetter"/>
      <w:lvlText w:val="%2)"/>
      <w:lvlJc w:val="left"/>
      <w:pPr>
        <w:ind w:left="1035" w:hanging="420"/>
      </w:pPr>
      <w:rPr>
        <w:rFonts w:hint="default" w:ascii="Times New Roman" w:hAnsi="Times New Roman" w:cs="Times New Roman"/>
      </w:rPr>
    </w:lvl>
    <w:lvl w:ilvl="2" w:tentative="0">
      <w:start w:val="1"/>
      <w:numFmt w:val="lowerRoman"/>
      <w:lvlText w:val="%3."/>
      <w:lvlJc w:val="right"/>
      <w:pPr>
        <w:ind w:left="1455" w:hanging="420"/>
      </w:pPr>
      <w:rPr>
        <w:rFonts w:hint="default" w:ascii="Times New Roman" w:hAnsi="Times New Roman" w:cs="Times New Roman"/>
      </w:rPr>
    </w:lvl>
    <w:lvl w:ilvl="3" w:tentative="0">
      <w:start w:val="1"/>
      <w:numFmt w:val="decimal"/>
      <w:lvlText w:val="%4."/>
      <w:lvlJc w:val="left"/>
      <w:pPr>
        <w:ind w:left="1875" w:hanging="420"/>
      </w:pPr>
      <w:rPr>
        <w:rFonts w:hint="default" w:ascii="Times New Roman" w:hAnsi="Times New Roman" w:cs="Times New Roman"/>
      </w:rPr>
    </w:lvl>
    <w:lvl w:ilvl="4" w:tentative="0">
      <w:start w:val="1"/>
      <w:numFmt w:val="lowerLetter"/>
      <w:lvlText w:val="%5)"/>
      <w:lvlJc w:val="left"/>
      <w:pPr>
        <w:ind w:left="2295" w:hanging="420"/>
      </w:pPr>
      <w:rPr>
        <w:rFonts w:hint="default" w:ascii="Times New Roman" w:hAnsi="Times New Roman" w:cs="Times New Roman"/>
      </w:rPr>
    </w:lvl>
    <w:lvl w:ilvl="5" w:tentative="0">
      <w:start w:val="1"/>
      <w:numFmt w:val="lowerRoman"/>
      <w:lvlText w:val="%6."/>
      <w:lvlJc w:val="right"/>
      <w:pPr>
        <w:ind w:left="2715" w:hanging="420"/>
      </w:pPr>
      <w:rPr>
        <w:rFonts w:hint="default" w:ascii="Times New Roman" w:hAnsi="Times New Roman" w:cs="Times New Roman"/>
      </w:rPr>
    </w:lvl>
    <w:lvl w:ilvl="6" w:tentative="0">
      <w:start w:val="1"/>
      <w:numFmt w:val="decimal"/>
      <w:lvlText w:val="%7."/>
      <w:lvlJc w:val="left"/>
      <w:pPr>
        <w:ind w:left="3135" w:hanging="420"/>
      </w:pPr>
      <w:rPr>
        <w:rFonts w:hint="default" w:ascii="Times New Roman" w:hAnsi="Times New Roman" w:cs="Times New Roman"/>
      </w:rPr>
    </w:lvl>
    <w:lvl w:ilvl="7" w:tentative="0">
      <w:start w:val="1"/>
      <w:numFmt w:val="lowerLetter"/>
      <w:lvlText w:val="%8)"/>
      <w:lvlJc w:val="left"/>
      <w:pPr>
        <w:ind w:left="3555" w:hanging="420"/>
      </w:pPr>
      <w:rPr>
        <w:rFonts w:hint="default" w:ascii="Times New Roman" w:hAnsi="Times New Roman" w:cs="Times New Roman"/>
      </w:rPr>
    </w:lvl>
    <w:lvl w:ilvl="8" w:tentative="0">
      <w:start w:val="1"/>
      <w:numFmt w:val="lowerRoman"/>
      <w:lvlText w:val="%9."/>
      <w:lvlJc w:val="right"/>
      <w:pPr>
        <w:ind w:left="3975" w:hanging="420"/>
      </w:pPr>
      <w:rPr>
        <w:rFonts w:hint="default" w:ascii="Times New Roman" w:hAnsi="Times New Roman" w:cs="Times New Roman"/>
      </w:rPr>
    </w:lvl>
  </w:abstractNum>
  <w:abstractNum w:abstractNumId="7">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8">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9">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abstractNum w:abstractNumId="10">
    <w:nsid w:val="70831F2C"/>
    <w:multiLevelType w:val="multilevel"/>
    <w:tmpl w:val="70831F2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0"/>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mRmYmNlZjc3NWI5ZTBmZmVkZTE2OTdmMmZjMzgifQ=="/>
    <w:docVar w:name="KSO_WPS_MARK_KEY" w:val="591c26db-b30b-4fff-85d1-2447be32d74c"/>
  </w:docVars>
  <w:rsids>
    <w:rsidRoot w:val="5D7C6D44"/>
    <w:rsid w:val="00071FF5"/>
    <w:rsid w:val="00283C44"/>
    <w:rsid w:val="003F417C"/>
    <w:rsid w:val="00437B01"/>
    <w:rsid w:val="0065020A"/>
    <w:rsid w:val="006A7E9A"/>
    <w:rsid w:val="006D32D0"/>
    <w:rsid w:val="008F7C8F"/>
    <w:rsid w:val="00A864EF"/>
    <w:rsid w:val="00B36A69"/>
    <w:rsid w:val="00B64FDE"/>
    <w:rsid w:val="00B8067D"/>
    <w:rsid w:val="01280D0E"/>
    <w:rsid w:val="01363F1F"/>
    <w:rsid w:val="01396E1E"/>
    <w:rsid w:val="014564B0"/>
    <w:rsid w:val="016C7D7A"/>
    <w:rsid w:val="019A11B7"/>
    <w:rsid w:val="01A47452"/>
    <w:rsid w:val="01DD3C4D"/>
    <w:rsid w:val="01E62762"/>
    <w:rsid w:val="020D510A"/>
    <w:rsid w:val="024D4228"/>
    <w:rsid w:val="029463AA"/>
    <w:rsid w:val="02975DBA"/>
    <w:rsid w:val="03121C78"/>
    <w:rsid w:val="035937A7"/>
    <w:rsid w:val="035D5744"/>
    <w:rsid w:val="036231D4"/>
    <w:rsid w:val="03633282"/>
    <w:rsid w:val="03680B91"/>
    <w:rsid w:val="038C76D9"/>
    <w:rsid w:val="038E0430"/>
    <w:rsid w:val="03B13F76"/>
    <w:rsid w:val="03B362D5"/>
    <w:rsid w:val="03BA558C"/>
    <w:rsid w:val="03D92099"/>
    <w:rsid w:val="03DB240E"/>
    <w:rsid w:val="042E163E"/>
    <w:rsid w:val="04D909CC"/>
    <w:rsid w:val="04DF2AE1"/>
    <w:rsid w:val="04FF04CC"/>
    <w:rsid w:val="05086119"/>
    <w:rsid w:val="056412A6"/>
    <w:rsid w:val="057A3813"/>
    <w:rsid w:val="05B745E0"/>
    <w:rsid w:val="0648504B"/>
    <w:rsid w:val="06650A50"/>
    <w:rsid w:val="06932F08"/>
    <w:rsid w:val="06B75149"/>
    <w:rsid w:val="06D066F2"/>
    <w:rsid w:val="071F2612"/>
    <w:rsid w:val="075524D7"/>
    <w:rsid w:val="07A11E28"/>
    <w:rsid w:val="07B90B0B"/>
    <w:rsid w:val="07BA3DC4"/>
    <w:rsid w:val="07E01DA1"/>
    <w:rsid w:val="07E33920"/>
    <w:rsid w:val="07F9435E"/>
    <w:rsid w:val="08076D31"/>
    <w:rsid w:val="08135DB3"/>
    <w:rsid w:val="0865707E"/>
    <w:rsid w:val="086A32AC"/>
    <w:rsid w:val="08721871"/>
    <w:rsid w:val="0888081E"/>
    <w:rsid w:val="08BD2249"/>
    <w:rsid w:val="08EB13EB"/>
    <w:rsid w:val="09093579"/>
    <w:rsid w:val="09524BFD"/>
    <w:rsid w:val="0957472D"/>
    <w:rsid w:val="09A70C86"/>
    <w:rsid w:val="09D55638"/>
    <w:rsid w:val="0A126EFB"/>
    <w:rsid w:val="0A8235E3"/>
    <w:rsid w:val="0A965366"/>
    <w:rsid w:val="0ACC5B22"/>
    <w:rsid w:val="0B772E3E"/>
    <w:rsid w:val="0B970B50"/>
    <w:rsid w:val="0B984657"/>
    <w:rsid w:val="0BDC6D23"/>
    <w:rsid w:val="0BEF12D9"/>
    <w:rsid w:val="0BF46ED9"/>
    <w:rsid w:val="0C50326D"/>
    <w:rsid w:val="0C6F1945"/>
    <w:rsid w:val="0CFD1647"/>
    <w:rsid w:val="0D0475F3"/>
    <w:rsid w:val="0D221DE8"/>
    <w:rsid w:val="0D283F4E"/>
    <w:rsid w:val="0D443DAB"/>
    <w:rsid w:val="0D596B1F"/>
    <w:rsid w:val="0DB81851"/>
    <w:rsid w:val="0DE92535"/>
    <w:rsid w:val="0EB224EB"/>
    <w:rsid w:val="0EB56530"/>
    <w:rsid w:val="0F4143F0"/>
    <w:rsid w:val="0F937349"/>
    <w:rsid w:val="0FA30CB9"/>
    <w:rsid w:val="0FEE51E8"/>
    <w:rsid w:val="10216D39"/>
    <w:rsid w:val="103942D1"/>
    <w:rsid w:val="104E2E23"/>
    <w:rsid w:val="1055486A"/>
    <w:rsid w:val="106E4225"/>
    <w:rsid w:val="10AE019C"/>
    <w:rsid w:val="10C72E85"/>
    <w:rsid w:val="10E723F2"/>
    <w:rsid w:val="111A2B66"/>
    <w:rsid w:val="117B2B3A"/>
    <w:rsid w:val="11947F8F"/>
    <w:rsid w:val="11B06C88"/>
    <w:rsid w:val="11B9584F"/>
    <w:rsid w:val="11BC5129"/>
    <w:rsid w:val="11BD47FB"/>
    <w:rsid w:val="11F76DFD"/>
    <w:rsid w:val="1230601B"/>
    <w:rsid w:val="125C6311"/>
    <w:rsid w:val="125D07AF"/>
    <w:rsid w:val="12B5608D"/>
    <w:rsid w:val="12E03013"/>
    <w:rsid w:val="13821182"/>
    <w:rsid w:val="138345A3"/>
    <w:rsid w:val="138D4967"/>
    <w:rsid w:val="13AC5F03"/>
    <w:rsid w:val="13B14A56"/>
    <w:rsid w:val="13BC1953"/>
    <w:rsid w:val="13E918DD"/>
    <w:rsid w:val="13FB7F63"/>
    <w:rsid w:val="14086B95"/>
    <w:rsid w:val="141A0406"/>
    <w:rsid w:val="14457225"/>
    <w:rsid w:val="14584D57"/>
    <w:rsid w:val="145F04F1"/>
    <w:rsid w:val="145F6743"/>
    <w:rsid w:val="147E12BF"/>
    <w:rsid w:val="14F84B50"/>
    <w:rsid w:val="14FA2223"/>
    <w:rsid w:val="150623C1"/>
    <w:rsid w:val="151651F0"/>
    <w:rsid w:val="158634F0"/>
    <w:rsid w:val="15877D00"/>
    <w:rsid w:val="15962639"/>
    <w:rsid w:val="15F12FD6"/>
    <w:rsid w:val="15FA7F2A"/>
    <w:rsid w:val="15FE2614"/>
    <w:rsid w:val="16054BAA"/>
    <w:rsid w:val="1647654D"/>
    <w:rsid w:val="164C4350"/>
    <w:rsid w:val="16584C21"/>
    <w:rsid w:val="16F47D4F"/>
    <w:rsid w:val="1706559C"/>
    <w:rsid w:val="17100A71"/>
    <w:rsid w:val="171E3E87"/>
    <w:rsid w:val="17204A59"/>
    <w:rsid w:val="1720665E"/>
    <w:rsid w:val="17A24BE8"/>
    <w:rsid w:val="17AF353E"/>
    <w:rsid w:val="17DE54CF"/>
    <w:rsid w:val="17E219FC"/>
    <w:rsid w:val="18117D55"/>
    <w:rsid w:val="18187335"/>
    <w:rsid w:val="18782ED7"/>
    <w:rsid w:val="18895F3B"/>
    <w:rsid w:val="18A045E2"/>
    <w:rsid w:val="18F648D4"/>
    <w:rsid w:val="19563E03"/>
    <w:rsid w:val="19570331"/>
    <w:rsid w:val="19681569"/>
    <w:rsid w:val="19684093"/>
    <w:rsid w:val="19934667"/>
    <w:rsid w:val="19D425CC"/>
    <w:rsid w:val="19EF40C6"/>
    <w:rsid w:val="1A0E575C"/>
    <w:rsid w:val="1A427AAC"/>
    <w:rsid w:val="1A7C35DF"/>
    <w:rsid w:val="1A8640B2"/>
    <w:rsid w:val="1A9761E0"/>
    <w:rsid w:val="1AEE4042"/>
    <w:rsid w:val="1AF4088E"/>
    <w:rsid w:val="1B0821E6"/>
    <w:rsid w:val="1B682233"/>
    <w:rsid w:val="1B707B28"/>
    <w:rsid w:val="1B7C407F"/>
    <w:rsid w:val="1B896128"/>
    <w:rsid w:val="1BA535D6"/>
    <w:rsid w:val="1BD23784"/>
    <w:rsid w:val="1BD25A4D"/>
    <w:rsid w:val="1C07340D"/>
    <w:rsid w:val="1C0E2637"/>
    <w:rsid w:val="1C2D7127"/>
    <w:rsid w:val="1C424981"/>
    <w:rsid w:val="1C766D20"/>
    <w:rsid w:val="1C791CAC"/>
    <w:rsid w:val="1C7C476B"/>
    <w:rsid w:val="1C8036FB"/>
    <w:rsid w:val="1CB56A20"/>
    <w:rsid w:val="1CD851E0"/>
    <w:rsid w:val="1CD921E0"/>
    <w:rsid w:val="1CFB435F"/>
    <w:rsid w:val="1D622A82"/>
    <w:rsid w:val="1D8C3629"/>
    <w:rsid w:val="1D9104A2"/>
    <w:rsid w:val="1DDF52E6"/>
    <w:rsid w:val="1DE101C9"/>
    <w:rsid w:val="1DF334BD"/>
    <w:rsid w:val="1E075E82"/>
    <w:rsid w:val="1E786D7F"/>
    <w:rsid w:val="1E861943"/>
    <w:rsid w:val="1E90452A"/>
    <w:rsid w:val="1EC91E2B"/>
    <w:rsid w:val="1F1E00F2"/>
    <w:rsid w:val="1F5F0953"/>
    <w:rsid w:val="1F831CC5"/>
    <w:rsid w:val="1F89131B"/>
    <w:rsid w:val="1F8A2A58"/>
    <w:rsid w:val="1FBA5FD1"/>
    <w:rsid w:val="1FD53DE8"/>
    <w:rsid w:val="1FF56291"/>
    <w:rsid w:val="200810CC"/>
    <w:rsid w:val="2010196E"/>
    <w:rsid w:val="201605FE"/>
    <w:rsid w:val="20173AF2"/>
    <w:rsid w:val="201A4DD1"/>
    <w:rsid w:val="201E3957"/>
    <w:rsid w:val="206070CD"/>
    <w:rsid w:val="20A8516A"/>
    <w:rsid w:val="20C458E2"/>
    <w:rsid w:val="20CF69FF"/>
    <w:rsid w:val="20DA4D70"/>
    <w:rsid w:val="20FA3104"/>
    <w:rsid w:val="21155AAB"/>
    <w:rsid w:val="21271205"/>
    <w:rsid w:val="21375C8D"/>
    <w:rsid w:val="21524508"/>
    <w:rsid w:val="219F5B88"/>
    <w:rsid w:val="21C30312"/>
    <w:rsid w:val="21DB4D37"/>
    <w:rsid w:val="21E309B4"/>
    <w:rsid w:val="22205764"/>
    <w:rsid w:val="222454FE"/>
    <w:rsid w:val="225D3ED3"/>
    <w:rsid w:val="226558B0"/>
    <w:rsid w:val="226E2973"/>
    <w:rsid w:val="22783CAD"/>
    <w:rsid w:val="22A27603"/>
    <w:rsid w:val="22A94216"/>
    <w:rsid w:val="22AB1D83"/>
    <w:rsid w:val="22F664C5"/>
    <w:rsid w:val="23256004"/>
    <w:rsid w:val="234710AA"/>
    <w:rsid w:val="236A5949"/>
    <w:rsid w:val="23757D31"/>
    <w:rsid w:val="238853DF"/>
    <w:rsid w:val="23B76660"/>
    <w:rsid w:val="24174945"/>
    <w:rsid w:val="24250339"/>
    <w:rsid w:val="242A6B06"/>
    <w:rsid w:val="243706F3"/>
    <w:rsid w:val="243D0F29"/>
    <w:rsid w:val="246D63E9"/>
    <w:rsid w:val="249E31E0"/>
    <w:rsid w:val="24BB518A"/>
    <w:rsid w:val="24DC4D3A"/>
    <w:rsid w:val="25276DB5"/>
    <w:rsid w:val="253C3296"/>
    <w:rsid w:val="25704BB8"/>
    <w:rsid w:val="25C24D84"/>
    <w:rsid w:val="25C46DB6"/>
    <w:rsid w:val="25C80F13"/>
    <w:rsid w:val="25D56619"/>
    <w:rsid w:val="25F52064"/>
    <w:rsid w:val="2613738E"/>
    <w:rsid w:val="261E020C"/>
    <w:rsid w:val="262275D1"/>
    <w:rsid w:val="262A2AC0"/>
    <w:rsid w:val="26920BFA"/>
    <w:rsid w:val="26B331B4"/>
    <w:rsid w:val="26B90928"/>
    <w:rsid w:val="26D15046"/>
    <w:rsid w:val="27090EBD"/>
    <w:rsid w:val="2744145A"/>
    <w:rsid w:val="274633C2"/>
    <w:rsid w:val="277A53C3"/>
    <w:rsid w:val="278D3205"/>
    <w:rsid w:val="279B06BE"/>
    <w:rsid w:val="283B5C8E"/>
    <w:rsid w:val="28786771"/>
    <w:rsid w:val="287A631E"/>
    <w:rsid w:val="287F3D15"/>
    <w:rsid w:val="287F4493"/>
    <w:rsid w:val="292A18FE"/>
    <w:rsid w:val="295B3590"/>
    <w:rsid w:val="29714AF7"/>
    <w:rsid w:val="29A3550E"/>
    <w:rsid w:val="29B7629C"/>
    <w:rsid w:val="29E20197"/>
    <w:rsid w:val="2A9071FF"/>
    <w:rsid w:val="2B246615"/>
    <w:rsid w:val="2B797C93"/>
    <w:rsid w:val="2BA51913"/>
    <w:rsid w:val="2BD07780"/>
    <w:rsid w:val="2BDC6E2B"/>
    <w:rsid w:val="2C1005F7"/>
    <w:rsid w:val="2C3A1E9B"/>
    <w:rsid w:val="2D226FC7"/>
    <w:rsid w:val="2D5409A9"/>
    <w:rsid w:val="2D592C0B"/>
    <w:rsid w:val="2D676B5F"/>
    <w:rsid w:val="2D6A3D37"/>
    <w:rsid w:val="2D981183"/>
    <w:rsid w:val="2D9A0EF8"/>
    <w:rsid w:val="2DAF2E4B"/>
    <w:rsid w:val="2DF3338E"/>
    <w:rsid w:val="2E634D99"/>
    <w:rsid w:val="2E665E24"/>
    <w:rsid w:val="2E843358"/>
    <w:rsid w:val="2E866557"/>
    <w:rsid w:val="2EAE1131"/>
    <w:rsid w:val="2EBB2EFB"/>
    <w:rsid w:val="2EF12AA5"/>
    <w:rsid w:val="2F017E0F"/>
    <w:rsid w:val="2F0B5A68"/>
    <w:rsid w:val="2F1264B8"/>
    <w:rsid w:val="2F45680A"/>
    <w:rsid w:val="2F6616C8"/>
    <w:rsid w:val="2F785EE3"/>
    <w:rsid w:val="2F835FE6"/>
    <w:rsid w:val="2F8F2271"/>
    <w:rsid w:val="2FA53F52"/>
    <w:rsid w:val="303D2658"/>
    <w:rsid w:val="3066422A"/>
    <w:rsid w:val="308E71D0"/>
    <w:rsid w:val="30E9774E"/>
    <w:rsid w:val="310420E8"/>
    <w:rsid w:val="310A4B09"/>
    <w:rsid w:val="311F7DDC"/>
    <w:rsid w:val="31292481"/>
    <w:rsid w:val="31293A71"/>
    <w:rsid w:val="313811B1"/>
    <w:rsid w:val="31633AA7"/>
    <w:rsid w:val="31972153"/>
    <w:rsid w:val="31D14AC5"/>
    <w:rsid w:val="31E63086"/>
    <w:rsid w:val="32095B90"/>
    <w:rsid w:val="322E59B4"/>
    <w:rsid w:val="324134B2"/>
    <w:rsid w:val="324C1E2B"/>
    <w:rsid w:val="32737B32"/>
    <w:rsid w:val="32C00676"/>
    <w:rsid w:val="336F71A9"/>
    <w:rsid w:val="33B30DF3"/>
    <w:rsid w:val="34164B0D"/>
    <w:rsid w:val="34A0361C"/>
    <w:rsid w:val="34AA1BB2"/>
    <w:rsid w:val="34B14942"/>
    <w:rsid w:val="34C75EE8"/>
    <w:rsid w:val="35222791"/>
    <w:rsid w:val="358405D0"/>
    <w:rsid w:val="35B82166"/>
    <w:rsid w:val="35E70981"/>
    <w:rsid w:val="361B528F"/>
    <w:rsid w:val="36511767"/>
    <w:rsid w:val="36584EF1"/>
    <w:rsid w:val="3679446E"/>
    <w:rsid w:val="368B4D38"/>
    <w:rsid w:val="370C49A7"/>
    <w:rsid w:val="370F3C0D"/>
    <w:rsid w:val="376170EB"/>
    <w:rsid w:val="37704640"/>
    <w:rsid w:val="378644A7"/>
    <w:rsid w:val="37B34BC8"/>
    <w:rsid w:val="37C2095E"/>
    <w:rsid w:val="37C800A6"/>
    <w:rsid w:val="37DE462A"/>
    <w:rsid w:val="37F012DD"/>
    <w:rsid w:val="38451946"/>
    <w:rsid w:val="388A1731"/>
    <w:rsid w:val="388D371B"/>
    <w:rsid w:val="39300383"/>
    <w:rsid w:val="3952586A"/>
    <w:rsid w:val="3958538C"/>
    <w:rsid w:val="398F6409"/>
    <w:rsid w:val="399C2EB1"/>
    <w:rsid w:val="39AD5401"/>
    <w:rsid w:val="39D730F7"/>
    <w:rsid w:val="39E13B89"/>
    <w:rsid w:val="39EB6350"/>
    <w:rsid w:val="3A027F19"/>
    <w:rsid w:val="3A414072"/>
    <w:rsid w:val="3A6D0632"/>
    <w:rsid w:val="3A812D72"/>
    <w:rsid w:val="3A937CAE"/>
    <w:rsid w:val="3AB605BC"/>
    <w:rsid w:val="3AD01A26"/>
    <w:rsid w:val="3AD153F6"/>
    <w:rsid w:val="3AFD61EB"/>
    <w:rsid w:val="3B424545"/>
    <w:rsid w:val="3B4C7172"/>
    <w:rsid w:val="3B6C265C"/>
    <w:rsid w:val="3B7C0B27"/>
    <w:rsid w:val="3B88430F"/>
    <w:rsid w:val="3B9F231E"/>
    <w:rsid w:val="3BBD1DB4"/>
    <w:rsid w:val="3BD04E07"/>
    <w:rsid w:val="3BF17E28"/>
    <w:rsid w:val="3C0C1A2F"/>
    <w:rsid w:val="3CD952FE"/>
    <w:rsid w:val="3D0875A4"/>
    <w:rsid w:val="3D480B40"/>
    <w:rsid w:val="3D516558"/>
    <w:rsid w:val="3D702CFD"/>
    <w:rsid w:val="3D7D1865"/>
    <w:rsid w:val="3D9273AE"/>
    <w:rsid w:val="3DB86DD6"/>
    <w:rsid w:val="3DC72D75"/>
    <w:rsid w:val="3DCC3B27"/>
    <w:rsid w:val="3DF01A15"/>
    <w:rsid w:val="3E774506"/>
    <w:rsid w:val="3E821234"/>
    <w:rsid w:val="3E9B311D"/>
    <w:rsid w:val="3EB7726D"/>
    <w:rsid w:val="3F224721"/>
    <w:rsid w:val="3F2D1069"/>
    <w:rsid w:val="3F3608E0"/>
    <w:rsid w:val="3FC1012F"/>
    <w:rsid w:val="3FD03675"/>
    <w:rsid w:val="400A444B"/>
    <w:rsid w:val="407F6985"/>
    <w:rsid w:val="408A6859"/>
    <w:rsid w:val="40FC0EDC"/>
    <w:rsid w:val="41076015"/>
    <w:rsid w:val="41124D31"/>
    <w:rsid w:val="4129310F"/>
    <w:rsid w:val="415E375B"/>
    <w:rsid w:val="417E6516"/>
    <w:rsid w:val="4191596D"/>
    <w:rsid w:val="41A86151"/>
    <w:rsid w:val="41A97065"/>
    <w:rsid w:val="41BC790C"/>
    <w:rsid w:val="41D67795"/>
    <w:rsid w:val="423E6349"/>
    <w:rsid w:val="425B4973"/>
    <w:rsid w:val="426E79CE"/>
    <w:rsid w:val="427B205B"/>
    <w:rsid w:val="427C658F"/>
    <w:rsid w:val="428B7DC0"/>
    <w:rsid w:val="42F93A95"/>
    <w:rsid w:val="431C1A21"/>
    <w:rsid w:val="43B60D20"/>
    <w:rsid w:val="43BF3D19"/>
    <w:rsid w:val="43C639D7"/>
    <w:rsid w:val="43D368B5"/>
    <w:rsid w:val="43DE6DD5"/>
    <w:rsid w:val="43E8153E"/>
    <w:rsid w:val="43F860E9"/>
    <w:rsid w:val="43FC27C7"/>
    <w:rsid w:val="44153FCD"/>
    <w:rsid w:val="441B7340"/>
    <w:rsid w:val="44337121"/>
    <w:rsid w:val="445A78DD"/>
    <w:rsid w:val="448F37D7"/>
    <w:rsid w:val="449803AE"/>
    <w:rsid w:val="44F44EB9"/>
    <w:rsid w:val="45766F29"/>
    <w:rsid w:val="459467CC"/>
    <w:rsid w:val="459B3D8B"/>
    <w:rsid w:val="45B44292"/>
    <w:rsid w:val="45DC5699"/>
    <w:rsid w:val="45FF375F"/>
    <w:rsid w:val="460528B8"/>
    <w:rsid w:val="462B7531"/>
    <w:rsid w:val="46540D30"/>
    <w:rsid w:val="46A17500"/>
    <w:rsid w:val="46B45C85"/>
    <w:rsid w:val="46B83054"/>
    <w:rsid w:val="46BE47C9"/>
    <w:rsid w:val="46C133EA"/>
    <w:rsid w:val="46F40419"/>
    <w:rsid w:val="4711679F"/>
    <w:rsid w:val="47307ABE"/>
    <w:rsid w:val="477036BD"/>
    <w:rsid w:val="479C7D76"/>
    <w:rsid w:val="47C334D7"/>
    <w:rsid w:val="47CE4C4C"/>
    <w:rsid w:val="482312F3"/>
    <w:rsid w:val="484216E1"/>
    <w:rsid w:val="48427933"/>
    <w:rsid w:val="48542559"/>
    <w:rsid w:val="48B80B7F"/>
    <w:rsid w:val="48CA5173"/>
    <w:rsid w:val="48EC1D27"/>
    <w:rsid w:val="4912188A"/>
    <w:rsid w:val="4915390D"/>
    <w:rsid w:val="4916491B"/>
    <w:rsid w:val="49307A8A"/>
    <w:rsid w:val="493D3BD5"/>
    <w:rsid w:val="493D786E"/>
    <w:rsid w:val="49773703"/>
    <w:rsid w:val="499E55EA"/>
    <w:rsid w:val="49B02FC2"/>
    <w:rsid w:val="49BF7239"/>
    <w:rsid w:val="49E71C16"/>
    <w:rsid w:val="4A4366F0"/>
    <w:rsid w:val="4AAA284E"/>
    <w:rsid w:val="4ACD20A9"/>
    <w:rsid w:val="4B0A239F"/>
    <w:rsid w:val="4B115670"/>
    <w:rsid w:val="4B1B37A6"/>
    <w:rsid w:val="4B2422E4"/>
    <w:rsid w:val="4B327839"/>
    <w:rsid w:val="4B662EA9"/>
    <w:rsid w:val="4B732868"/>
    <w:rsid w:val="4B8363C2"/>
    <w:rsid w:val="4B977F95"/>
    <w:rsid w:val="4BB93B50"/>
    <w:rsid w:val="4BDA6111"/>
    <w:rsid w:val="4C1C493F"/>
    <w:rsid w:val="4C4250A3"/>
    <w:rsid w:val="4C460283"/>
    <w:rsid w:val="4C5E4090"/>
    <w:rsid w:val="4C7D5BBB"/>
    <w:rsid w:val="4C8A0074"/>
    <w:rsid w:val="4C9B1090"/>
    <w:rsid w:val="4CB77648"/>
    <w:rsid w:val="4D633133"/>
    <w:rsid w:val="4D800B91"/>
    <w:rsid w:val="4D98462D"/>
    <w:rsid w:val="4DAE439C"/>
    <w:rsid w:val="4DCF483E"/>
    <w:rsid w:val="4DE65318"/>
    <w:rsid w:val="4E21420F"/>
    <w:rsid w:val="4E5521E5"/>
    <w:rsid w:val="4E85410C"/>
    <w:rsid w:val="4EAD1CD6"/>
    <w:rsid w:val="4EAD2C74"/>
    <w:rsid w:val="4EE259CC"/>
    <w:rsid w:val="4EF12228"/>
    <w:rsid w:val="4EF944D0"/>
    <w:rsid w:val="4F487E28"/>
    <w:rsid w:val="4F6463E1"/>
    <w:rsid w:val="4F7F4C73"/>
    <w:rsid w:val="4FB064A5"/>
    <w:rsid w:val="50090FDA"/>
    <w:rsid w:val="50101C28"/>
    <w:rsid w:val="503E33BF"/>
    <w:rsid w:val="506C089A"/>
    <w:rsid w:val="50B52F96"/>
    <w:rsid w:val="511358F6"/>
    <w:rsid w:val="51267DFC"/>
    <w:rsid w:val="515810C3"/>
    <w:rsid w:val="51581F75"/>
    <w:rsid w:val="516641F6"/>
    <w:rsid w:val="51C95F5F"/>
    <w:rsid w:val="51E24515"/>
    <w:rsid w:val="51E33BA6"/>
    <w:rsid w:val="51F427FA"/>
    <w:rsid w:val="5206327A"/>
    <w:rsid w:val="52157E66"/>
    <w:rsid w:val="522D6900"/>
    <w:rsid w:val="52345F03"/>
    <w:rsid w:val="524C6F14"/>
    <w:rsid w:val="52674576"/>
    <w:rsid w:val="526D1BC8"/>
    <w:rsid w:val="528353A3"/>
    <w:rsid w:val="528F1DFC"/>
    <w:rsid w:val="52950320"/>
    <w:rsid w:val="5310438A"/>
    <w:rsid w:val="53292FA0"/>
    <w:rsid w:val="533D1B5D"/>
    <w:rsid w:val="534722A1"/>
    <w:rsid w:val="53790CB6"/>
    <w:rsid w:val="53B35B89"/>
    <w:rsid w:val="53B51901"/>
    <w:rsid w:val="53BD2563"/>
    <w:rsid w:val="53F75078"/>
    <w:rsid w:val="542637B9"/>
    <w:rsid w:val="542B2BCB"/>
    <w:rsid w:val="54863B40"/>
    <w:rsid w:val="54B75F59"/>
    <w:rsid w:val="54BF6BCE"/>
    <w:rsid w:val="54C63415"/>
    <w:rsid w:val="54C740CA"/>
    <w:rsid w:val="54F0573D"/>
    <w:rsid w:val="55144D65"/>
    <w:rsid w:val="55517EC7"/>
    <w:rsid w:val="555B7C68"/>
    <w:rsid w:val="55DA5350"/>
    <w:rsid w:val="561F55DB"/>
    <w:rsid w:val="562543F0"/>
    <w:rsid w:val="562D21EE"/>
    <w:rsid w:val="56854D3B"/>
    <w:rsid w:val="5738076B"/>
    <w:rsid w:val="57CE11E3"/>
    <w:rsid w:val="57EB7AFF"/>
    <w:rsid w:val="586B1E4B"/>
    <w:rsid w:val="587D49B7"/>
    <w:rsid w:val="588A6106"/>
    <w:rsid w:val="58D91E54"/>
    <w:rsid w:val="58FF53B5"/>
    <w:rsid w:val="59543241"/>
    <w:rsid w:val="59584779"/>
    <w:rsid w:val="59655944"/>
    <w:rsid w:val="597E3BA4"/>
    <w:rsid w:val="599E23AF"/>
    <w:rsid w:val="59B47412"/>
    <w:rsid w:val="59FE66B3"/>
    <w:rsid w:val="5A184997"/>
    <w:rsid w:val="5A1924BD"/>
    <w:rsid w:val="5AC10B8B"/>
    <w:rsid w:val="5AD14C13"/>
    <w:rsid w:val="5AD405C9"/>
    <w:rsid w:val="5AF36529"/>
    <w:rsid w:val="5AF80325"/>
    <w:rsid w:val="5B3C1ED2"/>
    <w:rsid w:val="5B540D70"/>
    <w:rsid w:val="5B61752A"/>
    <w:rsid w:val="5B962162"/>
    <w:rsid w:val="5BA83AF9"/>
    <w:rsid w:val="5BC07FCE"/>
    <w:rsid w:val="5BCD0477"/>
    <w:rsid w:val="5BCD05BD"/>
    <w:rsid w:val="5BD42464"/>
    <w:rsid w:val="5BD93074"/>
    <w:rsid w:val="5BDB7A2A"/>
    <w:rsid w:val="5BF55BE0"/>
    <w:rsid w:val="5BF64864"/>
    <w:rsid w:val="5C0F5926"/>
    <w:rsid w:val="5C272C70"/>
    <w:rsid w:val="5C632A6E"/>
    <w:rsid w:val="5C6B0779"/>
    <w:rsid w:val="5CA164B1"/>
    <w:rsid w:val="5CB04913"/>
    <w:rsid w:val="5CD91C56"/>
    <w:rsid w:val="5D002DD3"/>
    <w:rsid w:val="5D5757D7"/>
    <w:rsid w:val="5D7C6D44"/>
    <w:rsid w:val="5D874E9B"/>
    <w:rsid w:val="5DA71878"/>
    <w:rsid w:val="5DC46523"/>
    <w:rsid w:val="5DDB1024"/>
    <w:rsid w:val="5E0B450A"/>
    <w:rsid w:val="5E0F5996"/>
    <w:rsid w:val="5EFA28BD"/>
    <w:rsid w:val="5F78486F"/>
    <w:rsid w:val="5FAB0949"/>
    <w:rsid w:val="5FAE0D40"/>
    <w:rsid w:val="5FB41AB8"/>
    <w:rsid w:val="5FB8188D"/>
    <w:rsid w:val="5FC232EC"/>
    <w:rsid w:val="5FC30197"/>
    <w:rsid w:val="601C1311"/>
    <w:rsid w:val="60451097"/>
    <w:rsid w:val="60600E46"/>
    <w:rsid w:val="6065645C"/>
    <w:rsid w:val="606E1A73"/>
    <w:rsid w:val="61205D96"/>
    <w:rsid w:val="614F06DE"/>
    <w:rsid w:val="61711B4C"/>
    <w:rsid w:val="62015415"/>
    <w:rsid w:val="6220263B"/>
    <w:rsid w:val="62483DFE"/>
    <w:rsid w:val="62614690"/>
    <w:rsid w:val="62685D90"/>
    <w:rsid w:val="627913CF"/>
    <w:rsid w:val="62797F9D"/>
    <w:rsid w:val="628C13E5"/>
    <w:rsid w:val="62B35448"/>
    <w:rsid w:val="62C356A1"/>
    <w:rsid w:val="62CB093D"/>
    <w:rsid w:val="62DD6EEB"/>
    <w:rsid w:val="6309353D"/>
    <w:rsid w:val="630B4D5C"/>
    <w:rsid w:val="63155F18"/>
    <w:rsid w:val="63275B40"/>
    <w:rsid w:val="635B3E16"/>
    <w:rsid w:val="63725C09"/>
    <w:rsid w:val="63BA0763"/>
    <w:rsid w:val="63E905A8"/>
    <w:rsid w:val="63EC6E0D"/>
    <w:rsid w:val="63F011EF"/>
    <w:rsid w:val="641C2867"/>
    <w:rsid w:val="642D54E3"/>
    <w:rsid w:val="643C65A1"/>
    <w:rsid w:val="6468651B"/>
    <w:rsid w:val="646F5051"/>
    <w:rsid w:val="64A303C6"/>
    <w:rsid w:val="64D916EF"/>
    <w:rsid w:val="64E35BC7"/>
    <w:rsid w:val="651D2366"/>
    <w:rsid w:val="6532537D"/>
    <w:rsid w:val="65344017"/>
    <w:rsid w:val="65362997"/>
    <w:rsid w:val="65680967"/>
    <w:rsid w:val="656907B0"/>
    <w:rsid w:val="659805B8"/>
    <w:rsid w:val="65B54883"/>
    <w:rsid w:val="65FA7647"/>
    <w:rsid w:val="660D08E5"/>
    <w:rsid w:val="66370323"/>
    <w:rsid w:val="66485387"/>
    <w:rsid w:val="66582345"/>
    <w:rsid w:val="669B2BD8"/>
    <w:rsid w:val="66A600BA"/>
    <w:rsid w:val="66B01E8C"/>
    <w:rsid w:val="66BD51CD"/>
    <w:rsid w:val="670267B3"/>
    <w:rsid w:val="67334BBF"/>
    <w:rsid w:val="67495FE4"/>
    <w:rsid w:val="67B22515"/>
    <w:rsid w:val="67B7228B"/>
    <w:rsid w:val="67FF03F1"/>
    <w:rsid w:val="68BC3B1D"/>
    <w:rsid w:val="68DC7F0C"/>
    <w:rsid w:val="68DE0B5A"/>
    <w:rsid w:val="6901225A"/>
    <w:rsid w:val="692840D6"/>
    <w:rsid w:val="693422DC"/>
    <w:rsid w:val="694035C3"/>
    <w:rsid w:val="69493201"/>
    <w:rsid w:val="696447FC"/>
    <w:rsid w:val="69704FF9"/>
    <w:rsid w:val="697C2E5E"/>
    <w:rsid w:val="69C12723"/>
    <w:rsid w:val="69EB1780"/>
    <w:rsid w:val="69F638FC"/>
    <w:rsid w:val="69FD762C"/>
    <w:rsid w:val="6A3D6297"/>
    <w:rsid w:val="6A621379"/>
    <w:rsid w:val="6AB37DC4"/>
    <w:rsid w:val="6AB63605"/>
    <w:rsid w:val="6AC8410A"/>
    <w:rsid w:val="6AFD6825"/>
    <w:rsid w:val="6B0A3567"/>
    <w:rsid w:val="6B0B7C00"/>
    <w:rsid w:val="6B215175"/>
    <w:rsid w:val="6B5D6B0E"/>
    <w:rsid w:val="6B851761"/>
    <w:rsid w:val="6BC54D4F"/>
    <w:rsid w:val="6BEA4F37"/>
    <w:rsid w:val="6BFF55A6"/>
    <w:rsid w:val="6C197F88"/>
    <w:rsid w:val="6C562D66"/>
    <w:rsid w:val="6C573D7E"/>
    <w:rsid w:val="6C7E30B5"/>
    <w:rsid w:val="6C9F4AA4"/>
    <w:rsid w:val="6CC23DDA"/>
    <w:rsid w:val="6CCE4F28"/>
    <w:rsid w:val="6CE528E6"/>
    <w:rsid w:val="6CED33DD"/>
    <w:rsid w:val="6CF601C3"/>
    <w:rsid w:val="6D001295"/>
    <w:rsid w:val="6E035053"/>
    <w:rsid w:val="6E532ED0"/>
    <w:rsid w:val="6E7973B3"/>
    <w:rsid w:val="6EA045A7"/>
    <w:rsid w:val="6EE90259"/>
    <w:rsid w:val="6EE94212"/>
    <w:rsid w:val="6F1F1ECC"/>
    <w:rsid w:val="6F233351"/>
    <w:rsid w:val="6F411E43"/>
    <w:rsid w:val="6F592BC7"/>
    <w:rsid w:val="6F8E449E"/>
    <w:rsid w:val="6FB578C5"/>
    <w:rsid w:val="6FD90225"/>
    <w:rsid w:val="700C707A"/>
    <w:rsid w:val="70110FDB"/>
    <w:rsid w:val="702D7498"/>
    <w:rsid w:val="704B1178"/>
    <w:rsid w:val="70B56644"/>
    <w:rsid w:val="70D319AF"/>
    <w:rsid w:val="70D37CC3"/>
    <w:rsid w:val="70DA7BA5"/>
    <w:rsid w:val="70F133F4"/>
    <w:rsid w:val="70F1600C"/>
    <w:rsid w:val="71614A1E"/>
    <w:rsid w:val="71CA611F"/>
    <w:rsid w:val="720D425E"/>
    <w:rsid w:val="721534C3"/>
    <w:rsid w:val="7239075E"/>
    <w:rsid w:val="7251260D"/>
    <w:rsid w:val="72DA669E"/>
    <w:rsid w:val="72DB37DB"/>
    <w:rsid w:val="72DC7BCE"/>
    <w:rsid w:val="72F64351"/>
    <w:rsid w:val="73290512"/>
    <w:rsid w:val="73884920"/>
    <w:rsid w:val="73944429"/>
    <w:rsid w:val="73A3131E"/>
    <w:rsid w:val="73AB599B"/>
    <w:rsid w:val="73AF7CC3"/>
    <w:rsid w:val="73FC458A"/>
    <w:rsid w:val="741B7D3F"/>
    <w:rsid w:val="74273CFD"/>
    <w:rsid w:val="74522823"/>
    <w:rsid w:val="746126D0"/>
    <w:rsid w:val="74637F1A"/>
    <w:rsid w:val="749E69CF"/>
    <w:rsid w:val="74AF0844"/>
    <w:rsid w:val="74B26060"/>
    <w:rsid w:val="74B66434"/>
    <w:rsid w:val="74CA3CC0"/>
    <w:rsid w:val="74CF23E7"/>
    <w:rsid w:val="7500786C"/>
    <w:rsid w:val="75332571"/>
    <w:rsid w:val="75396CDA"/>
    <w:rsid w:val="7561546C"/>
    <w:rsid w:val="75CE780D"/>
    <w:rsid w:val="76300AFA"/>
    <w:rsid w:val="76430DF0"/>
    <w:rsid w:val="76FC03FE"/>
    <w:rsid w:val="76FD4804"/>
    <w:rsid w:val="777918EB"/>
    <w:rsid w:val="77DA5A12"/>
    <w:rsid w:val="77DC5702"/>
    <w:rsid w:val="78227CD8"/>
    <w:rsid w:val="7829281A"/>
    <w:rsid w:val="784815D2"/>
    <w:rsid w:val="78902818"/>
    <w:rsid w:val="78994A9D"/>
    <w:rsid w:val="78B92555"/>
    <w:rsid w:val="78BC7A8A"/>
    <w:rsid w:val="78E31C25"/>
    <w:rsid w:val="790A599B"/>
    <w:rsid w:val="79666685"/>
    <w:rsid w:val="79986BD9"/>
    <w:rsid w:val="79A00574"/>
    <w:rsid w:val="79F041EC"/>
    <w:rsid w:val="79F32CCB"/>
    <w:rsid w:val="7A0837FC"/>
    <w:rsid w:val="7A7C01D3"/>
    <w:rsid w:val="7A8F43F6"/>
    <w:rsid w:val="7ACE731A"/>
    <w:rsid w:val="7AD44562"/>
    <w:rsid w:val="7AE82DB9"/>
    <w:rsid w:val="7B0F77C6"/>
    <w:rsid w:val="7B4A4786"/>
    <w:rsid w:val="7B6A44CF"/>
    <w:rsid w:val="7C27219A"/>
    <w:rsid w:val="7C3D04A0"/>
    <w:rsid w:val="7C8A6757"/>
    <w:rsid w:val="7CA5157F"/>
    <w:rsid w:val="7CBF2918"/>
    <w:rsid w:val="7D295114"/>
    <w:rsid w:val="7D4465B5"/>
    <w:rsid w:val="7D553689"/>
    <w:rsid w:val="7D562F76"/>
    <w:rsid w:val="7D860671"/>
    <w:rsid w:val="7D8E6B9B"/>
    <w:rsid w:val="7D9153AD"/>
    <w:rsid w:val="7DA55C93"/>
    <w:rsid w:val="7DEF4A64"/>
    <w:rsid w:val="7E221091"/>
    <w:rsid w:val="7E242CEB"/>
    <w:rsid w:val="7E2C6E37"/>
    <w:rsid w:val="7E3F0EC0"/>
    <w:rsid w:val="7E8D74B1"/>
    <w:rsid w:val="7EA551B4"/>
    <w:rsid w:val="7F574211"/>
    <w:rsid w:val="7F772B2B"/>
    <w:rsid w:val="7F9E7AC2"/>
    <w:rsid w:val="7FA90349"/>
    <w:rsid w:val="7FAA23BB"/>
    <w:rsid w:val="7FE9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6">
    <w:name w:val="heading 2"/>
    <w:basedOn w:val="1"/>
    <w:next w:val="1"/>
    <w:autoRedefine/>
    <w:qFormat/>
    <w:uiPriority w:val="0"/>
    <w:pPr>
      <w:keepNext/>
      <w:keepLines/>
      <w:spacing w:line="415" w:lineRule="auto"/>
      <w:outlineLvl w:val="1"/>
    </w:pPr>
    <w:rPr>
      <w:rFonts w:ascii="Arial" w:hAnsi="Arial" w:cs="Arial"/>
      <w:b/>
      <w:bCs/>
    </w:rPr>
  </w:style>
  <w:style w:type="paragraph" w:styleId="7">
    <w:name w:val="heading 3"/>
    <w:basedOn w:val="1"/>
    <w:next w:val="1"/>
    <w:autoRedefine/>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next w:val="4"/>
    <w:autoRedefine/>
    <w:qFormat/>
    <w:uiPriority w:val="0"/>
    <w:pPr>
      <w:ind w:firstLine="645"/>
    </w:pPr>
    <w:rPr>
      <w:rFonts w:ascii="Arial" w:hAnsi="Arial" w:eastAsia="仿宋_GB2312"/>
      <w:sz w:val="28"/>
    </w:rPr>
  </w:style>
  <w:style w:type="paragraph" w:styleId="4">
    <w:name w:val="envelope return"/>
    <w:basedOn w:val="1"/>
    <w:autoRedefine/>
    <w:qFormat/>
    <w:uiPriority w:val="0"/>
    <w:pPr>
      <w:snapToGrid w:val="0"/>
    </w:pPr>
    <w:rPr>
      <w:rFonts w:ascii="Arial" w:hAnsi="Arial" w:cs="Arial"/>
      <w:szCs w:val="24"/>
    </w:rPr>
  </w:style>
  <w:style w:type="paragraph" w:styleId="9">
    <w:name w:val="Document Map"/>
    <w:basedOn w:val="1"/>
    <w:autoRedefine/>
    <w:qFormat/>
    <w:uiPriority w:val="0"/>
    <w:pPr>
      <w:shd w:val="clear" w:color="auto" w:fill="000080"/>
    </w:pPr>
  </w:style>
  <w:style w:type="paragraph" w:styleId="10">
    <w:name w:val="Body Text"/>
    <w:basedOn w:val="1"/>
    <w:autoRedefine/>
    <w:qFormat/>
    <w:uiPriority w:val="1"/>
    <w:pPr>
      <w:ind w:left="700"/>
    </w:pPr>
    <w:rPr>
      <w:rFonts w:ascii="宋体" w:hAnsi="宋体" w:cs="宋体"/>
      <w:sz w:val="24"/>
      <w:szCs w:val="24"/>
      <w:lang w:val="zh-CN" w:bidi="zh-CN"/>
    </w:rPr>
  </w:style>
  <w:style w:type="paragraph" w:styleId="11">
    <w:name w:val="Block Text"/>
    <w:basedOn w:val="1"/>
    <w:semiHidden/>
    <w:unhideWhenUsed/>
    <w:qFormat/>
    <w:uiPriority w:val="99"/>
    <w:pPr>
      <w:spacing w:after="120"/>
      <w:ind w:left="1440" w:leftChars="700" w:right="1440" w:rightChars="700"/>
    </w:pPr>
  </w:style>
  <w:style w:type="paragraph" w:styleId="12">
    <w:name w:val="toc 3"/>
    <w:basedOn w:val="1"/>
    <w:next w:val="1"/>
    <w:autoRedefine/>
    <w:qFormat/>
    <w:uiPriority w:val="0"/>
    <w:pPr>
      <w:spacing w:before="100" w:beforeAutospacing="1" w:after="100" w:afterAutospacing="1"/>
      <w:ind w:left="400" w:leftChars="400"/>
    </w:pPr>
  </w:style>
  <w:style w:type="paragraph" w:styleId="13">
    <w:name w:val="Plain Text"/>
    <w:basedOn w:val="1"/>
    <w:autoRedefine/>
    <w:qFormat/>
    <w:uiPriority w:val="0"/>
    <w:rPr>
      <w:rFonts w:ascii="宋体" w:hAnsi="Courier New"/>
      <w:sz w:val="24"/>
    </w:rPr>
  </w:style>
  <w:style w:type="paragraph" w:styleId="14">
    <w:name w:val="Date"/>
    <w:basedOn w:val="1"/>
    <w:next w:val="1"/>
    <w:autoRedefine/>
    <w:qFormat/>
    <w:uiPriority w:val="0"/>
    <w:rPr>
      <w:rFonts w:ascii="仿宋_GB2312" w:hAnsi="宋体" w:eastAsia="仿宋_GB2312" w:cs="宋体"/>
      <w:sz w:val="30"/>
      <w:szCs w:val="30"/>
    </w:rPr>
  </w:style>
  <w:style w:type="paragraph" w:styleId="15">
    <w:name w:val="Body Text Indent 2"/>
    <w:basedOn w:val="1"/>
    <w:autoRedefine/>
    <w:qFormat/>
    <w:uiPriority w:val="0"/>
    <w:pPr>
      <w:ind w:left="630" w:firstLine="645"/>
    </w:pPr>
    <w:rPr>
      <w:rFonts w:ascii="Arial" w:hAnsi="Arial" w:eastAsia="仿宋_GB2312"/>
      <w:sz w:val="32"/>
      <w:szCs w:val="20"/>
    </w:rPr>
  </w:style>
  <w:style w:type="paragraph" w:styleId="16">
    <w:name w:val="footer"/>
    <w:basedOn w:val="1"/>
    <w:autoRedefine/>
    <w:qFormat/>
    <w:uiPriority w:val="0"/>
    <w:pPr>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autoRedefine/>
    <w:qFormat/>
    <w:uiPriority w:val="0"/>
    <w:pPr>
      <w:ind w:left="420" w:hanging="420"/>
    </w:pPr>
    <w:rPr>
      <w:rFonts w:ascii="Arial" w:hAnsi="Arial" w:eastAsia="楷体_GB2312"/>
      <w:sz w:val="28"/>
    </w:rPr>
  </w:style>
  <w:style w:type="paragraph" w:styleId="19">
    <w:name w:val="toc 2"/>
    <w:basedOn w:val="20"/>
    <w:next w:val="20"/>
    <w:autoRedefine/>
    <w:qFormat/>
    <w:uiPriority w:val="0"/>
    <w:rPr>
      <w:rFonts w:eastAsia="仿宋_GB2312"/>
      <w:b/>
      <w:bCs/>
      <w:sz w:val="24"/>
      <w:szCs w:val="24"/>
    </w:rPr>
  </w:style>
  <w:style w:type="paragraph" w:styleId="20">
    <w:name w:val="index 2"/>
    <w:basedOn w:val="1"/>
    <w:next w:val="1"/>
    <w:autoRedefine/>
    <w:qFormat/>
    <w:uiPriority w:val="0"/>
    <w:pPr>
      <w:spacing w:before="100" w:beforeAutospacing="1" w:after="100" w:afterAutospacing="1"/>
      <w:ind w:left="20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index 1"/>
    <w:basedOn w:val="1"/>
    <w:next w:val="1"/>
    <w:autoRedefine/>
    <w:semiHidden/>
    <w:qFormat/>
    <w:uiPriority w:val="0"/>
    <w:pPr>
      <w:jc w:val="center"/>
    </w:pPr>
    <w:rPr>
      <w:rFonts w:ascii="仿宋_GB2312" w:eastAsia="仿宋_GB2312"/>
      <w:b/>
      <w:bCs/>
      <w:sz w:val="28"/>
      <w:szCs w:val="20"/>
    </w:rPr>
  </w:style>
  <w:style w:type="paragraph" w:styleId="23">
    <w:name w:val="Body Text First Indent"/>
    <w:basedOn w:val="10"/>
    <w:autoRedefine/>
    <w:qFormat/>
    <w:uiPriority w:val="0"/>
    <w:pPr>
      <w:autoSpaceDE w:val="0"/>
      <w:autoSpaceDN w:val="0"/>
      <w:adjustRightInd w:val="0"/>
      <w:spacing w:line="360" w:lineRule="auto"/>
      <w:ind w:right="-24" w:rightChars="-10" w:firstLine="425" w:firstLineChars="225"/>
    </w:pPr>
    <w:rPr>
      <w:rFonts w:ascii="Arial" w:eastAsia="仿宋_GB2312" w:cs="Arial"/>
      <w:kern w:val="0"/>
      <w:szCs w:val="3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qFormat/>
    <w:uiPriority w:val="0"/>
    <w:rPr>
      <w:color w:val="0000FF"/>
      <w:u w:val="single"/>
    </w:rPr>
  </w:style>
  <w:style w:type="paragraph" w:styleId="30">
    <w:name w:val="List Paragraph"/>
    <w:basedOn w:val="1"/>
    <w:autoRedefine/>
    <w:qFormat/>
    <w:uiPriority w:val="34"/>
    <w:pPr>
      <w:ind w:firstLine="420" w:firstLineChars="200"/>
    </w:pPr>
  </w:style>
  <w:style w:type="paragraph" w:customStyle="1" w:styleId="31">
    <w:name w:val="H1"/>
    <w:basedOn w:val="6"/>
    <w:next w:val="32"/>
    <w:autoRedefine/>
    <w:qFormat/>
    <w:uiPriority w:val="0"/>
    <w:pPr>
      <w:spacing w:line="600" w:lineRule="exact"/>
      <w:jc w:val="center"/>
    </w:pPr>
    <w:rPr>
      <w:rFonts w:ascii="宋体" w:hAnsi="宋体" w:eastAsia="黑体" w:cs="宋体"/>
      <w:color w:val="000000"/>
      <w:sz w:val="32"/>
      <w:szCs w:val="32"/>
    </w:rPr>
  </w:style>
  <w:style w:type="paragraph" w:customStyle="1" w:styleId="32">
    <w:name w:val="GW-正文"/>
    <w:basedOn w:val="1"/>
    <w:autoRedefine/>
    <w:qFormat/>
    <w:uiPriority w:val="0"/>
    <w:pPr>
      <w:spacing w:line="360" w:lineRule="auto"/>
      <w:ind w:firstLine="200" w:firstLineChars="200"/>
      <w:contextualSpacing/>
    </w:pPr>
  </w:style>
  <w:style w:type="paragraph" w:customStyle="1" w:styleId="33">
    <w:name w:val="H2"/>
    <w:basedOn w:val="7"/>
    <w:next w:val="1"/>
    <w:autoRedefine/>
    <w:qFormat/>
    <w:uiPriority w:val="0"/>
    <w:pPr>
      <w:keepNext w:val="0"/>
      <w:keepLines w:val="0"/>
      <w:spacing w:line="360" w:lineRule="auto"/>
      <w:jc w:val="center"/>
    </w:pPr>
    <w:rPr>
      <w:rFonts w:ascii="宋体" w:hAnsi="宋体" w:cs="Arial"/>
      <w:color w:val="000000"/>
      <w:sz w:val="21"/>
      <w:szCs w:val="21"/>
    </w:rPr>
  </w:style>
  <w:style w:type="character" w:customStyle="1" w:styleId="34">
    <w:name w:val="16"/>
    <w:basedOn w:val="26"/>
    <w:autoRedefine/>
    <w:qFormat/>
    <w:uiPriority w:val="0"/>
    <w:rPr>
      <w:rFonts w:hint="default" w:ascii="Cambria" w:hAnsi="Cambria" w:cs="Times New Roman"/>
      <w:b/>
      <w:bCs/>
      <w:kern w:val="28"/>
      <w:sz w:val="21"/>
      <w:szCs w:val="21"/>
    </w:rPr>
  </w:style>
  <w:style w:type="paragraph" w:customStyle="1" w:styleId="35">
    <w:name w:val="p0"/>
    <w:basedOn w:val="1"/>
    <w:autoRedefine/>
    <w:qFormat/>
    <w:uiPriority w:val="0"/>
    <w:pPr>
      <w:widowControl/>
    </w:pPr>
    <w:rPr>
      <w:kern w:val="0"/>
    </w:rPr>
  </w:style>
  <w:style w:type="paragraph" w:customStyle="1" w:styleId="36">
    <w:name w:val="目录 71"/>
    <w:basedOn w:val="1"/>
    <w:next w:val="1"/>
    <w:autoRedefine/>
    <w:qFormat/>
    <w:uiPriority w:val="99"/>
    <w:pPr>
      <w:ind w:left="2520"/>
    </w:pPr>
    <w:rPr>
      <w:rFonts w:ascii="Calibri"/>
    </w:rPr>
  </w:style>
  <w:style w:type="paragraph" w:customStyle="1" w:styleId="37">
    <w:name w:val="*正文"/>
    <w:basedOn w:val="1"/>
    <w:autoRedefine/>
    <w:qFormat/>
    <w:uiPriority w:val="0"/>
    <w:pPr>
      <w:widowControl/>
      <w:spacing w:line="360" w:lineRule="auto"/>
      <w:ind w:firstLine="480" w:firstLineChars="200"/>
    </w:pPr>
    <w:rPr>
      <w:rFonts w:eastAsia="仿宋_GB2312"/>
      <w:sz w:val="24"/>
      <w:szCs w:val="28"/>
    </w:rPr>
  </w:style>
  <w:style w:type="paragraph" w:customStyle="1" w:styleId="38">
    <w:name w:val="列表段落1"/>
    <w:basedOn w:val="1"/>
    <w:autoRedefine/>
    <w:qFormat/>
    <w:uiPriority w:val="34"/>
    <w:pPr>
      <w:ind w:firstLine="420" w:firstLineChars="200"/>
    </w:pPr>
  </w:style>
  <w:style w:type="paragraph" w:customStyle="1" w:styleId="39">
    <w:name w:val="CES正文"/>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0">
    <w:name w:val="内容"/>
    <w:basedOn w:val="1"/>
    <w:autoRedefine/>
    <w:qFormat/>
    <w:uiPriority w:val="0"/>
    <w:pPr>
      <w:spacing w:line="360" w:lineRule="auto"/>
      <w:ind w:firstLine="420" w:firstLineChars="200"/>
    </w:pPr>
    <w:rPr>
      <w:rFonts w:ascii="华文仿宋" w:hAnsi="华文仿宋" w:eastAsia="仿宋_GB2312"/>
      <w:sz w:val="28"/>
    </w:rPr>
  </w:style>
  <w:style w:type="paragraph" w:customStyle="1" w:styleId="41">
    <w:name w:val="Normal_19"/>
    <w:autoRedefine/>
    <w:qFormat/>
    <w:uiPriority w:val="0"/>
    <w:pPr>
      <w:widowControl w:val="0"/>
      <w:jc w:val="both"/>
    </w:pPr>
    <w:rPr>
      <w:rFonts w:ascii="Calibri" w:hAnsi="Calibri" w:eastAsia="宋体" w:cs="Times New Roman"/>
      <w:lang w:val="en-US" w:eastAsia="zh-CN" w:bidi="ar-SA"/>
    </w:rPr>
  </w:style>
  <w:style w:type="paragraph" w:customStyle="1" w:styleId="42">
    <w:name w:val="Normal_21"/>
    <w:autoRedefine/>
    <w:qFormat/>
    <w:uiPriority w:val="0"/>
    <w:pPr>
      <w:widowControl w:val="0"/>
      <w:jc w:val="both"/>
    </w:pPr>
    <w:rPr>
      <w:rFonts w:ascii="Calibri" w:hAnsi="Calibri" w:eastAsia="Times New Roman" w:cs="Times New Roman"/>
      <w:lang w:val="en-US" w:eastAsia="zh-CN" w:bidi="ar-SA"/>
    </w:rPr>
  </w:style>
  <w:style w:type="paragraph" w:customStyle="1" w:styleId="43">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Heading #1|1"/>
    <w:basedOn w:val="1"/>
    <w:autoRedefine/>
    <w:qFormat/>
    <w:uiPriority w:val="0"/>
    <w:pPr>
      <w:spacing w:after="6340"/>
      <w:jc w:val="center"/>
      <w:outlineLvl w:val="0"/>
    </w:pPr>
    <w:rPr>
      <w:rFonts w:ascii="宋体" w:hAnsi="宋体" w:cs="宋体"/>
      <w:color w:val="2D2C30"/>
      <w:sz w:val="70"/>
      <w:szCs w:val="70"/>
      <w:lang w:val="zh-TW" w:eastAsia="zh-TW" w:bidi="zh-TW"/>
    </w:rPr>
  </w:style>
  <w:style w:type="paragraph" w:customStyle="1" w:styleId="45">
    <w:name w:val="Body text|1"/>
    <w:basedOn w:val="1"/>
    <w:autoRedefine/>
    <w:qFormat/>
    <w:uiPriority w:val="0"/>
    <w:pPr>
      <w:spacing w:line="434" w:lineRule="auto"/>
      <w:ind w:firstLine="400"/>
    </w:pPr>
    <w:rPr>
      <w:rFonts w:ascii="宋体" w:hAnsi="宋体" w:cs="宋体"/>
      <w:color w:val="2D2C30"/>
      <w:sz w:val="28"/>
      <w:szCs w:val="28"/>
      <w:lang w:val="zh-TW" w:eastAsia="zh-TW" w:bidi="zh-TW"/>
    </w:rPr>
  </w:style>
  <w:style w:type="paragraph" w:customStyle="1" w:styleId="46">
    <w:name w:val="Body text|2"/>
    <w:basedOn w:val="1"/>
    <w:autoRedefine/>
    <w:qFormat/>
    <w:uiPriority w:val="0"/>
    <w:pPr>
      <w:spacing w:after="130" w:line="346" w:lineRule="auto"/>
      <w:ind w:firstLine="590"/>
    </w:pPr>
    <w:rPr>
      <w:color w:val="2D2C30"/>
      <w:sz w:val="30"/>
      <w:szCs w:val="30"/>
      <w:u w:val="single"/>
      <w:lang w:val="zh-TW" w:eastAsia="zh-TW" w:bidi="zh-TW"/>
    </w:rPr>
  </w:style>
  <w:style w:type="paragraph" w:customStyle="1" w:styleId="47">
    <w:name w:val="Header or footer|2"/>
    <w:basedOn w:val="1"/>
    <w:autoRedefine/>
    <w:qFormat/>
    <w:uiPriority w:val="0"/>
    <w:rPr>
      <w:sz w:val="20"/>
      <w:szCs w:val="20"/>
      <w:lang w:val="zh-TW" w:eastAsia="zh-TW" w:bidi="zh-TW"/>
    </w:rPr>
  </w:style>
  <w:style w:type="paragraph" w:customStyle="1" w:styleId="48">
    <w:name w:val="D&amp;L"/>
    <w:basedOn w:val="17"/>
    <w:qFormat/>
    <w:uiPriority w:val="0"/>
    <w:pPr>
      <w:pBdr>
        <w:bottom w:val="thinThickSmallGap" w:color="auto" w:sz="12" w:space="1"/>
      </w:pBdr>
      <w:adjustRightInd w:val="0"/>
      <w:snapToGrid/>
      <w:spacing w:line="240" w:lineRule="atLeast"/>
      <w:textAlignment w:val="baseline"/>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17810</Words>
  <Characters>18668</Characters>
  <Lines>125</Lines>
  <Paragraphs>35</Paragraphs>
  <TotalTime>13</TotalTime>
  <ScaleCrop>false</ScaleCrop>
  <LinksUpToDate>false</LinksUpToDate>
  <CharactersWithSpaces>19670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2019-10-02T02:14:00Z</dcterms:created>
  <dc:creator>WZJ，Champion</dc:creator>
  <cp:lastModifiedBy>惊了</cp:lastModifiedBy>
  <cp:lastPrinted>2025-01-17T02:39:00Z</cp:lastPrinted>
  <dcterms:modified xsi:type="dcterms:W3CDTF">2025-02-07T03:59:33Z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C37AB39A82004A70A844F57EB03F203A_13</vt:lpwstr>
  </property>
  <property fmtid="{D5CDD505-2E9C-101B-9397-08002B2CF9AE}" pid="4" name="KSOTemplateDocerSaveRecord">
    <vt:lpwstr>eyJoZGlkIjoiZDIwZDJhMDIyNTljMDc1MzVhNjk3MGYxNThmYjYzZTgiLCJ1c2VySWQiOiIyNTI5NDIzNTgifQ==</vt:lpwstr>
  </property>
</Properties>
</file>