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CF19E">
      <w:pPr>
        <w:wordWrap w:val="0"/>
        <w:spacing w:line="600" w:lineRule="auto"/>
        <w:jc w:val="center"/>
        <w:outlineLvl w:val="0"/>
        <w:rPr>
          <w:rFonts w:ascii="宋体" w:hAnsi="宋体" w:cs="宋体"/>
          <w:b/>
          <w:bCs/>
          <w:snapToGrid w:val="0"/>
          <w:color w:val="auto"/>
          <w:kern w:val="0"/>
          <w:sz w:val="40"/>
          <w:szCs w:val="40"/>
          <w:highlight w:val="none"/>
        </w:rPr>
      </w:pPr>
      <w:r>
        <w:rPr>
          <w:rFonts w:hint="eastAsia" w:ascii="宋体" w:hAnsi="宋体" w:cs="宋体"/>
          <w:b/>
          <w:bCs/>
          <w:snapToGrid w:val="0"/>
          <w:color w:val="auto"/>
          <w:kern w:val="0"/>
          <w:sz w:val="40"/>
          <w:szCs w:val="40"/>
          <w:highlight w:val="none"/>
        </w:rPr>
        <w:t>采购项目：皖北卫生职业学院</w:t>
      </w:r>
      <w:r>
        <w:rPr>
          <w:rFonts w:hint="eastAsia" w:ascii="宋体" w:hAnsi="宋体" w:cs="宋体"/>
          <w:b/>
          <w:bCs/>
          <w:snapToGrid w:val="0"/>
          <w:color w:val="auto"/>
          <w:kern w:val="0"/>
          <w:sz w:val="40"/>
          <w:szCs w:val="40"/>
          <w:highlight w:val="none"/>
          <w:lang w:val="en-US" w:eastAsia="zh-CN"/>
        </w:rPr>
        <w:t>第一</w:t>
      </w:r>
      <w:r>
        <w:rPr>
          <w:rFonts w:hint="eastAsia" w:ascii="宋体" w:hAnsi="宋体" w:cs="宋体"/>
          <w:b/>
          <w:bCs/>
          <w:snapToGrid w:val="0"/>
          <w:color w:val="auto"/>
          <w:kern w:val="0"/>
          <w:sz w:val="40"/>
          <w:szCs w:val="40"/>
          <w:highlight w:val="none"/>
        </w:rPr>
        <w:t>食堂经营服务项目</w:t>
      </w:r>
    </w:p>
    <w:p w14:paraId="450F01E8">
      <w:pPr>
        <w:tabs>
          <w:tab w:val="left" w:pos="420"/>
        </w:tabs>
        <w:wordWrap w:val="0"/>
        <w:spacing w:line="600" w:lineRule="auto"/>
        <w:jc w:val="center"/>
        <w:rPr>
          <w:rFonts w:hint="default" w:ascii="宋体" w:hAnsi="宋体" w:eastAsia="宋体" w:cs="宋体"/>
          <w:b/>
          <w:bCs/>
          <w:snapToGrid w:val="0"/>
          <w:color w:val="auto"/>
          <w:kern w:val="0"/>
          <w:sz w:val="28"/>
          <w:szCs w:val="28"/>
          <w:highlight w:val="none"/>
          <w:lang w:val="en-US" w:eastAsia="zh-CN"/>
        </w:rPr>
      </w:pPr>
      <w:r>
        <w:rPr>
          <w:rFonts w:hint="eastAsia" w:ascii="宋体" w:hAnsi="宋体" w:cs="宋体"/>
          <w:b/>
          <w:bCs/>
          <w:snapToGrid w:val="0"/>
          <w:color w:val="auto"/>
          <w:kern w:val="0"/>
          <w:sz w:val="28"/>
          <w:szCs w:val="28"/>
          <w:highlight w:val="none"/>
        </w:rPr>
        <w:t>项目编号：</w:t>
      </w:r>
      <w:r>
        <w:rPr>
          <w:rFonts w:hint="eastAsia" w:ascii="宋体" w:hAnsi="宋体" w:cs="宋体"/>
          <w:b/>
          <w:bCs/>
          <w:snapToGrid w:val="0"/>
          <w:color w:val="auto"/>
          <w:kern w:val="0"/>
          <w:sz w:val="28"/>
          <w:szCs w:val="28"/>
          <w:highlight w:val="none"/>
          <w:lang w:val="en-US" w:eastAsia="zh-CN"/>
        </w:rPr>
        <w:t>DXJS-20240705</w:t>
      </w:r>
    </w:p>
    <w:p w14:paraId="4E0401C4">
      <w:pPr>
        <w:tabs>
          <w:tab w:val="left" w:pos="420"/>
        </w:tabs>
        <w:wordWrap w:val="0"/>
        <w:spacing w:line="360" w:lineRule="auto"/>
        <w:rPr>
          <w:rFonts w:ascii="宋体" w:hAnsi="宋体" w:cs="宋体"/>
          <w:snapToGrid w:val="0"/>
          <w:color w:val="auto"/>
          <w:kern w:val="0"/>
          <w:sz w:val="28"/>
          <w:szCs w:val="28"/>
          <w:highlight w:val="none"/>
        </w:rPr>
      </w:pPr>
    </w:p>
    <w:p w14:paraId="2F0FC28E">
      <w:pPr>
        <w:tabs>
          <w:tab w:val="left" w:pos="315"/>
          <w:tab w:val="left" w:pos="8820"/>
        </w:tabs>
        <w:wordWrap w:val="0"/>
        <w:spacing w:line="360" w:lineRule="auto"/>
        <w:jc w:val="center"/>
        <w:rPr>
          <w:rFonts w:ascii="宋体" w:hAnsi="宋体" w:cs="宋体"/>
          <w:b/>
          <w:bCs/>
          <w:snapToGrid w:val="0"/>
          <w:color w:val="auto"/>
          <w:kern w:val="0"/>
          <w:sz w:val="72"/>
          <w:szCs w:val="72"/>
          <w:highlight w:val="none"/>
        </w:rPr>
      </w:pPr>
    </w:p>
    <w:p w14:paraId="46DC3C82">
      <w:pPr>
        <w:tabs>
          <w:tab w:val="left" w:pos="315"/>
          <w:tab w:val="left" w:pos="8820"/>
        </w:tabs>
        <w:wordWrap w:val="0"/>
        <w:spacing w:line="360" w:lineRule="auto"/>
        <w:jc w:val="center"/>
        <w:outlineLvl w:val="0"/>
        <w:rPr>
          <w:rFonts w:ascii="宋体" w:hAnsi="宋体" w:cs="宋体"/>
          <w:b/>
          <w:bCs/>
          <w:snapToGrid w:val="0"/>
          <w:color w:val="auto"/>
          <w:kern w:val="0"/>
          <w:sz w:val="72"/>
          <w:szCs w:val="72"/>
          <w:highlight w:val="none"/>
        </w:rPr>
      </w:pPr>
      <w:r>
        <w:rPr>
          <w:rFonts w:hint="eastAsia" w:ascii="宋体" w:hAnsi="宋体" w:cs="宋体"/>
          <w:b/>
          <w:bCs/>
          <w:snapToGrid w:val="0"/>
          <w:color w:val="auto"/>
          <w:kern w:val="0"/>
          <w:sz w:val="72"/>
          <w:szCs w:val="72"/>
          <w:highlight w:val="none"/>
        </w:rPr>
        <w:t>招</w:t>
      </w:r>
    </w:p>
    <w:p w14:paraId="04020478">
      <w:pPr>
        <w:tabs>
          <w:tab w:val="left" w:pos="315"/>
          <w:tab w:val="left" w:pos="8820"/>
        </w:tabs>
        <w:wordWrap w:val="0"/>
        <w:spacing w:line="360" w:lineRule="auto"/>
        <w:jc w:val="center"/>
        <w:outlineLvl w:val="0"/>
        <w:rPr>
          <w:rFonts w:ascii="宋体" w:hAnsi="宋体" w:cs="宋体"/>
          <w:b/>
          <w:bCs/>
          <w:snapToGrid w:val="0"/>
          <w:color w:val="auto"/>
          <w:kern w:val="0"/>
          <w:sz w:val="72"/>
          <w:szCs w:val="72"/>
          <w:highlight w:val="none"/>
        </w:rPr>
      </w:pPr>
      <w:r>
        <w:rPr>
          <w:rFonts w:hint="eastAsia" w:ascii="宋体" w:hAnsi="宋体" w:cs="宋体"/>
          <w:b/>
          <w:bCs/>
          <w:snapToGrid w:val="0"/>
          <w:color w:val="auto"/>
          <w:kern w:val="0"/>
          <w:sz w:val="72"/>
          <w:szCs w:val="72"/>
          <w:highlight w:val="none"/>
        </w:rPr>
        <w:t>标</w:t>
      </w:r>
    </w:p>
    <w:p w14:paraId="09B83F72">
      <w:pPr>
        <w:tabs>
          <w:tab w:val="left" w:pos="315"/>
          <w:tab w:val="left" w:pos="8820"/>
        </w:tabs>
        <w:wordWrap w:val="0"/>
        <w:spacing w:line="360" w:lineRule="auto"/>
        <w:jc w:val="center"/>
        <w:outlineLvl w:val="0"/>
        <w:rPr>
          <w:rFonts w:ascii="宋体" w:hAnsi="宋体" w:cs="宋体"/>
          <w:b/>
          <w:bCs/>
          <w:snapToGrid w:val="0"/>
          <w:color w:val="auto"/>
          <w:kern w:val="0"/>
          <w:sz w:val="72"/>
          <w:szCs w:val="72"/>
          <w:highlight w:val="none"/>
        </w:rPr>
      </w:pPr>
      <w:r>
        <w:rPr>
          <w:rFonts w:hint="eastAsia" w:ascii="宋体" w:hAnsi="宋体" w:cs="宋体"/>
          <w:b/>
          <w:bCs/>
          <w:snapToGrid w:val="0"/>
          <w:color w:val="auto"/>
          <w:kern w:val="0"/>
          <w:sz w:val="72"/>
          <w:szCs w:val="72"/>
          <w:highlight w:val="none"/>
        </w:rPr>
        <w:t>文</w:t>
      </w:r>
    </w:p>
    <w:p w14:paraId="7866B4E1">
      <w:pPr>
        <w:tabs>
          <w:tab w:val="left" w:pos="315"/>
          <w:tab w:val="left" w:pos="8820"/>
        </w:tabs>
        <w:wordWrap w:val="0"/>
        <w:spacing w:line="360" w:lineRule="auto"/>
        <w:jc w:val="center"/>
        <w:outlineLvl w:val="0"/>
        <w:rPr>
          <w:rFonts w:ascii="宋体" w:hAnsi="宋体" w:cs="宋体"/>
          <w:b/>
          <w:bCs/>
          <w:snapToGrid w:val="0"/>
          <w:color w:val="auto"/>
          <w:kern w:val="0"/>
          <w:sz w:val="72"/>
          <w:szCs w:val="72"/>
          <w:highlight w:val="none"/>
        </w:rPr>
      </w:pPr>
      <w:r>
        <w:rPr>
          <w:rFonts w:hint="eastAsia" w:ascii="宋体" w:hAnsi="宋体" w:cs="宋体"/>
          <w:b/>
          <w:bCs/>
          <w:snapToGrid w:val="0"/>
          <w:color w:val="auto"/>
          <w:kern w:val="0"/>
          <w:sz w:val="72"/>
          <w:szCs w:val="72"/>
          <w:highlight w:val="none"/>
        </w:rPr>
        <w:t>件</w:t>
      </w:r>
    </w:p>
    <w:p w14:paraId="42999BD1">
      <w:pPr>
        <w:tabs>
          <w:tab w:val="left" w:pos="315"/>
          <w:tab w:val="left" w:pos="8820"/>
        </w:tabs>
        <w:wordWrap w:val="0"/>
        <w:spacing w:line="500" w:lineRule="exact"/>
        <w:jc w:val="center"/>
        <w:rPr>
          <w:rFonts w:ascii="宋体" w:hAnsi="宋体" w:cs="宋体"/>
          <w:snapToGrid w:val="0"/>
          <w:color w:val="auto"/>
          <w:kern w:val="0"/>
          <w:sz w:val="44"/>
          <w:highlight w:val="none"/>
        </w:rPr>
      </w:pPr>
    </w:p>
    <w:p w14:paraId="2B463289">
      <w:pPr>
        <w:tabs>
          <w:tab w:val="left" w:pos="315"/>
          <w:tab w:val="left" w:pos="8820"/>
        </w:tabs>
        <w:wordWrap w:val="0"/>
        <w:spacing w:line="500" w:lineRule="exact"/>
        <w:jc w:val="center"/>
        <w:rPr>
          <w:rFonts w:ascii="宋体" w:hAnsi="宋体" w:cs="宋体"/>
          <w:snapToGrid w:val="0"/>
          <w:color w:val="auto"/>
          <w:kern w:val="0"/>
          <w:sz w:val="44"/>
          <w:highlight w:val="none"/>
        </w:rPr>
      </w:pPr>
    </w:p>
    <w:p w14:paraId="4D7B2D1E">
      <w:pPr>
        <w:tabs>
          <w:tab w:val="left" w:pos="315"/>
          <w:tab w:val="left" w:pos="8820"/>
        </w:tabs>
        <w:wordWrap w:val="0"/>
        <w:spacing w:line="500" w:lineRule="exact"/>
        <w:jc w:val="center"/>
        <w:rPr>
          <w:rFonts w:ascii="宋体" w:hAnsi="宋体" w:cs="宋体"/>
          <w:snapToGrid w:val="0"/>
          <w:color w:val="auto"/>
          <w:kern w:val="0"/>
          <w:sz w:val="48"/>
          <w:szCs w:val="24"/>
          <w:highlight w:val="none"/>
        </w:rPr>
      </w:pPr>
    </w:p>
    <w:p w14:paraId="11AE6178">
      <w:pPr>
        <w:wordWrap w:val="0"/>
        <w:jc w:val="center"/>
        <w:outlineLvl w:val="0"/>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采购人：皖北卫生职业学院（盖章）</w:t>
      </w:r>
    </w:p>
    <w:p w14:paraId="01255F0E">
      <w:pPr>
        <w:wordWrap w:val="0"/>
        <w:jc w:val="center"/>
        <w:outlineLvl w:val="0"/>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代理机构：达信建设发展有限公司（盖章）</w:t>
      </w:r>
    </w:p>
    <w:p w14:paraId="4EF81914">
      <w:pPr>
        <w:wordWrap w:val="0"/>
        <w:jc w:val="center"/>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监督部门：</w:t>
      </w:r>
      <w:r>
        <w:rPr>
          <w:rFonts w:hint="eastAsia" w:ascii="宋体" w:hAnsi="宋体" w:cs="宋体"/>
          <w:b/>
          <w:bCs/>
          <w:snapToGrid w:val="0"/>
          <w:color w:val="auto"/>
          <w:kern w:val="0"/>
          <w:sz w:val="32"/>
          <w:szCs w:val="32"/>
          <w:highlight w:val="none"/>
        </w:rPr>
        <w:tab/>
      </w:r>
      <w:r>
        <w:rPr>
          <w:rFonts w:hint="eastAsia" w:ascii="宋体" w:hAnsi="宋体" w:cs="宋体"/>
          <w:b/>
          <w:bCs/>
          <w:snapToGrid w:val="0"/>
          <w:color w:val="auto"/>
          <w:kern w:val="0"/>
          <w:sz w:val="32"/>
          <w:szCs w:val="32"/>
          <w:highlight w:val="none"/>
        </w:rPr>
        <w:t>皖北卫生职业学院</w:t>
      </w:r>
    </w:p>
    <w:p w14:paraId="229ABCA1">
      <w:pPr>
        <w:wordWrap w:val="0"/>
        <w:jc w:val="center"/>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202</w:t>
      </w:r>
      <w:r>
        <w:rPr>
          <w:rFonts w:hint="eastAsia" w:ascii="宋体" w:hAnsi="宋体" w:cs="宋体"/>
          <w:b/>
          <w:bCs/>
          <w:snapToGrid w:val="0"/>
          <w:color w:val="auto"/>
          <w:kern w:val="0"/>
          <w:sz w:val="32"/>
          <w:szCs w:val="32"/>
          <w:highlight w:val="none"/>
          <w:lang w:val="en-US" w:eastAsia="zh-CN"/>
        </w:rPr>
        <w:t>4</w:t>
      </w:r>
      <w:r>
        <w:rPr>
          <w:rFonts w:hint="eastAsia" w:ascii="宋体" w:hAnsi="宋体" w:cs="宋体"/>
          <w:b/>
          <w:bCs/>
          <w:snapToGrid w:val="0"/>
          <w:color w:val="auto"/>
          <w:kern w:val="0"/>
          <w:sz w:val="32"/>
          <w:szCs w:val="32"/>
          <w:highlight w:val="none"/>
        </w:rPr>
        <w:t>年0</w:t>
      </w:r>
      <w:r>
        <w:rPr>
          <w:rFonts w:hint="eastAsia" w:ascii="宋体" w:hAnsi="宋体" w:cs="宋体"/>
          <w:b/>
          <w:bCs/>
          <w:snapToGrid w:val="0"/>
          <w:color w:val="auto"/>
          <w:kern w:val="0"/>
          <w:sz w:val="32"/>
          <w:szCs w:val="32"/>
          <w:highlight w:val="none"/>
          <w:lang w:val="en-US" w:eastAsia="zh-CN"/>
        </w:rPr>
        <w:t>7</w:t>
      </w:r>
      <w:r>
        <w:rPr>
          <w:rFonts w:hint="eastAsia" w:ascii="宋体" w:hAnsi="宋体" w:cs="宋体"/>
          <w:b/>
          <w:bCs/>
          <w:snapToGrid w:val="0"/>
          <w:color w:val="auto"/>
          <w:kern w:val="0"/>
          <w:sz w:val="32"/>
          <w:szCs w:val="32"/>
          <w:highlight w:val="none"/>
        </w:rPr>
        <w:t>月</w:t>
      </w:r>
    </w:p>
    <w:p w14:paraId="6BF95DF9">
      <w:pPr>
        <w:wordWrap w:val="0"/>
        <w:jc w:val="center"/>
        <w:rPr>
          <w:rFonts w:ascii="宋体" w:hAnsi="宋体" w:cs="宋体"/>
          <w:snapToGrid w:val="0"/>
          <w:color w:val="auto"/>
          <w:kern w:val="0"/>
          <w:sz w:val="28"/>
          <w:szCs w:val="28"/>
          <w:highlight w:val="none"/>
        </w:rPr>
      </w:pPr>
    </w:p>
    <w:p w14:paraId="148E89D3">
      <w:pPr>
        <w:jc w:val="center"/>
        <w:rPr>
          <w:b/>
          <w:color w:val="auto"/>
          <w:sz w:val="32"/>
          <w:szCs w:val="32"/>
          <w:highlight w:val="none"/>
        </w:rPr>
        <w:sectPr>
          <w:footerReference r:id="rId3" w:type="default"/>
          <w:pgSz w:w="11910" w:h="16850"/>
          <w:pgMar w:top="1440" w:right="1080" w:bottom="1440" w:left="1080" w:header="1001" w:footer="981" w:gutter="0"/>
          <w:pgNumType w:fmt="decimal"/>
          <w:cols w:space="0" w:num="1"/>
          <w:docGrid w:type="linesAndChars" w:linePitch="288" w:charSpace="-4058"/>
        </w:sectPr>
      </w:pPr>
    </w:p>
    <w:p w14:paraId="2E590F11">
      <w:pPr>
        <w:jc w:val="center"/>
        <w:rPr>
          <w:b/>
          <w:color w:val="auto"/>
          <w:sz w:val="32"/>
          <w:szCs w:val="32"/>
          <w:highlight w:val="none"/>
        </w:rPr>
      </w:pPr>
      <w:r>
        <w:rPr>
          <w:b/>
          <w:color w:val="auto"/>
          <w:sz w:val="32"/>
          <w:szCs w:val="32"/>
          <w:highlight w:val="none"/>
        </w:rPr>
        <w:t>监督部门和交易平台</w:t>
      </w:r>
    </w:p>
    <w:p w14:paraId="6E899181">
      <w:pPr>
        <w:pStyle w:val="32"/>
        <w:ind w:firstLine="520"/>
        <w:jc w:val="left"/>
        <w:rPr>
          <w:rFonts w:ascii="黑体" w:hAnsi="黑体" w:eastAsia="黑体"/>
          <w:color w:val="auto"/>
          <w:sz w:val="28"/>
          <w:szCs w:val="28"/>
          <w:highlight w:val="none"/>
        </w:rPr>
      </w:pPr>
    </w:p>
    <w:p w14:paraId="461FF6F0">
      <w:pPr>
        <w:pStyle w:val="32"/>
        <w:ind w:firstLine="520"/>
        <w:jc w:val="left"/>
        <w:outlineLvl w:val="1"/>
        <w:rPr>
          <w:rFonts w:ascii="黑体" w:hAnsi="黑体" w:eastAsia="黑体"/>
          <w:color w:val="auto"/>
          <w:sz w:val="28"/>
          <w:szCs w:val="28"/>
          <w:highlight w:val="none"/>
        </w:rPr>
      </w:pPr>
      <w:r>
        <w:rPr>
          <w:rFonts w:hint="eastAsia" w:ascii="黑体" w:hAnsi="黑体" w:eastAsia="黑体"/>
          <w:color w:val="auto"/>
          <w:sz w:val="28"/>
          <w:szCs w:val="28"/>
          <w:highlight w:val="none"/>
        </w:rPr>
        <w:t>一、本项目监督部门：</w:t>
      </w:r>
      <w:r>
        <w:rPr>
          <w:rFonts w:hint="eastAsia" w:ascii="黑体" w:hAnsi="黑体" w:eastAsia="黑体"/>
          <w:color w:val="auto"/>
          <w:sz w:val="28"/>
          <w:szCs w:val="28"/>
          <w:highlight w:val="none"/>
          <w:u w:val="single"/>
        </w:rPr>
        <w:t xml:space="preserve">  皖北卫生职业学院</w:t>
      </w:r>
    </w:p>
    <w:p w14:paraId="3802DCB1">
      <w:pPr>
        <w:ind w:firstLine="522" w:firstLineChars="200"/>
        <w:jc w:val="left"/>
        <w:rPr>
          <w:rFonts w:ascii="宋体" w:hAnsi="宋体"/>
          <w:color w:val="auto"/>
          <w:sz w:val="28"/>
          <w:szCs w:val="28"/>
          <w:highlight w:val="none"/>
        </w:rPr>
      </w:pPr>
    </w:p>
    <w:p w14:paraId="54E298D6">
      <w:pPr>
        <w:ind w:firstLine="522" w:firstLineChars="200"/>
        <w:jc w:val="left"/>
        <w:rPr>
          <w:rFonts w:ascii="宋体" w:hAnsi="宋体"/>
          <w:color w:val="auto"/>
          <w:sz w:val="28"/>
          <w:szCs w:val="28"/>
          <w:highlight w:val="none"/>
          <w:u w:val="single"/>
        </w:rPr>
      </w:pPr>
      <w:r>
        <w:rPr>
          <w:rFonts w:hint="eastAsia" w:ascii="宋体" w:hAnsi="宋体"/>
          <w:color w:val="auto"/>
          <w:sz w:val="28"/>
          <w:szCs w:val="28"/>
          <w:highlight w:val="none"/>
        </w:rPr>
        <w:t>地址：皖北卫生职业学院</w:t>
      </w:r>
    </w:p>
    <w:p w14:paraId="697609DF">
      <w:pPr>
        <w:ind w:firstLine="522" w:firstLineChars="200"/>
        <w:jc w:val="left"/>
        <w:rPr>
          <w:rFonts w:ascii="宋体" w:hAnsi="宋体"/>
          <w:color w:val="auto"/>
          <w:sz w:val="28"/>
          <w:szCs w:val="28"/>
          <w:highlight w:val="none"/>
        </w:rPr>
      </w:pPr>
    </w:p>
    <w:p w14:paraId="5BB51EB7">
      <w:pPr>
        <w:ind w:firstLine="914" w:firstLineChars="350"/>
        <w:jc w:val="left"/>
        <w:rPr>
          <w:rFonts w:ascii="黑体" w:hAnsi="黑体" w:eastAsia="黑体"/>
          <w:color w:val="auto"/>
          <w:sz w:val="28"/>
          <w:szCs w:val="28"/>
          <w:highlight w:val="none"/>
          <w:u w:val="single"/>
        </w:rPr>
      </w:pPr>
    </w:p>
    <w:p w14:paraId="261827D4">
      <w:pPr>
        <w:ind w:firstLine="914" w:firstLineChars="350"/>
        <w:jc w:val="left"/>
        <w:rPr>
          <w:rFonts w:ascii="黑体" w:hAnsi="黑体" w:eastAsia="黑体"/>
          <w:color w:val="auto"/>
          <w:sz w:val="28"/>
          <w:szCs w:val="28"/>
          <w:highlight w:val="none"/>
        </w:rPr>
      </w:pPr>
    </w:p>
    <w:p w14:paraId="403CF90C">
      <w:pPr>
        <w:ind w:firstLine="914" w:firstLineChars="350"/>
        <w:jc w:val="left"/>
        <w:rPr>
          <w:rFonts w:ascii="黑体" w:hAnsi="黑体" w:eastAsia="黑体"/>
          <w:color w:val="auto"/>
          <w:sz w:val="28"/>
          <w:szCs w:val="28"/>
          <w:highlight w:val="none"/>
        </w:rPr>
      </w:pPr>
    </w:p>
    <w:p w14:paraId="6F255A65">
      <w:pPr>
        <w:ind w:firstLine="522" w:firstLineChars="200"/>
        <w:jc w:val="left"/>
        <w:outlineLvl w:val="1"/>
        <w:rPr>
          <w:rFonts w:ascii="黑体" w:hAnsi="黑体" w:eastAsia="黑体"/>
          <w:color w:val="auto"/>
          <w:sz w:val="28"/>
          <w:szCs w:val="28"/>
          <w:highlight w:val="none"/>
        </w:rPr>
      </w:pPr>
      <w:r>
        <w:rPr>
          <w:rFonts w:hint="eastAsia" w:ascii="黑体" w:hAnsi="黑体" w:eastAsia="黑体"/>
          <w:color w:val="auto"/>
          <w:sz w:val="28"/>
          <w:szCs w:val="28"/>
          <w:highlight w:val="none"/>
        </w:rPr>
        <w:t>二、</w:t>
      </w:r>
      <w:r>
        <w:rPr>
          <w:rFonts w:ascii="黑体" w:hAnsi="黑体" w:eastAsia="黑体"/>
          <w:color w:val="auto"/>
          <w:sz w:val="28"/>
          <w:szCs w:val="28"/>
          <w:highlight w:val="none"/>
        </w:rPr>
        <w:t>本项目交易平台所在地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宿州市</w:t>
      </w:r>
      <w:r>
        <w:rPr>
          <w:rFonts w:ascii="黑体" w:hAnsi="黑体" w:eastAsia="黑体"/>
          <w:color w:val="auto"/>
          <w:sz w:val="28"/>
          <w:szCs w:val="28"/>
          <w:highlight w:val="none"/>
        </w:rPr>
        <w:t>公共资源交易中心</w:t>
      </w:r>
    </w:p>
    <w:p w14:paraId="27FA60F8">
      <w:pPr>
        <w:pStyle w:val="32"/>
        <w:ind w:firstLine="0" w:firstLineChars="0"/>
        <w:jc w:val="left"/>
        <w:rPr>
          <w:rFonts w:ascii="黑体" w:hAnsi="黑体" w:eastAsia="黑体"/>
          <w:color w:val="auto"/>
          <w:sz w:val="28"/>
          <w:szCs w:val="28"/>
          <w:highlight w:val="none"/>
        </w:rPr>
      </w:pPr>
    </w:p>
    <w:p w14:paraId="7FF353A1">
      <w:pPr>
        <w:pStyle w:val="32"/>
        <w:ind w:firstLine="520"/>
        <w:jc w:val="left"/>
        <w:rPr>
          <w:color w:val="auto"/>
          <w:sz w:val="28"/>
          <w:szCs w:val="28"/>
          <w:highlight w:val="none"/>
          <w:u w:val="single"/>
        </w:rPr>
      </w:pPr>
      <w:r>
        <w:rPr>
          <w:color w:val="auto"/>
          <w:sz w:val="28"/>
          <w:szCs w:val="28"/>
          <w:highlight w:val="none"/>
        </w:rPr>
        <w:t>地</w:t>
      </w:r>
      <w:r>
        <w:rPr>
          <w:rFonts w:hint="eastAsia"/>
          <w:color w:val="auto"/>
          <w:sz w:val="28"/>
          <w:szCs w:val="28"/>
          <w:highlight w:val="none"/>
        </w:rPr>
        <w:t>址</w:t>
      </w:r>
      <w:r>
        <w:rPr>
          <w:color w:val="auto"/>
          <w:sz w:val="28"/>
          <w:szCs w:val="28"/>
          <w:highlight w:val="none"/>
        </w:rPr>
        <w:t>：</w:t>
      </w:r>
      <w:r>
        <w:rPr>
          <w:rFonts w:hint="eastAsia"/>
          <w:color w:val="auto"/>
          <w:sz w:val="28"/>
          <w:szCs w:val="28"/>
          <w:highlight w:val="none"/>
          <w:u w:val="single"/>
        </w:rPr>
        <w:t>宿州市埇桥区埇上路 566 号（市政务服务中心 5 楼）</w:t>
      </w:r>
    </w:p>
    <w:p w14:paraId="64B1D24A">
      <w:pPr>
        <w:pStyle w:val="32"/>
        <w:ind w:firstLine="520"/>
        <w:jc w:val="left"/>
        <w:rPr>
          <w:color w:val="auto"/>
          <w:sz w:val="28"/>
          <w:szCs w:val="28"/>
          <w:highlight w:val="none"/>
        </w:rPr>
      </w:pPr>
    </w:p>
    <w:p w14:paraId="1CD5753D">
      <w:pPr>
        <w:pStyle w:val="32"/>
        <w:ind w:firstLine="520"/>
        <w:jc w:val="left"/>
        <w:rPr>
          <w:color w:val="auto"/>
          <w:sz w:val="28"/>
          <w:szCs w:val="28"/>
          <w:highlight w:val="none"/>
        </w:rPr>
      </w:pPr>
      <w:r>
        <w:rPr>
          <w:color w:val="auto"/>
          <w:sz w:val="28"/>
          <w:szCs w:val="28"/>
          <w:highlight w:val="none"/>
        </w:rPr>
        <w:t>电话：</w:t>
      </w:r>
      <w:r>
        <w:rPr>
          <w:rFonts w:hint="eastAsia"/>
          <w:color w:val="auto"/>
          <w:sz w:val="28"/>
          <w:szCs w:val="28"/>
          <w:highlight w:val="none"/>
          <w:u w:val="single"/>
        </w:rPr>
        <w:t xml:space="preserve">       0557-3030329      </w:t>
      </w:r>
    </w:p>
    <w:p w14:paraId="1A1F9FFA">
      <w:pPr>
        <w:pStyle w:val="32"/>
        <w:ind w:firstLine="520"/>
        <w:jc w:val="left"/>
        <w:rPr>
          <w:color w:val="auto"/>
          <w:sz w:val="28"/>
          <w:szCs w:val="28"/>
          <w:highlight w:val="none"/>
        </w:rPr>
      </w:pPr>
    </w:p>
    <w:p w14:paraId="24F12AFF">
      <w:pPr>
        <w:pStyle w:val="32"/>
        <w:ind w:firstLine="520"/>
        <w:jc w:val="left"/>
        <w:rPr>
          <w:color w:val="auto"/>
          <w:sz w:val="28"/>
          <w:szCs w:val="28"/>
          <w:highlight w:val="none"/>
        </w:rPr>
      </w:pPr>
      <w:r>
        <w:rPr>
          <w:color w:val="auto"/>
          <w:sz w:val="28"/>
          <w:szCs w:val="28"/>
          <w:highlight w:val="none"/>
        </w:rPr>
        <w:t>网址：http://</w:t>
      </w:r>
      <w:r>
        <w:rPr>
          <w:rFonts w:hint="eastAsia"/>
          <w:color w:val="auto"/>
          <w:sz w:val="28"/>
          <w:szCs w:val="28"/>
          <w:highlight w:val="none"/>
          <w:u w:val="single"/>
        </w:rPr>
        <w:t xml:space="preserve"> ggzyjy.ahsz.gov.cn/  </w:t>
      </w:r>
    </w:p>
    <w:p w14:paraId="7A1E0D71">
      <w:pPr>
        <w:pStyle w:val="32"/>
        <w:ind w:firstLine="520"/>
        <w:jc w:val="left"/>
        <w:rPr>
          <w:color w:val="auto"/>
          <w:sz w:val="28"/>
          <w:szCs w:val="28"/>
          <w:highlight w:val="none"/>
        </w:rPr>
      </w:pPr>
      <w:r>
        <w:rPr>
          <w:color w:val="auto"/>
          <w:sz w:val="28"/>
          <w:szCs w:val="28"/>
          <w:highlight w:val="none"/>
        </w:rPr>
        <w:t>（保证金缴纳）户名：</w:t>
      </w:r>
      <w:r>
        <w:rPr>
          <w:rFonts w:hint="eastAsia"/>
          <w:color w:val="auto"/>
          <w:sz w:val="28"/>
          <w:szCs w:val="28"/>
          <w:highlight w:val="none"/>
          <w:u w:val="single"/>
        </w:rPr>
        <w:t>/</w:t>
      </w:r>
    </w:p>
    <w:p w14:paraId="76F94470">
      <w:pPr>
        <w:pStyle w:val="32"/>
        <w:ind w:firstLine="520"/>
        <w:jc w:val="left"/>
        <w:rPr>
          <w:color w:val="auto"/>
          <w:sz w:val="28"/>
          <w:szCs w:val="28"/>
          <w:highlight w:val="none"/>
        </w:rPr>
      </w:pPr>
    </w:p>
    <w:p w14:paraId="45A6B8FF">
      <w:pPr>
        <w:pStyle w:val="32"/>
        <w:ind w:firstLine="520"/>
        <w:jc w:val="left"/>
        <w:rPr>
          <w:rFonts w:ascii="黑体" w:hAnsi="黑体"/>
          <w:color w:val="auto"/>
          <w:sz w:val="28"/>
          <w:szCs w:val="28"/>
          <w:highlight w:val="none"/>
        </w:rPr>
      </w:pPr>
      <w:r>
        <w:rPr>
          <w:color w:val="auto"/>
          <w:sz w:val="28"/>
          <w:szCs w:val="28"/>
          <w:highlight w:val="none"/>
        </w:rPr>
        <w:t>开户行：</w:t>
      </w:r>
      <w:r>
        <w:rPr>
          <w:rFonts w:hint="eastAsia"/>
          <w:color w:val="auto"/>
          <w:sz w:val="28"/>
          <w:szCs w:val="28"/>
          <w:highlight w:val="none"/>
          <w:u w:val="single"/>
        </w:rPr>
        <w:t>/</w:t>
      </w:r>
    </w:p>
    <w:p w14:paraId="053E1B54">
      <w:pPr>
        <w:wordWrap w:val="0"/>
        <w:jc w:val="center"/>
        <w:rPr>
          <w:rFonts w:ascii="宋体" w:hAnsi="宋体" w:cs="宋体"/>
          <w:b/>
          <w:snapToGrid w:val="0"/>
          <w:color w:val="auto"/>
          <w:kern w:val="0"/>
          <w:sz w:val="32"/>
          <w:szCs w:val="32"/>
          <w:highlight w:val="none"/>
        </w:rPr>
      </w:pPr>
    </w:p>
    <w:p w14:paraId="5B053DBB">
      <w:pPr>
        <w:wordWrap w:val="0"/>
        <w:jc w:val="center"/>
        <w:rPr>
          <w:rFonts w:ascii="宋体" w:hAnsi="宋体" w:cs="宋体"/>
          <w:b/>
          <w:snapToGrid w:val="0"/>
          <w:color w:val="auto"/>
          <w:kern w:val="0"/>
          <w:sz w:val="32"/>
          <w:szCs w:val="32"/>
          <w:highlight w:val="none"/>
        </w:rPr>
      </w:pPr>
    </w:p>
    <w:p w14:paraId="4B7DB155">
      <w:pPr>
        <w:wordWrap w:val="0"/>
        <w:jc w:val="center"/>
        <w:rPr>
          <w:rFonts w:ascii="宋体" w:hAnsi="宋体" w:cs="宋体"/>
          <w:b/>
          <w:snapToGrid w:val="0"/>
          <w:color w:val="auto"/>
          <w:kern w:val="0"/>
          <w:sz w:val="32"/>
          <w:szCs w:val="32"/>
          <w:highlight w:val="none"/>
        </w:rPr>
      </w:pPr>
    </w:p>
    <w:p w14:paraId="319837B5">
      <w:pPr>
        <w:wordWrap w:val="0"/>
        <w:jc w:val="center"/>
        <w:rPr>
          <w:rFonts w:ascii="宋体" w:hAnsi="宋体" w:cs="宋体"/>
          <w:b/>
          <w:snapToGrid w:val="0"/>
          <w:color w:val="auto"/>
          <w:kern w:val="0"/>
          <w:sz w:val="32"/>
          <w:szCs w:val="32"/>
          <w:highlight w:val="none"/>
        </w:rPr>
      </w:pPr>
    </w:p>
    <w:p w14:paraId="7939F829">
      <w:pPr>
        <w:wordWrap w:val="0"/>
        <w:jc w:val="center"/>
        <w:rPr>
          <w:rFonts w:hint="eastAsia" w:ascii="宋体" w:hAnsi="宋体" w:cs="宋体"/>
          <w:b/>
          <w:snapToGrid w:val="0"/>
          <w:color w:val="auto"/>
          <w:kern w:val="0"/>
          <w:sz w:val="32"/>
          <w:szCs w:val="32"/>
          <w:highlight w:val="none"/>
        </w:rPr>
        <w:sectPr>
          <w:footerReference r:id="rId4" w:type="default"/>
          <w:pgSz w:w="11910" w:h="16850"/>
          <w:pgMar w:top="1440" w:right="1080" w:bottom="1440" w:left="1080" w:header="1001" w:footer="981" w:gutter="0"/>
          <w:pgNumType w:fmt="decimal" w:start="1"/>
          <w:cols w:space="0" w:num="1"/>
          <w:docGrid w:type="linesAndChars" w:linePitch="288" w:charSpace="-4058"/>
        </w:sectPr>
      </w:pPr>
    </w:p>
    <w:p w14:paraId="55C71B1D">
      <w:pPr>
        <w:wordWrap w:val="0"/>
        <w:jc w:val="center"/>
        <w:rPr>
          <w:rFonts w:ascii="宋体" w:hAnsi="宋体" w:cs="宋体"/>
          <w:b/>
          <w:snapToGrid w:val="0"/>
          <w:color w:val="auto"/>
          <w:kern w:val="0"/>
          <w:sz w:val="32"/>
          <w:szCs w:val="32"/>
          <w:highlight w:val="none"/>
        </w:rPr>
      </w:pPr>
      <w:bookmarkStart w:id="0" w:name="_Toc482084450"/>
      <w:bookmarkStart w:id="1" w:name="_Toc17415"/>
      <w:bookmarkStart w:id="2" w:name="_Toc19929"/>
      <w:bookmarkStart w:id="3" w:name="_Toc21383"/>
      <w:r>
        <w:rPr>
          <w:rFonts w:hint="eastAsia" w:ascii="宋体" w:hAnsi="宋体" w:cs="宋体"/>
          <w:b/>
          <w:snapToGrid w:val="0"/>
          <w:color w:val="auto"/>
          <w:kern w:val="0"/>
          <w:sz w:val="32"/>
          <w:szCs w:val="32"/>
          <w:highlight w:val="none"/>
        </w:rPr>
        <w:t>目录</w:t>
      </w:r>
    </w:p>
    <w:p w14:paraId="7D1CC122">
      <w:pPr>
        <w:pStyle w:val="17"/>
        <w:tabs>
          <w:tab w:val="right" w:leader="dot" w:pos="9750"/>
        </w:tabs>
        <w:spacing w:line="520" w:lineRule="exact"/>
        <w:rPr>
          <w:color w:val="auto"/>
          <w:highlight w:val="none"/>
        </w:rPr>
      </w:pPr>
      <w:r>
        <w:rPr>
          <w:rFonts w:hint="eastAsia"/>
          <w:caps w:val="0"/>
          <w:snapToGrid w:val="0"/>
          <w:color w:val="auto"/>
          <w:kern w:val="0"/>
          <w:highlight w:val="none"/>
        </w:rPr>
        <w:fldChar w:fldCharType="begin"/>
      </w:r>
      <w:r>
        <w:rPr>
          <w:rFonts w:hint="eastAsia"/>
          <w:caps w:val="0"/>
          <w:snapToGrid w:val="0"/>
          <w:color w:val="auto"/>
          <w:kern w:val="0"/>
          <w:highlight w:val="none"/>
        </w:rPr>
        <w:instrText xml:space="preserve"> TOC \o "1-3" \h \z \u </w:instrText>
      </w:r>
      <w:r>
        <w:rPr>
          <w:rFonts w:hint="eastAsia"/>
          <w:caps w:val="0"/>
          <w:snapToGrid w:val="0"/>
          <w:color w:val="auto"/>
          <w:kern w:val="0"/>
          <w:highlight w:val="none"/>
        </w:rPr>
        <w:fldChar w:fldCharType="separate"/>
      </w:r>
      <w:r>
        <w:rPr>
          <w:color w:val="auto"/>
          <w:highlight w:val="none"/>
        </w:rPr>
        <w:fldChar w:fldCharType="begin"/>
      </w:r>
      <w:r>
        <w:rPr>
          <w:color w:val="auto"/>
          <w:highlight w:val="none"/>
        </w:rPr>
        <w:instrText xml:space="preserve"> HYPERLINK \l "_Toc5576" </w:instrText>
      </w:r>
      <w:r>
        <w:rPr>
          <w:color w:val="auto"/>
          <w:highlight w:val="none"/>
        </w:rPr>
        <w:fldChar w:fldCharType="separate"/>
      </w:r>
      <w:r>
        <w:rPr>
          <w:rFonts w:hint="eastAsia"/>
          <w:caps w:val="0"/>
          <w:snapToGrid w:val="0"/>
          <w:color w:val="auto"/>
          <w:kern w:val="0"/>
          <w:highlight w:val="none"/>
        </w:rPr>
        <w:t>招标文件第一部分（专用部分）</w:t>
      </w:r>
      <w:r>
        <w:rPr>
          <w:color w:val="auto"/>
          <w:highlight w:val="none"/>
        </w:rPr>
        <w:tab/>
      </w:r>
      <w:r>
        <w:rPr>
          <w:color w:val="auto"/>
          <w:highlight w:val="none"/>
        </w:rPr>
        <w:fldChar w:fldCharType="begin"/>
      </w:r>
      <w:r>
        <w:rPr>
          <w:color w:val="auto"/>
          <w:highlight w:val="none"/>
        </w:rPr>
        <w:instrText xml:space="preserve"> PAGEREF _Toc5576 \h </w:instrText>
      </w:r>
      <w:r>
        <w:rPr>
          <w:color w:val="auto"/>
          <w:highlight w:val="none"/>
        </w:rPr>
        <w:fldChar w:fldCharType="separate"/>
      </w:r>
      <w:r>
        <w:rPr>
          <w:color w:val="auto"/>
          <w:highlight w:val="none"/>
        </w:rPr>
        <w:t xml:space="preserve">- </w:t>
      </w:r>
      <w:r>
        <w:rPr>
          <w:rFonts w:hint="eastAsia"/>
          <w:color w:val="auto"/>
          <w:highlight w:val="none"/>
          <w:lang w:val="en-US" w:eastAsia="zh-CN"/>
        </w:rPr>
        <w:t>1</w:t>
      </w:r>
      <w:r>
        <w:rPr>
          <w:color w:val="auto"/>
          <w:highlight w:val="none"/>
        </w:rPr>
        <w:t xml:space="preserve"> -</w:t>
      </w:r>
      <w:r>
        <w:rPr>
          <w:color w:val="auto"/>
          <w:highlight w:val="none"/>
        </w:rPr>
        <w:fldChar w:fldCharType="end"/>
      </w:r>
      <w:r>
        <w:rPr>
          <w:color w:val="auto"/>
          <w:highlight w:val="none"/>
        </w:rPr>
        <w:fldChar w:fldCharType="end"/>
      </w:r>
    </w:p>
    <w:p w14:paraId="022A9596">
      <w:pPr>
        <w:pStyle w:val="18"/>
        <w:tabs>
          <w:tab w:val="right" w:leader="dot" w:pos="9750"/>
          <w:tab w:val="clear" w:pos="9403"/>
        </w:tabs>
        <w:spacing w:line="520" w:lineRule="exact"/>
        <w:ind w:left="380"/>
        <w:rPr>
          <w:color w:val="auto"/>
          <w:highlight w:val="none"/>
        </w:rPr>
      </w:pPr>
      <w:r>
        <w:rPr>
          <w:color w:val="auto"/>
          <w:highlight w:val="none"/>
        </w:rPr>
        <w:fldChar w:fldCharType="begin"/>
      </w:r>
      <w:r>
        <w:rPr>
          <w:color w:val="auto"/>
          <w:highlight w:val="none"/>
        </w:rPr>
        <w:instrText xml:space="preserve"> HYPERLINK \l "_Toc4967" </w:instrText>
      </w:r>
      <w:r>
        <w:rPr>
          <w:color w:val="auto"/>
          <w:highlight w:val="none"/>
        </w:rPr>
        <w:fldChar w:fldCharType="separate"/>
      </w:r>
      <w:r>
        <w:rPr>
          <w:rFonts w:hint="eastAsia"/>
          <w:smallCaps w:val="0"/>
          <w:snapToGrid w:val="0"/>
          <w:color w:val="auto"/>
          <w:kern w:val="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_Toc4967 \h </w:instrText>
      </w:r>
      <w:r>
        <w:rPr>
          <w:color w:val="auto"/>
          <w:highlight w:val="none"/>
        </w:rPr>
        <w:fldChar w:fldCharType="separate"/>
      </w:r>
      <w:r>
        <w:rPr>
          <w:color w:val="auto"/>
          <w:highlight w:val="none"/>
        </w:rPr>
        <w:t xml:space="preserve">- </w:t>
      </w:r>
      <w:r>
        <w:rPr>
          <w:rFonts w:hint="eastAsia"/>
          <w:color w:val="auto"/>
          <w:highlight w:val="none"/>
          <w:lang w:val="en-US" w:eastAsia="zh-CN"/>
        </w:rPr>
        <w:t>1</w:t>
      </w:r>
      <w:r>
        <w:rPr>
          <w:color w:val="auto"/>
          <w:highlight w:val="none"/>
        </w:rPr>
        <w:t>-</w:t>
      </w:r>
      <w:r>
        <w:rPr>
          <w:color w:val="auto"/>
          <w:highlight w:val="none"/>
        </w:rPr>
        <w:fldChar w:fldCharType="end"/>
      </w:r>
      <w:r>
        <w:rPr>
          <w:color w:val="auto"/>
          <w:highlight w:val="none"/>
        </w:rPr>
        <w:fldChar w:fldCharType="end"/>
      </w:r>
    </w:p>
    <w:p w14:paraId="192B6B7B">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"_Toc28164" </w:instrText>
      </w:r>
      <w:r>
        <w:rPr>
          <w:color w:val="auto"/>
          <w:highlight w:val="none"/>
        </w:rPr>
        <w:fldChar w:fldCharType="separate"/>
      </w:r>
      <w:r>
        <w:rPr>
          <w:rFonts w:hint="eastAsia"/>
          <w:snapToGrid w:val="0"/>
          <w:color w:val="auto"/>
          <w:kern w:val="0"/>
          <w:szCs w:val="24"/>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_Toc28164 \h </w:instrText>
      </w:r>
      <w:r>
        <w:rPr>
          <w:color w:val="auto"/>
          <w:highlight w:val="none"/>
        </w:rPr>
        <w:fldChar w:fldCharType="separate"/>
      </w:r>
      <w:r>
        <w:rPr>
          <w:color w:val="auto"/>
          <w:highlight w:val="none"/>
        </w:rPr>
        <w:t xml:space="preserve">- </w:t>
      </w:r>
      <w:r>
        <w:rPr>
          <w:rFonts w:hint="eastAsia"/>
          <w:color w:val="auto"/>
          <w:highlight w:val="none"/>
          <w:lang w:val="en-US" w:eastAsia="zh-CN"/>
        </w:rPr>
        <w:t>1</w:t>
      </w:r>
      <w:r>
        <w:rPr>
          <w:color w:val="auto"/>
          <w:highlight w:val="none"/>
        </w:rPr>
        <w:t>-</w:t>
      </w:r>
      <w:r>
        <w:rPr>
          <w:color w:val="auto"/>
          <w:highlight w:val="none"/>
        </w:rPr>
        <w:fldChar w:fldCharType="end"/>
      </w:r>
      <w:r>
        <w:rPr>
          <w:color w:val="auto"/>
          <w:highlight w:val="none"/>
        </w:rPr>
        <w:fldChar w:fldCharType="end"/>
      </w:r>
    </w:p>
    <w:p w14:paraId="0983CBC2">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"_Toc28723" </w:instrText>
      </w:r>
      <w:r>
        <w:rPr>
          <w:color w:val="auto"/>
          <w:highlight w:val="none"/>
        </w:rPr>
        <w:fldChar w:fldCharType="separate"/>
      </w:r>
      <w:r>
        <w:rPr>
          <w:rFonts w:hint="eastAsia"/>
          <w:snapToGrid w:val="0"/>
          <w:color w:val="auto"/>
          <w:kern w:val="0"/>
          <w:szCs w:val="24"/>
          <w:highlight w:val="none"/>
        </w:rPr>
        <w:t>二、申请人的资格要求</w:t>
      </w:r>
      <w:r>
        <w:rPr>
          <w:color w:val="auto"/>
          <w:highlight w:val="none"/>
        </w:rPr>
        <w:tab/>
      </w:r>
      <w:r>
        <w:rPr>
          <w:color w:val="auto"/>
          <w:highlight w:val="none"/>
        </w:rPr>
        <w:fldChar w:fldCharType="begin"/>
      </w:r>
      <w:r>
        <w:rPr>
          <w:color w:val="auto"/>
          <w:highlight w:val="none"/>
        </w:rPr>
        <w:instrText xml:space="preserve"> PAGEREF _Toc28723 \h </w:instrText>
      </w:r>
      <w:r>
        <w:rPr>
          <w:color w:val="auto"/>
          <w:highlight w:val="none"/>
        </w:rPr>
        <w:fldChar w:fldCharType="separate"/>
      </w:r>
      <w:r>
        <w:rPr>
          <w:color w:val="auto"/>
          <w:highlight w:val="none"/>
        </w:rPr>
        <w:t xml:space="preserve">- </w:t>
      </w:r>
      <w:r>
        <w:rPr>
          <w:rFonts w:hint="eastAsia"/>
          <w:color w:val="auto"/>
          <w:highlight w:val="none"/>
          <w:lang w:val="en-US" w:eastAsia="zh-CN"/>
        </w:rPr>
        <w:t>1</w:t>
      </w:r>
      <w:r>
        <w:rPr>
          <w:color w:val="auto"/>
          <w:highlight w:val="none"/>
        </w:rPr>
        <w:t xml:space="preserve"> -</w:t>
      </w:r>
      <w:r>
        <w:rPr>
          <w:color w:val="auto"/>
          <w:highlight w:val="none"/>
        </w:rPr>
        <w:fldChar w:fldCharType="end"/>
      </w:r>
      <w:r>
        <w:rPr>
          <w:color w:val="auto"/>
          <w:highlight w:val="none"/>
        </w:rPr>
        <w:fldChar w:fldCharType="end"/>
      </w:r>
    </w:p>
    <w:p w14:paraId="66367FBB">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"_Toc20032" </w:instrText>
      </w:r>
      <w:r>
        <w:rPr>
          <w:color w:val="auto"/>
          <w:highlight w:val="none"/>
        </w:rPr>
        <w:fldChar w:fldCharType="separate"/>
      </w:r>
      <w:r>
        <w:rPr>
          <w:rFonts w:hint="eastAsia"/>
          <w:snapToGrid w:val="0"/>
          <w:color w:val="auto"/>
          <w:kern w:val="0"/>
          <w:szCs w:val="24"/>
          <w:highlight w:val="none"/>
        </w:rPr>
        <w:t>三、获取招标文件</w:t>
      </w:r>
      <w:r>
        <w:rPr>
          <w:color w:val="auto"/>
          <w:highlight w:val="none"/>
        </w:rPr>
        <w:tab/>
      </w:r>
      <w:r>
        <w:rPr>
          <w:color w:val="auto"/>
          <w:highlight w:val="none"/>
        </w:rPr>
        <w:fldChar w:fldCharType="begin"/>
      </w:r>
      <w:r>
        <w:rPr>
          <w:color w:val="auto"/>
          <w:highlight w:val="none"/>
        </w:rPr>
        <w:instrText xml:space="preserve"> PAGEREF _Toc20032 \h </w:instrText>
      </w:r>
      <w:r>
        <w:rPr>
          <w:color w:val="auto"/>
          <w:highlight w:val="none"/>
        </w:rPr>
        <w:fldChar w:fldCharType="separate"/>
      </w:r>
      <w:r>
        <w:rPr>
          <w:color w:val="auto"/>
          <w:highlight w:val="none"/>
        </w:rPr>
        <w:t xml:space="preserve">- </w:t>
      </w:r>
      <w:r>
        <w:rPr>
          <w:rFonts w:hint="eastAsia"/>
          <w:color w:val="auto"/>
          <w:highlight w:val="none"/>
          <w:lang w:val="en-US" w:eastAsia="zh-CN"/>
        </w:rPr>
        <w:t>2</w:t>
      </w:r>
      <w:r>
        <w:rPr>
          <w:color w:val="auto"/>
          <w:highlight w:val="none"/>
        </w:rPr>
        <w:t xml:space="preserve"> -</w:t>
      </w:r>
      <w:r>
        <w:rPr>
          <w:color w:val="auto"/>
          <w:highlight w:val="none"/>
        </w:rPr>
        <w:fldChar w:fldCharType="end"/>
      </w:r>
      <w:r>
        <w:rPr>
          <w:color w:val="auto"/>
          <w:highlight w:val="none"/>
        </w:rPr>
        <w:fldChar w:fldCharType="end"/>
      </w:r>
    </w:p>
    <w:p w14:paraId="7DBD4DF8">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"_Toc30265" </w:instrText>
      </w:r>
      <w:r>
        <w:rPr>
          <w:color w:val="auto"/>
          <w:highlight w:val="none"/>
        </w:rPr>
        <w:fldChar w:fldCharType="separate"/>
      </w:r>
      <w:r>
        <w:rPr>
          <w:rFonts w:hint="eastAsia"/>
          <w:snapToGrid w:val="0"/>
          <w:color w:val="auto"/>
          <w:kern w:val="0"/>
          <w:szCs w:val="24"/>
          <w:highlight w:val="none"/>
        </w:rPr>
        <w:t>四、提交投标文件截止时间、开标时间和地点</w:t>
      </w:r>
      <w:r>
        <w:rPr>
          <w:color w:val="auto"/>
          <w:highlight w:val="none"/>
        </w:rPr>
        <w:tab/>
      </w:r>
      <w:r>
        <w:rPr>
          <w:color w:val="auto"/>
          <w:highlight w:val="none"/>
        </w:rPr>
        <w:fldChar w:fldCharType="begin"/>
      </w:r>
      <w:r>
        <w:rPr>
          <w:color w:val="auto"/>
          <w:highlight w:val="none"/>
        </w:rPr>
        <w:instrText xml:space="preserve"> PAGEREF _Toc30265 \h </w:instrText>
      </w:r>
      <w:r>
        <w:rPr>
          <w:color w:val="auto"/>
          <w:highlight w:val="none"/>
        </w:rPr>
        <w:fldChar w:fldCharType="separate"/>
      </w:r>
      <w:r>
        <w:rPr>
          <w:color w:val="auto"/>
          <w:highlight w:val="none"/>
        </w:rPr>
        <w:t xml:space="preserve">- </w:t>
      </w:r>
      <w:r>
        <w:rPr>
          <w:rFonts w:hint="eastAsia"/>
          <w:color w:val="auto"/>
          <w:highlight w:val="none"/>
          <w:lang w:val="en-US" w:eastAsia="zh-CN"/>
        </w:rPr>
        <w:t>2</w:t>
      </w:r>
      <w:r>
        <w:rPr>
          <w:color w:val="auto"/>
          <w:highlight w:val="none"/>
        </w:rPr>
        <w:t xml:space="preserve"> -</w:t>
      </w:r>
      <w:r>
        <w:rPr>
          <w:color w:val="auto"/>
          <w:highlight w:val="none"/>
        </w:rPr>
        <w:fldChar w:fldCharType="end"/>
      </w:r>
      <w:r>
        <w:rPr>
          <w:color w:val="auto"/>
          <w:highlight w:val="none"/>
        </w:rPr>
        <w:fldChar w:fldCharType="end"/>
      </w:r>
    </w:p>
    <w:p w14:paraId="2E1C7AB0">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"_Toc10275" </w:instrText>
      </w:r>
      <w:r>
        <w:rPr>
          <w:color w:val="auto"/>
          <w:highlight w:val="none"/>
        </w:rPr>
        <w:fldChar w:fldCharType="separate"/>
      </w:r>
      <w:r>
        <w:rPr>
          <w:rFonts w:hint="eastAsia"/>
          <w:snapToGrid w:val="0"/>
          <w:color w:val="auto"/>
          <w:kern w:val="0"/>
          <w:szCs w:val="24"/>
          <w:highlight w:val="none"/>
        </w:rPr>
        <w:t>五、公告期限</w:t>
      </w:r>
      <w:r>
        <w:rPr>
          <w:color w:val="auto"/>
          <w:highlight w:val="none"/>
        </w:rPr>
        <w:tab/>
      </w:r>
      <w:r>
        <w:rPr>
          <w:color w:val="auto"/>
          <w:highlight w:val="none"/>
        </w:rPr>
        <w:fldChar w:fldCharType="begin"/>
      </w:r>
      <w:r>
        <w:rPr>
          <w:color w:val="auto"/>
          <w:highlight w:val="none"/>
        </w:rPr>
        <w:instrText xml:space="preserve"> PAGEREF _Toc10275 \h </w:instrText>
      </w:r>
      <w:r>
        <w:rPr>
          <w:color w:val="auto"/>
          <w:highlight w:val="none"/>
        </w:rPr>
        <w:fldChar w:fldCharType="separate"/>
      </w:r>
      <w:r>
        <w:rPr>
          <w:color w:val="auto"/>
          <w:highlight w:val="none"/>
        </w:rPr>
        <w:t xml:space="preserve">- </w:t>
      </w:r>
      <w:r>
        <w:rPr>
          <w:rFonts w:hint="eastAsia"/>
          <w:color w:val="auto"/>
          <w:highlight w:val="none"/>
          <w:lang w:val="en-US" w:eastAsia="zh-CN"/>
        </w:rPr>
        <w:t>2</w:t>
      </w:r>
      <w:r>
        <w:rPr>
          <w:color w:val="auto"/>
          <w:highlight w:val="none"/>
        </w:rPr>
        <w:t xml:space="preserve"> -</w:t>
      </w:r>
      <w:r>
        <w:rPr>
          <w:color w:val="auto"/>
          <w:highlight w:val="none"/>
        </w:rPr>
        <w:fldChar w:fldCharType="end"/>
      </w:r>
      <w:r>
        <w:rPr>
          <w:color w:val="auto"/>
          <w:highlight w:val="none"/>
        </w:rPr>
        <w:fldChar w:fldCharType="end"/>
      </w:r>
    </w:p>
    <w:p w14:paraId="177983B7">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"_Toc1108" </w:instrText>
      </w:r>
      <w:r>
        <w:rPr>
          <w:color w:val="auto"/>
          <w:highlight w:val="none"/>
        </w:rPr>
        <w:fldChar w:fldCharType="separate"/>
      </w:r>
      <w:r>
        <w:rPr>
          <w:rFonts w:hint="eastAsia"/>
          <w:snapToGrid w:val="0"/>
          <w:color w:val="auto"/>
          <w:kern w:val="0"/>
          <w:szCs w:val="24"/>
          <w:highlight w:val="none"/>
        </w:rPr>
        <w:t>六、其他补充事宜</w:t>
      </w:r>
      <w:r>
        <w:rPr>
          <w:color w:val="auto"/>
          <w:highlight w:val="none"/>
        </w:rPr>
        <w:tab/>
      </w:r>
      <w:r>
        <w:rPr>
          <w:color w:val="auto"/>
          <w:highlight w:val="none"/>
        </w:rPr>
        <w:fldChar w:fldCharType="begin"/>
      </w:r>
      <w:r>
        <w:rPr>
          <w:color w:val="auto"/>
          <w:highlight w:val="none"/>
        </w:rPr>
        <w:instrText xml:space="preserve"> PAGEREF _Toc1108 \h </w:instrText>
      </w:r>
      <w:r>
        <w:rPr>
          <w:color w:val="auto"/>
          <w:highlight w:val="none"/>
        </w:rPr>
        <w:fldChar w:fldCharType="separate"/>
      </w:r>
      <w:r>
        <w:rPr>
          <w:color w:val="auto"/>
          <w:highlight w:val="none"/>
        </w:rPr>
        <w:t xml:space="preserve">- </w:t>
      </w:r>
      <w:r>
        <w:rPr>
          <w:rFonts w:hint="eastAsia"/>
          <w:color w:val="auto"/>
          <w:highlight w:val="none"/>
          <w:lang w:val="en-US" w:eastAsia="zh-CN"/>
        </w:rPr>
        <w:t>3</w:t>
      </w:r>
      <w:r>
        <w:rPr>
          <w:color w:val="auto"/>
          <w:highlight w:val="none"/>
        </w:rPr>
        <w:t xml:space="preserve"> -</w:t>
      </w:r>
      <w:r>
        <w:rPr>
          <w:color w:val="auto"/>
          <w:highlight w:val="none"/>
        </w:rPr>
        <w:fldChar w:fldCharType="end"/>
      </w:r>
      <w:r>
        <w:rPr>
          <w:color w:val="auto"/>
          <w:highlight w:val="none"/>
        </w:rPr>
        <w:fldChar w:fldCharType="end"/>
      </w:r>
    </w:p>
    <w:p w14:paraId="5F82641A">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"_Toc2975" </w:instrText>
      </w:r>
      <w:r>
        <w:rPr>
          <w:color w:val="auto"/>
          <w:highlight w:val="none"/>
        </w:rPr>
        <w:fldChar w:fldCharType="separate"/>
      </w:r>
      <w:r>
        <w:rPr>
          <w:rFonts w:hint="eastAsia"/>
          <w:snapToGrid w:val="0"/>
          <w:color w:val="auto"/>
          <w:kern w:val="0"/>
          <w:szCs w:val="24"/>
          <w:highlight w:val="none"/>
        </w:rPr>
        <w:t>七、对本次招标提出询问，请按以下方式联系</w:t>
      </w:r>
      <w:r>
        <w:rPr>
          <w:color w:val="auto"/>
          <w:highlight w:val="none"/>
        </w:rPr>
        <w:tab/>
      </w:r>
      <w:r>
        <w:rPr>
          <w:color w:val="auto"/>
          <w:highlight w:val="none"/>
        </w:rPr>
        <w:fldChar w:fldCharType="begin"/>
      </w:r>
      <w:r>
        <w:rPr>
          <w:color w:val="auto"/>
          <w:highlight w:val="none"/>
        </w:rPr>
        <w:instrText xml:space="preserve"> PAGEREF _Toc2975 \h </w:instrText>
      </w:r>
      <w:r>
        <w:rPr>
          <w:color w:val="auto"/>
          <w:highlight w:val="none"/>
        </w:rPr>
        <w:fldChar w:fldCharType="separate"/>
      </w:r>
      <w:r>
        <w:rPr>
          <w:color w:val="auto"/>
          <w:highlight w:val="none"/>
        </w:rPr>
        <w:t xml:space="preserve">- </w:t>
      </w:r>
      <w:r>
        <w:rPr>
          <w:rFonts w:hint="eastAsia"/>
          <w:color w:val="auto"/>
          <w:highlight w:val="none"/>
          <w:lang w:val="en-US" w:eastAsia="zh-CN"/>
        </w:rPr>
        <w:t>3</w:t>
      </w:r>
      <w:r>
        <w:rPr>
          <w:color w:val="auto"/>
          <w:highlight w:val="none"/>
        </w:rPr>
        <w:t xml:space="preserve"> -</w:t>
      </w:r>
      <w:r>
        <w:rPr>
          <w:color w:val="auto"/>
          <w:highlight w:val="none"/>
        </w:rPr>
        <w:fldChar w:fldCharType="end"/>
      </w:r>
      <w:r>
        <w:rPr>
          <w:color w:val="auto"/>
          <w:highlight w:val="none"/>
        </w:rPr>
        <w:fldChar w:fldCharType="end"/>
      </w:r>
    </w:p>
    <w:p w14:paraId="4F31AACF">
      <w:pPr>
        <w:pStyle w:val="18"/>
        <w:tabs>
          <w:tab w:val="right" w:leader="dot" w:pos="9750"/>
          <w:tab w:val="clear" w:pos="9403"/>
        </w:tabs>
        <w:spacing w:line="520" w:lineRule="exact"/>
        <w:ind w:left="380"/>
        <w:rPr>
          <w:color w:val="auto"/>
          <w:highlight w:val="none"/>
        </w:rPr>
      </w:pPr>
      <w:r>
        <w:rPr>
          <w:color w:val="auto"/>
          <w:highlight w:val="none"/>
        </w:rPr>
        <w:fldChar w:fldCharType="begin"/>
      </w:r>
      <w:r>
        <w:rPr>
          <w:color w:val="auto"/>
          <w:highlight w:val="none"/>
        </w:rPr>
        <w:instrText xml:space="preserve"> HYPERLINK \l "_Toc3349" </w:instrText>
      </w:r>
      <w:r>
        <w:rPr>
          <w:color w:val="auto"/>
          <w:highlight w:val="none"/>
        </w:rPr>
        <w:fldChar w:fldCharType="separate"/>
      </w:r>
      <w:r>
        <w:rPr>
          <w:rFonts w:hint="eastAsia"/>
          <w:smallCaps w:val="0"/>
          <w:snapToGrid w:val="0"/>
          <w:color w:val="auto"/>
          <w:kern w:val="0"/>
          <w:highlight w:val="none"/>
        </w:rPr>
        <w:t>第二章 投标人须知前附表</w:t>
      </w:r>
      <w:r>
        <w:rPr>
          <w:color w:val="auto"/>
          <w:highlight w:val="none"/>
        </w:rPr>
        <w:tab/>
      </w:r>
      <w:r>
        <w:rPr>
          <w:color w:val="auto"/>
          <w:highlight w:val="none"/>
        </w:rPr>
        <w:fldChar w:fldCharType="begin"/>
      </w:r>
      <w:r>
        <w:rPr>
          <w:color w:val="auto"/>
          <w:highlight w:val="none"/>
        </w:rPr>
        <w:instrText xml:space="preserve"> PAGEREF _Toc3349 \h </w:instrText>
      </w:r>
      <w:r>
        <w:rPr>
          <w:color w:val="auto"/>
          <w:highlight w:val="none"/>
        </w:rPr>
        <w:fldChar w:fldCharType="separate"/>
      </w:r>
      <w:r>
        <w:rPr>
          <w:color w:val="auto"/>
          <w:highlight w:val="none"/>
        </w:rPr>
        <w:t xml:space="preserve">- </w:t>
      </w:r>
      <w:r>
        <w:rPr>
          <w:rFonts w:hint="eastAsia"/>
          <w:color w:val="auto"/>
          <w:highlight w:val="none"/>
          <w:lang w:val="en-US" w:eastAsia="zh-CN"/>
        </w:rPr>
        <w:t>4</w:t>
      </w:r>
      <w:r>
        <w:rPr>
          <w:color w:val="auto"/>
          <w:highlight w:val="none"/>
        </w:rPr>
        <w:t xml:space="preserve"> -</w:t>
      </w:r>
      <w:r>
        <w:rPr>
          <w:color w:val="auto"/>
          <w:highlight w:val="none"/>
        </w:rPr>
        <w:fldChar w:fldCharType="end"/>
      </w:r>
      <w:r>
        <w:rPr>
          <w:color w:val="auto"/>
          <w:highlight w:val="none"/>
        </w:rPr>
        <w:fldChar w:fldCharType="end"/>
      </w:r>
    </w:p>
    <w:p w14:paraId="5CDA8726">
      <w:pPr>
        <w:pStyle w:val="18"/>
        <w:tabs>
          <w:tab w:val="right" w:leader="dot" w:pos="9750"/>
          <w:tab w:val="clear" w:pos="9403"/>
        </w:tabs>
        <w:spacing w:line="520" w:lineRule="exact"/>
        <w:ind w:left="380"/>
        <w:rPr>
          <w:color w:val="auto"/>
          <w:highlight w:val="none"/>
        </w:rPr>
      </w:pPr>
      <w:r>
        <w:rPr>
          <w:color w:val="auto"/>
          <w:highlight w:val="none"/>
        </w:rPr>
        <w:fldChar w:fldCharType="begin"/>
      </w:r>
      <w:r>
        <w:rPr>
          <w:color w:val="auto"/>
          <w:highlight w:val="none"/>
        </w:rPr>
        <w:instrText xml:space="preserve"> HYPERLINK \l "_Toc16866" </w:instrText>
      </w:r>
      <w:r>
        <w:rPr>
          <w:color w:val="auto"/>
          <w:highlight w:val="none"/>
        </w:rPr>
        <w:fldChar w:fldCharType="separate"/>
      </w:r>
      <w:r>
        <w:rPr>
          <w:rFonts w:hint="eastAsia"/>
          <w:smallCaps w:val="0"/>
          <w:snapToGrid w:val="0"/>
          <w:color w:val="auto"/>
          <w:kern w:val="0"/>
          <w:highlight w:val="none"/>
        </w:rPr>
        <w:t>第三章 货物服务需求一览表</w:t>
      </w:r>
      <w:r>
        <w:rPr>
          <w:color w:val="auto"/>
          <w:highlight w:val="none"/>
        </w:rPr>
        <w:tab/>
      </w:r>
      <w:r>
        <w:rPr>
          <w:color w:val="auto"/>
          <w:highlight w:val="none"/>
        </w:rPr>
        <w:fldChar w:fldCharType="begin"/>
      </w:r>
      <w:r>
        <w:rPr>
          <w:color w:val="auto"/>
          <w:highlight w:val="none"/>
        </w:rPr>
        <w:instrText xml:space="preserve"> PAGEREF _Toc16866 \h </w:instrText>
      </w:r>
      <w:r>
        <w:rPr>
          <w:color w:val="auto"/>
          <w:highlight w:val="none"/>
        </w:rPr>
        <w:fldChar w:fldCharType="separate"/>
      </w:r>
      <w:r>
        <w:rPr>
          <w:color w:val="auto"/>
          <w:highlight w:val="none"/>
        </w:rPr>
        <w:t xml:space="preserve">- </w:t>
      </w:r>
      <w:r>
        <w:rPr>
          <w:rFonts w:hint="eastAsia"/>
          <w:color w:val="auto"/>
          <w:highlight w:val="none"/>
          <w:lang w:val="en-US" w:eastAsia="zh-CN"/>
        </w:rPr>
        <w:t>7</w:t>
      </w:r>
      <w:r>
        <w:rPr>
          <w:color w:val="auto"/>
          <w:highlight w:val="none"/>
        </w:rPr>
        <w:t>-</w:t>
      </w:r>
      <w:r>
        <w:rPr>
          <w:color w:val="auto"/>
          <w:highlight w:val="none"/>
        </w:rPr>
        <w:fldChar w:fldCharType="end"/>
      </w:r>
      <w:r>
        <w:rPr>
          <w:color w:val="auto"/>
          <w:highlight w:val="none"/>
        </w:rPr>
        <w:fldChar w:fldCharType="end"/>
      </w:r>
    </w:p>
    <w:p w14:paraId="65F0ECEC">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"_Toc14943" </w:instrText>
      </w:r>
      <w:r>
        <w:rPr>
          <w:color w:val="auto"/>
          <w:highlight w:val="none"/>
        </w:rPr>
        <w:fldChar w:fldCharType="separate"/>
      </w:r>
      <w:r>
        <w:rPr>
          <w:rFonts w:hint="eastAsia"/>
          <w:color w:val="auto"/>
          <w:kern w:val="0"/>
          <w:highlight w:val="none"/>
        </w:rPr>
        <w:t>一、服务需求</w:t>
      </w:r>
      <w:r>
        <w:rPr>
          <w:color w:val="auto"/>
          <w:highlight w:val="none"/>
        </w:rPr>
        <w:tab/>
      </w:r>
      <w:r>
        <w:rPr>
          <w:color w:val="auto"/>
          <w:highlight w:val="none"/>
        </w:rPr>
        <w:fldChar w:fldCharType="begin"/>
      </w:r>
      <w:r>
        <w:rPr>
          <w:color w:val="auto"/>
          <w:highlight w:val="none"/>
        </w:rPr>
        <w:instrText xml:space="preserve"> PAGEREF _Toc14943 \h </w:instrText>
      </w:r>
      <w:r>
        <w:rPr>
          <w:color w:val="auto"/>
          <w:highlight w:val="none"/>
        </w:rPr>
        <w:fldChar w:fldCharType="separate"/>
      </w:r>
      <w:r>
        <w:rPr>
          <w:color w:val="auto"/>
          <w:highlight w:val="none"/>
        </w:rPr>
        <w:t xml:space="preserve">- </w:t>
      </w:r>
      <w:r>
        <w:rPr>
          <w:rFonts w:hint="eastAsia"/>
          <w:color w:val="auto"/>
          <w:highlight w:val="none"/>
          <w:lang w:val="en-US" w:eastAsia="zh-CN"/>
        </w:rPr>
        <w:t>7</w:t>
      </w:r>
      <w:r>
        <w:rPr>
          <w:color w:val="auto"/>
          <w:highlight w:val="none"/>
        </w:rPr>
        <w:t xml:space="preserve"> -</w:t>
      </w:r>
      <w:r>
        <w:rPr>
          <w:color w:val="auto"/>
          <w:highlight w:val="none"/>
        </w:rPr>
        <w:fldChar w:fldCharType="end"/>
      </w:r>
      <w:r>
        <w:rPr>
          <w:color w:val="auto"/>
          <w:highlight w:val="none"/>
        </w:rPr>
        <w:fldChar w:fldCharType="end"/>
      </w:r>
    </w:p>
    <w:p w14:paraId="152958A9">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"_Toc1253" </w:instrText>
      </w:r>
      <w:r>
        <w:rPr>
          <w:color w:val="auto"/>
          <w:highlight w:val="none"/>
        </w:rPr>
        <w:fldChar w:fldCharType="separate"/>
      </w:r>
      <w:r>
        <w:rPr>
          <w:rFonts w:hint="eastAsia"/>
          <w:snapToGrid w:val="0"/>
          <w:color w:val="auto"/>
          <w:kern w:val="0"/>
          <w:highlight w:val="none"/>
        </w:rPr>
        <w:t>二、商务要求</w:t>
      </w:r>
      <w:r>
        <w:rPr>
          <w:color w:val="auto"/>
          <w:highlight w:val="none"/>
        </w:rPr>
        <w:tab/>
      </w:r>
      <w:r>
        <w:rPr>
          <w:color w:val="auto"/>
          <w:highlight w:val="none"/>
        </w:rPr>
        <w:fldChar w:fldCharType="begin"/>
      </w:r>
      <w:r>
        <w:rPr>
          <w:color w:val="auto"/>
          <w:highlight w:val="none"/>
        </w:rPr>
        <w:instrText xml:space="preserve"> PAGEREF _Toc1253 \h </w:instrText>
      </w:r>
      <w:r>
        <w:rPr>
          <w:color w:val="auto"/>
          <w:highlight w:val="none"/>
        </w:rPr>
        <w:fldChar w:fldCharType="separate"/>
      </w:r>
      <w:r>
        <w:rPr>
          <w:color w:val="auto"/>
          <w:highlight w:val="none"/>
        </w:rPr>
        <w:t xml:space="preserve">- </w:t>
      </w:r>
      <w:r>
        <w:rPr>
          <w:rFonts w:hint="eastAsia"/>
          <w:color w:val="auto"/>
          <w:highlight w:val="none"/>
          <w:lang w:val="en-US" w:eastAsia="zh-CN"/>
        </w:rPr>
        <w:t>16</w:t>
      </w:r>
      <w:r>
        <w:rPr>
          <w:color w:val="auto"/>
          <w:highlight w:val="none"/>
        </w:rPr>
        <w:t xml:space="preserve"> -</w:t>
      </w:r>
      <w:r>
        <w:rPr>
          <w:color w:val="auto"/>
          <w:highlight w:val="none"/>
        </w:rPr>
        <w:fldChar w:fldCharType="end"/>
      </w:r>
      <w:r>
        <w:rPr>
          <w:color w:val="auto"/>
          <w:highlight w:val="none"/>
        </w:rPr>
        <w:fldChar w:fldCharType="end"/>
      </w:r>
    </w:p>
    <w:p w14:paraId="43612599">
      <w:pPr>
        <w:pStyle w:val="18"/>
        <w:tabs>
          <w:tab w:val="right" w:leader="dot" w:pos="9750"/>
          <w:tab w:val="clear" w:pos="9403"/>
        </w:tabs>
        <w:spacing w:line="520" w:lineRule="exact"/>
        <w:ind w:left="380"/>
        <w:rPr>
          <w:color w:val="auto"/>
          <w:highlight w:val="none"/>
        </w:rPr>
      </w:pPr>
      <w:r>
        <w:rPr>
          <w:color w:val="auto"/>
          <w:highlight w:val="none"/>
        </w:rPr>
        <w:fldChar w:fldCharType="begin"/>
      </w:r>
      <w:r>
        <w:rPr>
          <w:color w:val="auto"/>
          <w:highlight w:val="none"/>
        </w:rPr>
        <w:instrText xml:space="preserve"> HYPERLINK \l "_Toc24398" </w:instrText>
      </w:r>
      <w:r>
        <w:rPr>
          <w:color w:val="auto"/>
          <w:highlight w:val="none"/>
        </w:rPr>
        <w:fldChar w:fldCharType="separate"/>
      </w:r>
      <w:r>
        <w:rPr>
          <w:rFonts w:hint="eastAsia"/>
          <w:smallCaps w:val="0"/>
          <w:snapToGrid w:val="0"/>
          <w:color w:val="auto"/>
          <w:kern w:val="0"/>
          <w:highlight w:val="none"/>
        </w:rPr>
        <w:t>第四章 评标办法</w:t>
      </w:r>
      <w:r>
        <w:rPr>
          <w:color w:val="auto"/>
          <w:highlight w:val="none"/>
        </w:rPr>
        <w:tab/>
      </w:r>
      <w:r>
        <w:rPr>
          <w:color w:val="auto"/>
          <w:highlight w:val="none"/>
        </w:rPr>
        <w:fldChar w:fldCharType="begin"/>
      </w:r>
      <w:r>
        <w:rPr>
          <w:color w:val="auto"/>
          <w:highlight w:val="none"/>
        </w:rPr>
        <w:instrText xml:space="preserve"> PAGEREF _Toc24398 \h </w:instrText>
      </w:r>
      <w:r>
        <w:rPr>
          <w:color w:val="auto"/>
          <w:highlight w:val="none"/>
        </w:rPr>
        <w:fldChar w:fldCharType="separate"/>
      </w:r>
      <w:r>
        <w:rPr>
          <w:color w:val="auto"/>
          <w:highlight w:val="none"/>
        </w:rPr>
        <w:t xml:space="preserve">- </w:t>
      </w:r>
      <w:r>
        <w:rPr>
          <w:rFonts w:hint="eastAsia"/>
          <w:color w:val="auto"/>
          <w:highlight w:val="none"/>
          <w:lang w:val="en-US" w:eastAsia="zh-CN"/>
        </w:rPr>
        <w:t>17</w:t>
      </w:r>
      <w:r>
        <w:rPr>
          <w:color w:val="auto"/>
          <w:highlight w:val="none"/>
        </w:rPr>
        <w:t xml:space="preserve"> -</w:t>
      </w:r>
      <w:r>
        <w:rPr>
          <w:color w:val="auto"/>
          <w:highlight w:val="none"/>
        </w:rPr>
        <w:fldChar w:fldCharType="end"/>
      </w:r>
      <w:r>
        <w:rPr>
          <w:color w:val="auto"/>
          <w:highlight w:val="none"/>
        </w:rPr>
        <w:fldChar w:fldCharType="end"/>
      </w:r>
    </w:p>
    <w:p w14:paraId="1684D69C">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"_Toc24663" </w:instrText>
      </w:r>
      <w:r>
        <w:rPr>
          <w:color w:val="auto"/>
          <w:highlight w:val="none"/>
        </w:rPr>
        <w:fldChar w:fldCharType="separate"/>
      </w:r>
      <w:r>
        <w:rPr>
          <w:rFonts w:hint="eastAsia"/>
          <w:snapToGrid w:val="0"/>
          <w:color w:val="auto"/>
          <w:kern w:val="0"/>
          <w:highlight w:val="none"/>
        </w:rPr>
        <w:t>一、评标原则</w:t>
      </w:r>
      <w:r>
        <w:rPr>
          <w:color w:val="auto"/>
          <w:highlight w:val="none"/>
        </w:rPr>
        <w:tab/>
      </w:r>
      <w:r>
        <w:rPr>
          <w:color w:val="auto"/>
          <w:highlight w:val="none"/>
        </w:rPr>
        <w:fldChar w:fldCharType="begin"/>
      </w:r>
      <w:r>
        <w:rPr>
          <w:color w:val="auto"/>
          <w:highlight w:val="none"/>
        </w:rPr>
        <w:instrText xml:space="preserve"> PAGEREF _Toc24663 \h </w:instrText>
      </w:r>
      <w:r>
        <w:rPr>
          <w:color w:val="auto"/>
          <w:highlight w:val="none"/>
        </w:rPr>
        <w:fldChar w:fldCharType="separate"/>
      </w:r>
      <w:r>
        <w:rPr>
          <w:color w:val="auto"/>
          <w:highlight w:val="none"/>
        </w:rPr>
        <w:t xml:space="preserve">- </w:t>
      </w:r>
      <w:r>
        <w:rPr>
          <w:rFonts w:hint="eastAsia"/>
          <w:color w:val="auto"/>
          <w:highlight w:val="none"/>
          <w:lang w:val="en-US" w:eastAsia="zh-CN"/>
        </w:rPr>
        <w:t>17</w:t>
      </w:r>
      <w:r>
        <w:rPr>
          <w:color w:val="auto"/>
          <w:highlight w:val="none"/>
        </w:rPr>
        <w:t xml:space="preserve"> -</w:t>
      </w:r>
      <w:r>
        <w:rPr>
          <w:color w:val="auto"/>
          <w:highlight w:val="none"/>
        </w:rPr>
        <w:fldChar w:fldCharType="end"/>
      </w:r>
      <w:r>
        <w:rPr>
          <w:color w:val="auto"/>
          <w:highlight w:val="none"/>
        </w:rPr>
        <w:fldChar w:fldCharType="end"/>
      </w:r>
    </w:p>
    <w:p w14:paraId="743B45A6">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"_Toc12772" </w:instrText>
      </w:r>
      <w:r>
        <w:rPr>
          <w:color w:val="auto"/>
          <w:highlight w:val="none"/>
        </w:rPr>
        <w:fldChar w:fldCharType="separate"/>
      </w:r>
      <w:r>
        <w:rPr>
          <w:rFonts w:hint="eastAsia"/>
          <w:snapToGrid w:val="0"/>
          <w:color w:val="auto"/>
          <w:kern w:val="0"/>
          <w:szCs w:val="24"/>
          <w:highlight w:val="none"/>
        </w:rPr>
        <w:t>二、评审办法</w:t>
      </w:r>
      <w:r>
        <w:rPr>
          <w:color w:val="auto"/>
          <w:highlight w:val="none"/>
        </w:rPr>
        <w:tab/>
      </w:r>
      <w:r>
        <w:rPr>
          <w:color w:val="auto"/>
          <w:highlight w:val="none"/>
        </w:rPr>
        <w:fldChar w:fldCharType="begin"/>
      </w:r>
      <w:r>
        <w:rPr>
          <w:color w:val="auto"/>
          <w:highlight w:val="none"/>
        </w:rPr>
        <w:instrText xml:space="preserve"> PAGEREF _Toc12772 \h </w:instrText>
      </w:r>
      <w:r>
        <w:rPr>
          <w:color w:val="auto"/>
          <w:highlight w:val="none"/>
        </w:rPr>
        <w:fldChar w:fldCharType="separate"/>
      </w:r>
      <w:r>
        <w:rPr>
          <w:color w:val="auto"/>
          <w:highlight w:val="none"/>
        </w:rPr>
        <w:t xml:space="preserve">- </w:t>
      </w:r>
      <w:r>
        <w:rPr>
          <w:rFonts w:hint="eastAsia"/>
          <w:color w:val="auto"/>
          <w:highlight w:val="none"/>
          <w:lang w:val="en-US" w:eastAsia="zh-CN"/>
        </w:rPr>
        <w:t>17</w:t>
      </w:r>
      <w:r>
        <w:rPr>
          <w:color w:val="auto"/>
          <w:highlight w:val="none"/>
        </w:rPr>
        <w:t xml:space="preserve"> -</w:t>
      </w:r>
      <w:r>
        <w:rPr>
          <w:color w:val="auto"/>
          <w:highlight w:val="none"/>
        </w:rPr>
        <w:fldChar w:fldCharType="end"/>
      </w:r>
      <w:r>
        <w:rPr>
          <w:color w:val="auto"/>
          <w:highlight w:val="none"/>
        </w:rPr>
        <w:fldChar w:fldCharType="end"/>
      </w:r>
    </w:p>
    <w:p w14:paraId="66474F4E">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"_Toc28403" </w:instrText>
      </w:r>
      <w:r>
        <w:rPr>
          <w:color w:val="auto"/>
          <w:highlight w:val="none"/>
        </w:rPr>
        <w:fldChar w:fldCharType="separate"/>
      </w:r>
      <w:r>
        <w:rPr>
          <w:rFonts w:hint="eastAsia"/>
          <w:snapToGrid w:val="0"/>
          <w:color w:val="auto"/>
          <w:kern w:val="0"/>
          <w:szCs w:val="24"/>
          <w:highlight w:val="none"/>
        </w:rPr>
        <w:t>三、评审程序</w:t>
      </w:r>
      <w:r>
        <w:rPr>
          <w:color w:val="auto"/>
          <w:highlight w:val="none"/>
        </w:rPr>
        <w:tab/>
      </w:r>
      <w:r>
        <w:rPr>
          <w:color w:val="auto"/>
          <w:highlight w:val="none"/>
        </w:rPr>
        <w:fldChar w:fldCharType="begin"/>
      </w:r>
      <w:r>
        <w:rPr>
          <w:color w:val="auto"/>
          <w:highlight w:val="none"/>
        </w:rPr>
        <w:instrText xml:space="preserve"> PAGEREF _Toc28403 \h </w:instrText>
      </w:r>
      <w:r>
        <w:rPr>
          <w:color w:val="auto"/>
          <w:highlight w:val="none"/>
        </w:rPr>
        <w:fldChar w:fldCharType="separate"/>
      </w:r>
      <w:r>
        <w:rPr>
          <w:color w:val="auto"/>
          <w:highlight w:val="none"/>
        </w:rPr>
        <w:t xml:space="preserve">- </w:t>
      </w:r>
      <w:r>
        <w:rPr>
          <w:rFonts w:hint="eastAsia"/>
          <w:color w:val="auto"/>
          <w:highlight w:val="none"/>
          <w:lang w:val="en-US" w:eastAsia="zh-CN"/>
        </w:rPr>
        <w:t>17</w:t>
      </w:r>
      <w:r>
        <w:rPr>
          <w:color w:val="auto"/>
          <w:highlight w:val="none"/>
        </w:rPr>
        <w:t xml:space="preserve"> -</w:t>
      </w:r>
      <w:r>
        <w:rPr>
          <w:color w:val="auto"/>
          <w:highlight w:val="none"/>
        </w:rPr>
        <w:fldChar w:fldCharType="end"/>
      </w:r>
      <w:r>
        <w:rPr>
          <w:color w:val="auto"/>
          <w:highlight w:val="none"/>
        </w:rPr>
        <w:fldChar w:fldCharType="end"/>
      </w:r>
    </w:p>
    <w:p w14:paraId="1CCDE73C">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"_Toc21393" </w:instrText>
      </w:r>
      <w:r>
        <w:rPr>
          <w:color w:val="auto"/>
          <w:highlight w:val="none"/>
        </w:rPr>
        <w:fldChar w:fldCharType="separate"/>
      </w:r>
      <w:r>
        <w:rPr>
          <w:rFonts w:hint="eastAsia"/>
          <w:snapToGrid w:val="0"/>
          <w:color w:val="auto"/>
          <w:kern w:val="0"/>
          <w:szCs w:val="24"/>
          <w:highlight w:val="none"/>
        </w:rPr>
        <w:t>四、资格性审查表</w:t>
      </w:r>
      <w:r>
        <w:rPr>
          <w:color w:val="auto"/>
          <w:highlight w:val="none"/>
        </w:rPr>
        <w:tab/>
      </w:r>
      <w:r>
        <w:rPr>
          <w:color w:val="auto"/>
          <w:highlight w:val="none"/>
        </w:rPr>
        <w:fldChar w:fldCharType="begin"/>
      </w:r>
      <w:r>
        <w:rPr>
          <w:color w:val="auto"/>
          <w:highlight w:val="none"/>
        </w:rPr>
        <w:instrText xml:space="preserve"> PAGEREF _Toc21393 \h </w:instrText>
      </w:r>
      <w:r>
        <w:rPr>
          <w:color w:val="auto"/>
          <w:highlight w:val="none"/>
        </w:rPr>
        <w:fldChar w:fldCharType="separate"/>
      </w:r>
      <w:r>
        <w:rPr>
          <w:color w:val="auto"/>
          <w:highlight w:val="none"/>
        </w:rPr>
        <w:t xml:space="preserve">- </w:t>
      </w:r>
      <w:r>
        <w:rPr>
          <w:rFonts w:hint="eastAsia"/>
          <w:color w:val="auto"/>
          <w:highlight w:val="none"/>
          <w:lang w:val="en-US" w:eastAsia="zh-CN"/>
        </w:rPr>
        <w:t>18</w:t>
      </w:r>
      <w:r>
        <w:rPr>
          <w:color w:val="auto"/>
          <w:highlight w:val="none"/>
        </w:rPr>
        <w:t>-</w:t>
      </w:r>
      <w:r>
        <w:rPr>
          <w:color w:val="auto"/>
          <w:highlight w:val="none"/>
        </w:rPr>
        <w:fldChar w:fldCharType="end"/>
      </w:r>
      <w:r>
        <w:rPr>
          <w:color w:val="auto"/>
          <w:highlight w:val="none"/>
        </w:rPr>
        <w:fldChar w:fldCharType="end"/>
      </w:r>
    </w:p>
    <w:p w14:paraId="0AEFFA40">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"_Toc32649" </w:instrText>
      </w:r>
      <w:r>
        <w:rPr>
          <w:color w:val="auto"/>
          <w:highlight w:val="none"/>
        </w:rPr>
        <w:fldChar w:fldCharType="separate"/>
      </w:r>
      <w:r>
        <w:rPr>
          <w:rFonts w:hint="eastAsia"/>
          <w:snapToGrid w:val="0"/>
          <w:color w:val="auto"/>
          <w:kern w:val="0"/>
          <w:highlight w:val="none"/>
        </w:rPr>
        <w:t>五、符合性审查表</w:t>
      </w:r>
      <w:r>
        <w:rPr>
          <w:color w:val="auto"/>
          <w:highlight w:val="none"/>
        </w:rPr>
        <w:tab/>
      </w:r>
      <w:r>
        <w:rPr>
          <w:color w:val="auto"/>
          <w:highlight w:val="none"/>
        </w:rPr>
        <w:fldChar w:fldCharType="begin"/>
      </w:r>
      <w:r>
        <w:rPr>
          <w:color w:val="auto"/>
          <w:highlight w:val="none"/>
        </w:rPr>
        <w:instrText xml:space="preserve"> PAGEREF _Toc32649 \h </w:instrText>
      </w:r>
      <w:r>
        <w:rPr>
          <w:color w:val="auto"/>
          <w:highlight w:val="none"/>
        </w:rPr>
        <w:fldChar w:fldCharType="separate"/>
      </w:r>
      <w:r>
        <w:rPr>
          <w:color w:val="auto"/>
          <w:highlight w:val="none"/>
        </w:rPr>
        <w:t xml:space="preserve">- </w:t>
      </w:r>
      <w:r>
        <w:rPr>
          <w:rFonts w:hint="eastAsia"/>
          <w:color w:val="auto"/>
          <w:highlight w:val="none"/>
          <w:lang w:val="en-US" w:eastAsia="zh-CN"/>
        </w:rPr>
        <w:t>19</w:t>
      </w:r>
      <w:r>
        <w:rPr>
          <w:color w:val="auto"/>
          <w:highlight w:val="none"/>
        </w:rPr>
        <w:t xml:space="preserve"> -</w:t>
      </w:r>
      <w:r>
        <w:rPr>
          <w:color w:val="auto"/>
          <w:highlight w:val="none"/>
        </w:rPr>
        <w:fldChar w:fldCharType="end"/>
      </w:r>
      <w:r>
        <w:rPr>
          <w:color w:val="auto"/>
          <w:highlight w:val="none"/>
        </w:rPr>
        <w:fldChar w:fldCharType="end"/>
      </w:r>
    </w:p>
    <w:p w14:paraId="21C35608">
      <w:pPr>
        <w:pStyle w:val="13"/>
        <w:tabs>
          <w:tab w:val="right" w:leader="dot" w:pos="9750"/>
        </w:tabs>
        <w:spacing w:line="520" w:lineRule="exact"/>
        <w:ind w:left="761"/>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"_Toc9878" </w:instrText>
      </w:r>
      <w:r>
        <w:rPr>
          <w:color w:val="auto"/>
          <w:highlight w:val="none"/>
        </w:rPr>
        <w:fldChar w:fldCharType="separate"/>
      </w:r>
      <w:r>
        <w:rPr>
          <w:rFonts w:hint="eastAsia"/>
          <w:snapToGrid w:val="0"/>
          <w:color w:val="auto"/>
          <w:kern w:val="0"/>
          <w:highlight w:val="none"/>
        </w:rPr>
        <w:t>六、评分办法</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0-</w:t>
      </w:r>
    </w:p>
    <w:p w14:paraId="13977D65">
      <w:pPr>
        <w:pStyle w:val="17"/>
        <w:tabs>
          <w:tab w:val="right" w:leader="dot" w:pos="9750"/>
        </w:tabs>
        <w:spacing w:line="520" w:lineRule="exact"/>
        <w:rPr>
          <w:color w:val="auto"/>
          <w:highlight w:val="none"/>
        </w:rPr>
      </w:pPr>
      <w:r>
        <w:rPr>
          <w:color w:val="auto"/>
          <w:highlight w:val="none"/>
        </w:rPr>
        <w:fldChar w:fldCharType="begin"/>
      </w:r>
      <w:r>
        <w:rPr>
          <w:color w:val="auto"/>
          <w:highlight w:val="none"/>
        </w:rPr>
        <w:instrText xml:space="preserve"> HYPERLINK \l "_Toc18239" </w:instrText>
      </w:r>
      <w:r>
        <w:rPr>
          <w:color w:val="auto"/>
          <w:highlight w:val="none"/>
        </w:rPr>
        <w:fldChar w:fldCharType="separate"/>
      </w:r>
      <w:r>
        <w:rPr>
          <w:rFonts w:hint="eastAsia"/>
          <w:caps w:val="0"/>
          <w:snapToGrid w:val="0"/>
          <w:color w:val="auto"/>
          <w:kern w:val="0"/>
          <w:highlight w:val="none"/>
        </w:rPr>
        <w:t>招标文件第二部分（通用部分）</w:t>
      </w:r>
      <w:r>
        <w:rPr>
          <w:color w:val="auto"/>
          <w:highlight w:val="none"/>
        </w:rPr>
        <w:tab/>
      </w:r>
      <w:r>
        <w:rPr>
          <w:color w:val="auto"/>
          <w:highlight w:val="none"/>
        </w:rPr>
        <w:fldChar w:fldCharType="begin"/>
      </w:r>
      <w:r>
        <w:rPr>
          <w:color w:val="auto"/>
          <w:highlight w:val="none"/>
        </w:rPr>
        <w:instrText xml:space="preserve"> PAGEREF _Toc18239 \h </w:instrText>
      </w:r>
      <w:r>
        <w:rPr>
          <w:color w:val="auto"/>
          <w:highlight w:val="none"/>
        </w:rPr>
        <w:fldChar w:fldCharType="separate"/>
      </w:r>
      <w:r>
        <w:rPr>
          <w:color w:val="auto"/>
          <w:highlight w:val="none"/>
        </w:rPr>
        <w:t>- 2</w:t>
      </w:r>
      <w:r>
        <w:rPr>
          <w:rFonts w:hint="eastAsia"/>
          <w:color w:val="auto"/>
          <w:highlight w:val="none"/>
          <w:lang w:val="en-US" w:eastAsia="zh-CN"/>
        </w:rPr>
        <w:t>4</w:t>
      </w:r>
      <w:r>
        <w:rPr>
          <w:color w:val="auto"/>
          <w:highlight w:val="none"/>
        </w:rPr>
        <w:t>-</w:t>
      </w:r>
      <w:r>
        <w:rPr>
          <w:color w:val="auto"/>
          <w:highlight w:val="none"/>
        </w:rPr>
        <w:fldChar w:fldCharType="end"/>
      </w:r>
      <w:r>
        <w:rPr>
          <w:color w:val="auto"/>
          <w:highlight w:val="none"/>
        </w:rPr>
        <w:fldChar w:fldCharType="end"/>
      </w:r>
    </w:p>
    <w:p w14:paraId="36BDFAA4">
      <w:pPr>
        <w:pStyle w:val="18"/>
        <w:tabs>
          <w:tab w:val="right" w:leader="dot" w:pos="9750"/>
          <w:tab w:val="clear" w:pos="9403"/>
        </w:tabs>
        <w:spacing w:line="520" w:lineRule="exact"/>
        <w:ind w:left="380"/>
        <w:rPr>
          <w:color w:val="auto"/>
          <w:highlight w:val="none"/>
        </w:rPr>
      </w:pPr>
      <w:r>
        <w:rPr>
          <w:color w:val="auto"/>
          <w:highlight w:val="none"/>
        </w:rPr>
        <w:fldChar w:fldCharType="begin"/>
      </w:r>
      <w:r>
        <w:rPr>
          <w:color w:val="auto"/>
          <w:highlight w:val="none"/>
        </w:rPr>
        <w:instrText xml:space="preserve"> HYPERLINK \l "_Toc8136" </w:instrText>
      </w:r>
      <w:r>
        <w:rPr>
          <w:color w:val="auto"/>
          <w:highlight w:val="none"/>
        </w:rPr>
        <w:fldChar w:fldCharType="separate"/>
      </w:r>
      <w:r>
        <w:rPr>
          <w:rFonts w:hint="eastAsia"/>
          <w:smallCaps w:val="0"/>
          <w:snapToGrid w:val="0"/>
          <w:color w:val="auto"/>
          <w:kern w:val="0"/>
          <w:highlight w:val="none"/>
        </w:rPr>
        <w:t>第五章 投标人须知</w:t>
      </w:r>
      <w:r>
        <w:rPr>
          <w:color w:val="auto"/>
          <w:highlight w:val="none"/>
        </w:rPr>
        <w:tab/>
      </w:r>
      <w:r>
        <w:rPr>
          <w:color w:val="auto"/>
          <w:highlight w:val="none"/>
        </w:rPr>
        <w:fldChar w:fldCharType="begin"/>
      </w:r>
      <w:r>
        <w:rPr>
          <w:color w:val="auto"/>
          <w:highlight w:val="none"/>
        </w:rPr>
        <w:instrText xml:space="preserve"> PAGEREF _Toc8136 \h </w:instrText>
      </w:r>
      <w:r>
        <w:rPr>
          <w:color w:val="auto"/>
          <w:highlight w:val="none"/>
        </w:rPr>
        <w:fldChar w:fldCharType="separate"/>
      </w:r>
      <w:r>
        <w:rPr>
          <w:color w:val="auto"/>
          <w:highlight w:val="none"/>
        </w:rPr>
        <w:t xml:space="preserve">- </w:t>
      </w:r>
      <w:r>
        <w:rPr>
          <w:rFonts w:hint="eastAsia"/>
          <w:color w:val="auto"/>
          <w:highlight w:val="none"/>
          <w:lang w:val="en-US" w:eastAsia="zh-CN"/>
        </w:rPr>
        <w:t>24</w:t>
      </w:r>
      <w:r>
        <w:rPr>
          <w:color w:val="auto"/>
          <w:highlight w:val="none"/>
        </w:rPr>
        <w:t xml:space="preserve"> -</w:t>
      </w:r>
      <w:r>
        <w:rPr>
          <w:color w:val="auto"/>
          <w:highlight w:val="none"/>
        </w:rPr>
        <w:fldChar w:fldCharType="end"/>
      </w:r>
      <w:r>
        <w:rPr>
          <w:color w:val="auto"/>
          <w:highlight w:val="none"/>
        </w:rPr>
        <w:fldChar w:fldCharType="end"/>
      </w:r>
    </w:p>
    <w:p w14:paraId="23CD3766">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"_Toc13005" </w:instrText>
      </w:r>
      <w:r>
        <w:rPr>
          <w:color w:val="auto"/>
          <w:highlight w:val="none"/>
        </w:rPr>
        <w:fldChar w:fldCharType="separate"/>
      </w:r>
      <w:r>
        <w:rPr>
          <w:rFonts w:hint="eastAsia"/>
          <w:snapToGrid w:val="0"/>
          <w:color w:val="auto"/>
          <w:kern w:val="0"/>
          <w:szCs w:val="24"/>
          <w:highlight w:val="none"/>
        </w:rPr>
        <w:t>一、总则</w:t>
      </w:r>
      <w:r>
        <w:rPr>
          <w:color w:val="auto"/>
          <w:highlight w:val="none"/>
        </w:rPr>
        <w:tab/>
      </w:r>
      <w:r>
        <w:rPr>
          <w:color w:val="auto"/>
          <w:highlight w:val="none"/>
        </w:rPr>
        <w:fldChar w:fldCharType="begin"/>
      </w:r>
      <w:r>
        <w:rPr>
          <w:color w:val="auto"/>
          <w:highlight w:val="none"/>
        </w:rPr>
        <w:instrText xml:space="preserve"> PAGEREF _Toc13005 \h </w:instrText>
      </w:r>
      <w:r>
        <w:rPr>
          <w:color w:val="auto"/>
          <w:highlight w:val="none"/>
        </w:rPr>
        <w:fldChar w:fldCharType="separate"/>
      </w:r>
      <w:r>
        <w:rPr>
          <w:color w:val="auto"/>
          <w:highlight w:val="none"/>
        </w:rPr>
        <w:t xml:space="preserve">- </w:t>
      </w:r>
      <w:r>
        <w:rPr>
          <w:rFonts w:hint="eastAsia"/>
          <w:color w:val="auto"/>
          <w:highlight w:val="none"/>
          <w:lang w:val="en-US" w:eastAsia="zh-CN"/>
        </w:rPr>
        <w:t>24</w:t>
      </w:r>
      <w:r>
        <w:rPr>
          <w:color w:val="auto"/>
          <w:highlight w:val="none"/>
        </w:rPr>
        <w:t xml:space="preserve"> -</w:t>
      </w:r>
      <w:r>
        <w:rPr>
          <w:color w:val="auto"/>
          <w:highlight w:val="none"/>
        </w:rPr>
        <w:fldChar w:fldCharType="end"/>
      </w:r>
      <w:r>
        <w:rPr>
          <w:color w:val="auto"/>
          <w:highlight w:val="none"/>
        </w:rPr>
        <w:fldChar w:fldCharType="end"/>
      </w:r>
    </w:p>
    <w:p w14:paraId="38DB8417">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"_Toc32590" </w:instrText>
      </w:r>
      <w:r>
        <w:rPr>
          <w:color w:val="auto"/>
          <w:highlight w:val="none"/>
        </w:rPr>
        <w:fldChar w:fldCharType="separate"/>
      </w:r>
      <w:r>
        <w:rPr>
          <w:rFonts w:hint="eastAsia"/>
          <w:snapToGrid w:val="0"/>
          <w:color w:val="auto"/>
          <w:kern w:val="0"/>
          <w:highlight w:val="none"/>
        </w:rPr>
        <w:t>二、招标文件</w:t>
      </w:r>
      <w:r>
        <w:rPr>
          <w:color w:val="auto"/>
          <w:highlight w:val="none"/>
        </w:rPr>
        <w:tab/>
      </w:r>
      <w:r>
        <w:rPr>
          <w:color w:val="auto"/>
          <w:highlight w:val="none"/>
        </w:rPr>
        <w:fldChar w:fldCharType="begin"/>
      </w:r>
      <w:r>
        <w:rPr>
          <w:color w:val="auto"/>
          <w:highlight w:val="none"/>
        </w:rPr>
        <w:instrText xml:space="preserve"> PAGEREF _Toc32590 \h </w:instrText>
      </w:r>
      <w:r>
        <w:rPr>
          <w:color w:val="auto"/>
          <w:highlight w:val="none"/>
        </w:rPr>
        <w:fldChar w:fldCharType="separate"/>
      </w:r>
      <w:r>
        <w:rPr>
          <w:color w:val="auto"/>
          <w:highlight w:val="none"/>
        </w:rPr>
        <w:t xml:space="preserve">- </w:t>
      </w:r>
      <w:r>
        <w:rPr>
          <w:rFonts w:hint="eastAsia"/>
          <w:color w:val="auto"/>
          <w:highlight w:val="none"/>
          <w:lang w:val="en-US" w:eastAsia="zh-CN"/>
        </w:rPr>
        <w:t>26</w:t>
      </w:r>
      <w:r>
        <w:rPr>
          <w:color w:val="auto"/>
          <w:highlight w:val="none"/>
        </w:rPr>
        <w:t>-</w:t>
      </w:r>
      <w:r>
        <w:rPr>
          <w:color w:val="auto"/>
          <w:highlight w:val="none"/>
        </w:rPr>
        <w:fldChar w:fldCharType="end"/>
      </w:r>
      <w:r>
        <w:rPr>
          <w:color w:val="auto"/>
          <w:highlight w:val="none"/>
        </w:rPr>
        <w:fldChar w:fldCharType="end"/>
      </w:r>
    </w:p>
    <w:p w14:paraId="5D8FD800">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"_Toc14028" </w:instrText>
      </w:r>
      <w:r>
        <w:rPr>
          <w:color w:val="auto"/>
          <w:highlight w:val="none"/>
        </w:rPr>
        <w:fldChar w:fldCharType="separate"/>
      </w:r>
      <w:r>
        <w:rPr>
          <w:rFonts w:hint="eastAsia"/>
          <w:snapToGrid w:val="0"/>
          <w:color w:val="auto"/>
          <w:kern w:val="0"/>
          <w:szCs w:val="24"/>
          <w:highlight w:val="none"/>
        </w:rPr>
        <w:t>三、投标文件</w:t>
      </w:r>
      <w:r>
        <w:rPr>
          <w:color w:val="auto"/>
          <w:highlight w:val="none"/>
        </w:rPr>
        <w:tab/>
      </w:r>
      <w:r>
        <w:rPr>
          <w:color w:val="auto"/>
          <w:highlight w:val="none"/>
        </w:rPr>
        <w:fldChar w:fldCharType="begin"/>
      </w:r>
      <w:r>
        <w:rPr>
          <w:color w:val="auto"/>
          <w:highlight w:val="none"/>
        </w:rPr>
        <w:instrText xml:space="preserve"> PAGEREF _Toc14028 \h </w:instrText>
      </w:r>
      <w:r>
        <w:rPr>
          <w:color w:val="auto"/>
          <w:highlight w:val="none"/>
        </w:rPr>
        <w:fldChar w:fldCharType="separate"/>
      </w:r>
      <w:r>
        <w:rPr>
          <w:color w:val="auto"/>
          <w:highlight w:val="none"/>
        </w:rPr>
        <w:t xml:space="preserve">- </w:t>
      </w:r>
      <w:r>
        <w:rPr>
          <w:rFonts w:hint="eastAsia"/>
          <w:color w:val="auto"/>
          <w:highlight w:val="none"/>
          <w:lang w:val="en-US" w:eastAsia="zh-CN"/>
        </w:rPr>
        <w:t>27</w:t>
      </w:r>
      <w:r>
        <w:rPr>
          <w:color w:val="auto"/>
          <w:highlight w:val="none"/>
        </w:rPr>
        <w:t>-</w:t>
      </w:r>
      <w:r>
        <w:rPr>
          <w:color w:val="auto"/>
          <w:highlight w:val="none"/>
        </w:rPr>
        <w:fldChar w:fldCharType="end"/>
      </w:r>
      <w:r>
        <w:rPr>
          <w:color w:val="auto"/>
          <w:highlight w:val="none"/>
        </w:rPr>
        <w:fldChar w:fldCharType="end"/>
      </w:r>
    </w:p>
    <w:p w14:paraId="41C50083">
      <w:pPr>
        <w:pStyle w:val="13"/>
        <w:tabs>
          <w:tab w:val="right" w:leader="dot" w:pos="9750"/>
        </w:tabs>
        <w:spacing w:line="520" w:lineRule="exact"/>
        <w:ind w:left="761"/>
        <w:rPr>
          <w:color w:val="auto"/>
          <w:highlight w:val="none"/>
        </w:rPr>
        <w:sectPr>
          <w:footerReference r:id="rId5" w:type="default"/>
          <w:pgSz w:w="11910" w:h="16850"/>
          <w:pgMar w:top="1440" w:right="1080" w:bottom="1440" w:left="1080" w:header="1001" w:footer="981" w:gutter="0"/>
          <w:pgNumType w:fmt="decimal"/>
          <w:cols w:space="0" w:num="1"/>
          <w:docGrid w:type="linesAndChars" w:linePitch="288" w:charSpace="-4058"/>
        </w:sectPr>
      </w:pPr>
    </w:p>
    <w:p w14:paraId="57B501D0">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"_Toc28735" </w:instrText>
      </w:r>
      <w:r>
        <w:rPr>
          <w:color w:val="auto"/>
          <w:highlight w:val="none"/>
        </w:rPr>
        <w:fldChar w:fldCharType="separate"/>
      </w:r>
      <w:r>
        <w:rPr>
          <w:rFonts w:hint="eastAsia"/>
          <w:snapToGrid w:val="0"/>
          <w:color w:val="auto"/>
          <w:kern w:val="0"/>
          <w:szCs w:val="24"/>
          <w:highlight w:val="none"/>
        </w:rPr>
        <w:t>四、投标</w:t>
      </w:r>
      <w:r>
        <w:rPr>
          <w:color w:val="auto"/>
          <w:highlight w:val="none"/>
        </w:rPr>
        <w:tab/>
      </w:r>
      <w:r>
        <w:rPr>
          <w:color w:val="auto"/>
          <w:highlight w:val="none"/>
        </w:rPr>
        <w:fldChar w:fldCharType="begin"/>
      </w:r>
      <w:r>
        <w:rPr>
          <w:color w:val="auto"/>
          <w:highlight w:val="none"/>
        </w:rPr>
        <w:instrText xml:space="preserve"> PAGEREF _Toc28735 \h </w:instrText>
      </w:r>
      <w:r>
        <w:rPr>
          <w:color w:val="auto"/>
          <w:highlight w:val="none"/>
        </w:rPr>
        <w:fldChar w:fldCharType="separate"/>
      </w:r>
      <w:r>
        <w:rPr>
          <w:color w:val="auto"/>
          <w:highlight w:val="none"/>
        </w:rPr>
        <w:t xml:space="preserve">- </w:t>
      </w:r>
      <w:r>
        <w:rPr>
          <w:rFonts w:hint="eastAsia"/>
          <w:color w:val="auto"/>
          <w:highlight w:val="none"/>
          <w:lang w:val="en-US" w:eastAsia="zh-CN"/>
        </w:rPr>
        <w:t>29</w:t>
      </w:r>
      <w:r>
        <w:rPr>
          <w:color w:val="auto"/>
          <w:highlight w:val="none"/>
        </w:rPr>
        <w:t xml:space="preserve"> -</w:t>
      </w:r>
      <w:r>
        <w:rPr>
          <w:color w:val="auto"/>
          <w:highlight w:val="none"/>
        </w:rPr>
        <w:fldChar w:fldCharType="end"/>
      </w:r>
      <w:r>
        <w:rPr>
          <w:color w:val="auto"/>
          <w:highlight w:val="none"/>
        </w:rPr>
        <w:fldChar w:fldCharType="end"/>
      </w:r>
    </w:p>
    <w:p w14:paraId="07EC1726">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"_Toc16208" </w:instrText>
      </w:r>
      <w:r>
        <w:rPr>
          <w:color w:val="auto"/>
          <w:highlight w:val="none"/>
        </w:rPr>
        <w:fldChar w:fldCharType="separate"/>
      </w:r>
      <w:r>
        <w:rPr>
          <w:rFonts w:hint="eastAsia"/>
          <w:snapToGrid w:val="0"/>
          <w:color w:val="auto"/>
          <w:kern w:val="0"/>
          <w:szCs w:val="24"/>
          <w:highlight w:val="none"/>
        </w:rPr>
        <w:t>五、开标</w:t>
      </w:r>
      <w:r>
        <w:rPr>
          <w:color w:val="auto"/>
          <w:highlight w:val="none"/>
        </w:rPr>
        <w:tab/>
      </w:r>
      <w:r>
        <w:rPr>
          <w:color w:val="auto"/>
          <w:highlight w:val="none"/>
        </w:rPr>
        <w:fldChar w:fldCharType="begin"/>
      </w:r>
      <w:r>
        <w:rPr>
          <w:color w:val="auto"/>
          <w:highlight w:val="none"/>
        </w:rPr>
        <w:instrText xml:space="preserve"> PAGEREF _Toc16208 \h </w:instrText>
      </w:r>
      <w:r>
        <w:rPr>
          <w:color w:val="auto"/>
          <w:highlight w:val="none"/>
        </w:rPr>
        <w:fldChar w:fldCharType="separate"/>
      </w:r>
      <w:r>
        <w:rPr>
          <w:color w:val="auto"/>
          <w:highlight w:val="none"/>
        </w:rPr>
        <w:t>- 3</w:t>
      </w:r>
      <w:r>
        <w:rPr>
          <w:rFonts w:hint="eastAsia"/>
          <w:color w:val="auto"/>
          <w:highlight w:val="none"/>
          <w:lang w:val="en-US" w:eastAsia="zh-CN"/>
        </w:rPr>
        <w:t>0</w:t>
      </w:r>
      <w:r>
        <w:rPr>
          <w:color w:val="auto"/>
          <w:highlight w:val="none"/>
        </w:rPr>
        <w:t xml:space="preserve"> -</w:t>
      </w:r>
      <w:r>
        <w:rPr>
          <w:color w:val="auto"/>
          <w:highlight w:val="none"/>
        </w:rPr>
        <w:fldChar w:fldCharType="end"/>
      </w:r>
      <w:r>
        <w:rPr>
          <w:color w:val="auto"/>
          <w:highlight w:val="none"/>
        </w:rPr>
        <w:fldChar w:fldCharType="end"/>
      </w:r>
    </w:p>
    <w:p w14:paraId="5DC2EE4C">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"_Toc20051" </w:instrText>
      </w:r>
      <w:r>
        <w:rPr>
          <w:color w:val="auto"/>
          <w:highlight w:val="none"/>
        </w:rPr>
        <w:fldChar w:fldCharType="separate"/>
      </w:r>
      <w:r>
        <w:rPr>
          <w:rFonts w:hint="eastAsia"/>
          <w:snapToGrid w:val="0"/>
          <w:color w:val="auto"/>
          <w:kern w:val="0"/>
          <w:szCs w:val="24"/>
          <w:highlight w:val="none"/>
        </w:rPr>
        <w:t>六、评标</w:t>
      </w:r>
      <w:r>
        <w:rPr>
          <w:color w:val="auto"/>
          <w:highlight w:val="none"/>
        </w:rPr>
        <w:tab/>
      </w:r>
      <w:r>
        <w:rPr>
          <w:color w:val="auto"/>
          <w:highlight w:val="none"/>
        </w:rPr>
        <w:fldChar w:fldCharType="begin"/>
      </w:r>
      <w:r>
        <w:rPr>
          <w:color w:val="auto"/>
          <w:highlight w:val="none"/>
        </w:rPr>
        <w:instrText xml:space="preserve"> PAGEREF _Toc20051 \h </w:instrText>
      </w:r>
      <w:r>
        <w:rPr>
          <w:color w:val="auto"/>
          <w:highlight w:val="none"/>
        </w:rPr>
        <w:fldChar w:fldCharType="separate"/>
      </w:r>
      <w:r>
        <w:rPr>
          <w:color w:val="auto"/>
          <w:highlight w:val="none"/>
        </w:rPr>
        <w:t>- 3</w:t>
      </w:r>
      <w:r>
        <w:rPr>
          <w:rFonts w:hint="eastAsia"/>
          <w:color w:val="auto"/>
          <w:highlight w:val="none"/>
          <w:lang w:val="en-US" w:eastAsia="zh-CN"/>
        </w:rPr>
        <w:t>0</w:t>
      </w:r>
      <w:r>
        <w:rPr>
          <w:color w:val="auto"/>
          <w:highlight w:val="none"/>
        </w:rPr>
        <w:t xml:space="preserve"> -</w:t>
      </w:r>
      <w:r>
        <w:rPr>
          <w:color w:val="auto"/>
          <w:highlight w:val="none"/>
        </w:rPr>
        <w:fldChar w:fldCharType="end"/>
      </w:r>
      <w:r>
        <w:rPr>
          <w:color w:val="auto"/>
          <w:highlight w:val="none"/>
        </w:rPr>
        <w:fldChar w:fldCharType="end"/>
      </w:r>
    </w:p>
    <w:p w14:paraId="0AE48B7D">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"_Toc8538" </w:instrText>
      </w:r>
      <w:r>
        <w:rPr>
          <w:color w:val="auto"/>
          <w:highlight w:val="none"/>
        </w:rPr>
        <w:fldChar w:fldCharType="separate"/>
      </w:r>
      <w:r>
        <w:rPr>
          <w:rFonts w:hint="eastAsia"/>
          <w:snapToGrid w:val="0"/>
          <w:color w:val="auto"/>
          <w:kern w:val="0"/>
          <w:szCs w:val="24"/>
          <w:highlight w:val="none"/>
        </w:rPr>
        <w:t>七、定标和授予合同</w:t>
      </w:r>
      <w:r>
        <w:rPr>
          <w:color w:val="auto"/>
          <w:highlight w:val="none"/>
        </w:rPr>
        <w:tab/>
      </w:r>
      <w:r>
        <w:rPr>
          <w:color w:val="auto"/>
          <w:highlight w:val="none"/>
        </w:rPr>
        <w:fldChar w:fldCharType="begin"/>
      </w:r>
      <w:r>
        <w:rPr>
          <w:color w:val="auto"/>
          <w:highlight w:val="none"/>
        </w:rPr>
        <w:instrText xml:space="preserve"> PAGEREF _Toc8538 \h </w:instrText>
      </w:r>
      <w:r>
        <w:rPr>
          <w:color w:val="auto"/>
          <w:highlight w:val="none"/>
        </w:rPr>
        <w:fldChar w:fldCharType="separate"/>
      </w:r>
      <w:r>
        <w:rPr>
          <w:color w:val="auto"/>
          <w:highlight w:val="none"/>
        </w:rPr>
        <w:t>- 3</w:t>
      </w:r>
      <w:r>
        <w:rPr>
          <w:rFonts w:hint="eastAsia"/>
          <w:color w:val="auto"/>
          <w:highlight w:val="none"/>
          <w:lang w:val="en-US" w:eastAsia="zh-CN"/>
        </w:rPr>
        <w:t>2</w:t>
      </w:r>
      <w:r>
        <w:rPr>
          <w:color w:val="auto"/>
          <w:highlight w:val="none"/>
        </w:rPr>
        <w:t xml:space="preserve"> -</w:t>
      </w:r>
      <w:r>
        <w:rPr>
          <w:color w:val="auto"/>
          <w:highlight w:val="none"/>
        </w:rPr>
        <w:fldChar w:fldCharType="end"/>
      </w:r>
      <w:r>
        <w:rPr>
          <w:color w:val="auto"/>
          <w:highlight w:val="none"/>
        </w:rPr>
        <w:fldChar w:fldCharType="end"/>
      </w:r>
    </w:p>
    <w:p w14:paraId="409C42BC">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"_Toc2565" </w:instrText>
      </w:r>
      <w:r>
        <w:rPr>
          <w:color w:val="auto"/>
          <w:highlight w:val="none"/>
        </w:rPr>
        <w:fldChar w:fldCharType="separate"/>
      </w:r>
      <w:r>
        <w:rPr>
          <w:rFonts w:hint="eastAsia"/>
          <w:snapToGrid w:val="0"/>
          <w:color w:val="auto"/>
          <w:kern w:val="0"/>
          <w:szCs w:val="24"/>
          <w:highlight w:val="none"/>
        </w:rPr>
        <w:t>八、质疑与投诉</w:t>
      </w:r>
      <w:r>
        <w:rPr>
          <w:color w:val="auto"/>
          <w:highlight w:val="none"/>
        </w:rPr>
        <w:tab/>
      </w:r>
      <w:r>
        <w:rPr>
          <w:color w:val="auto"/>
          <w:highlight w:val="none"/>
        </w:rPr>
        <w:fldChar w:fldCharType="begin"/>
      </w:r>
      <w:r>
        <w:rPr>
          <w:color w:val="auto"/>
          <w:highlight w:val="none"/>
        </w:rPr>
        <w:instrText xml:space="preserve"> PAGEREF _Toc2565 \h </w:instrText>
      </w:r>
      <w:r>
        <w:rPr>
          <w:color w:val="auto"/>
          <w:highlight w:val="none"/>
        </w:rPr>
        <w:fldChar w:fldCharType="separate"/>
      </w:r>
      <w:r>
        <w:rPr>
          <w:color w:val="auto"/>
          <w:highlight w:val="none"/>
        </w:rPr>
        <w:t>- 3</w:t>
      </w:r>
      <w:r>
        <w:rPr>
          <w:rFonts w:hint="eastAsia"/>
          <w:color w:val="auto"/>
          <w:highlight w:val="none"/>
          <w:lang w:val="en-US" w:eastAsia="zh-CN"/>
        </w:rPr>
        <w:t>3</w:t>
      </w:r>
      <w:r>
        <w:rPr>
          <w:color w:val="auto"/>
          <w:highlight w:val="none"/>
        </w:rPr>
        <w:t xml:space="preserve"> -</w:t>
      </w:r>
      <w:r>
        <w:rPr>
          <w:color w:val="auto"/>
          <w:highlight w:val="none"/>
        </w:rPr>
        <w:fldChar w:fldCharType="end"/>
      </w:r>
      <w:r>
        <w:rPr>
          <w:color w:val="auto"/>
          <w:highlight w:val="none"/>
        </w:rPr>
        <w:fldChar w:fldCharType="end"/>
      </w:r>
    </w:p>
    <w:p w14:paraId="0D2BB470">
      <w:pPr>
        <w:pStyle w:val="13"/>
        <w:tabs>
          <w:tab w:val="right" w:leader="dot" w:pos="9750"/>
        </w:tabs>
        <w:spacing w:line="520" w:lineRule="exact"/>
        <w:ind w:left="761"/>
        <w:rPr>
          <w:color w:val="auto"/>
          <w:highlight w:val="none"/>
        </w:rPr>
      </w:pPr>
      <w:r>
        <w:rPr>
          <w:color w:val="auto"/>
          <w:highlight w:val="none"/>
        </w:rPr>
        <w:fldChar w:fldCharType="begin"/>
      </w:r>
      <w:r>
        <w:rPr>
          <w:color w:val="auto"/>
          <w:highlight w:val="none"/>
        </w:rPr>
        <w:instrText xml:space="preserve"> HYPERLINK \l "_Toc17648" </w:instrText>
      </w:r>
      <w:r>
        <w:rPr>
          <w:color w:val="auto"/>
          <w:highlight w:val="none"/>
        </w:rPr>
        <w:fldChar w:fldCharType="separate"/>
      </w:r>
      <w:r>
        <w:rPr>
          <w:rFonts w:hint="eastAsia"/>
          <w:snapToGrid w:val="0"/>
          <w:color w:val="auto"/>
          <w:kern w:val="0"/>
          <w:szCs w:val="24"/>
          <w:highlight w:val="none"/>
        </w:rPr>
        <w:t>九、投标人须知的补充与修改</w:t>
      </w:r>
      <w:r>
        <w:rPr>
          <w:color w:val="auto"/>
          <w:highlight w:val="none"/>
        </w:rPr>
        <w:tab/>
      </w:r>
      <w:r>
        <w:rPr>
          <w:color w:val="auto"/>
          <w:highlight w:val="none"/>
        </w:rPr>
        <w:fldChar w:fldCharType="begin"/>
      </w:r>
      <w:r>
        <w:rPr>
          <w:color w:val="auto"/>
          <w:highlight w:val="none"/>
        </w:rPr>
        <w:instrText xml:space="preserve"> PAGEREF _Toc17648 \h </w:instrText>
      </w:r>
      <w:r>
        <w:rPr>
          <w:color w:val="auto"/>
          <w:highlight w:val="none"/>
        </w:rPr>
        <w:fldChar w:fldCharType="separate"/>
      </w:r>
      <w:r>
        <w:rPr>
          <w:color w:val="auto"/>
          <w:highlight w:val="none"/>
        </w:rPr>
        <w:t>- 3</w:t>
      </w:r>
      <w:r>
        <w:rPr>
          <w:rFonts w:hint="eastAsia"/>
          <w:color w:val="auto"/>
          <w:highlight w:val="none"/>
          <w:lang w:val="en-US" w:eastAsia="zh-CN"/>
        </w:rPr>
        <w:t>4</w:t>
      </w:r>
      <w:r>
        <w:rPr>
          <w:color w:val="auto"/>
          <w:highlight w:val="none"/>
        </w:rPr>
        <w:t xml:space="preserve"> -</w:t>
      </w:r>
      <w:r>
        <w:rPr>
          <w:color w:val="auto"/>
          <w:highlight w:val="none"/>
        </w:rPr>
        <w:fldChar w:fldCharType="end"/>
      </w:r>
      <w:r>
        <w:rPr>
          <w:color w:val="auto"/>
          <w:highlight w:val="none"/>
        </w:rPr>
        <w:fldChar w:fldCharType="end"/>
      </w:r>
    </w:p>
    <w:p w14:paraId="0F2B15D2">
      <w:pPr>
        <w:pStyle w:val="18"/>
        <w:tabs>
          <w:tab w:val="right" w:leader="dot" w:pos="9750"/>
          <w:tab w:val="clear" w:pos="9403"/>
        </w:tabs>
        <w:spacing w:line="520" w:lineRule="exact"/>
        <w:ind w:left="380"/>
        <w:rPr>
          <w:color w:val="auto"/>
          <w:highlight w:val="none"/>
        </w:rPr>
      </w:pPr>
      <w:r>
        <w:rPr>
          <w:color w:val="auto"/>
          <w:highlight w:val="none"/>
        </w:rPr>
        <w:fldChar w:fldCharType="begin"/>
      </w:r>
      <w:r>
        <w:rPr>
          <w:color w:val="auto"/>
          <w:highlight w:val="none"/>
        </w:rPr>
        <w:instrText xml:space="preserve"> HYPERLINK \l "_Toc9944" </w:instrText>
      </w:r>
      <w:r>
        <w:rPr>
          <w:color w:val="auto"/>
          <w:highlight w:val="none"/>
        </w:rPr>
        <w:fldChar w:fldCharType="separate"/>
      </w:r>
      <w:r>
        <w:rPr>
          <w:rFonts w:hint="eastAsia"/>
          <w:smallCaps w:val="0"/>
          <w:snapToGrid w:val="0"/>
          <w:color w:val="auto"/>
          <w:kern w:val="0"/>
          <w:highlight w:val="none"/>
        </w:rPr>
        <w:t>第六章 采购合同</w:t>
      </w:r>
      <w:r>
        <w:rPr>
          <w:color w:val="auto"/>
          <w:highlight w:val="none"/>
        </w:rPr>
        <w:tab/>
      </w:r>
      <w:r>
        <w:rPr>
          <w:color w:val="auto"/>
          <w:highlight w:val="none"/>
        </w:rPr>
        <w:fldChar w:fldCharType="begin"/>
      </w:r>
      <w:r>
        <w:rPr>
          <w:color w:val="auto"/>
          <w:highlight w:val="none"/>
        </w:rPr>
        <w:instrText xml:space="preserve"> PAGEREF _Toc9944 \h </w:instrText>
      </w:r>
      <w:r>
        <w:rPr>
          <w:color w:val="auto"/>
          <w:highlight w:val="none"/>
        </w:rPr>
        <w:fldChar w:fldCharType="separate"/>
      </w:r>
      <w:r>
        <w:rPr>
          <w:color w:val="auto"/>
          <w:highlight w:val="none"/>
        </w:rPr>
        <w:t>- 3</w:t>
      </w:r>
      <w:r>
        <w:rPr>
          <w:rFonts w:hint="eastAsia"/>
          <w:color w:val="auto"/>
          <w:highlight w:val="none"/>
          <w:lang w:val="en-US" w:eastAsia="zh-CN"/>
        </w:rPr>
        <w:t>5</w:t>
      </w:r>
      <w:r>
        <w:rPr>
          <w:color w:val="auto"/>
          <w:highlight w:val="none"/>
        </w:rPr>
        <w:t xml:space="preserve"> -</w:t>
      </w:r>
      <w:r>
        <w:rPr>
          <w:color w:val="auto"/>
          <w:highlight w:val="none"/>
        </w:rPr>
        <w:fldChar w:fldCharType="end"/>
      </w:r>
      <w:r>
        <w:rPr>
          <w:color w:val="auto"/>
          <w:highlight w:val="none"/>
        </w:rPr>
        <w:fldChar w:fldCharType="end"/>
      </w:r>
    </w:p>
    <w:p w14:paraId="362E2173">
      <w:pPr>
        <w:pStyle w:val="18"/>
        <w:tabs>
          <w:tab w:val="right" w:leader="dot" w:pos="9750"/>
          <w:tab w:val="clear" w:pos="9403"/>
        </w:tabs>
        <w:spacing w:line="520" w:lineRule="exact"/>
        <w:ind w:left="380"/>
        <w:rPr>
          <w:color w:val="auto"/>
          <w:highlight w:val="none"/>
        </w:rPr>
      </w:pPr>
      <w:r>
        <w:rPr>
          <w:color w:val="auto"/>
          <w:highlight w:val="none"/>
        </w:rPr>
        <w:fldChar w:fldCharType="begin"/>
      </w:r>
      <w:r>
        <w:rPr>
          <w:color w:val="auto"/>
          <w:highlight w:val="none"/>
        </w:rPr>
        <w:instrText xml:space="preserve"> HYPERLINK \l "_Toc13530" </w:instrText>
      </w:r>
      <w:r>
        <w:rPr>
          <w:color w:val="auto"/>
          <w:highlight w:val="none"/>
        </w:rPr>
        <w:fldChar w:fldCharType="separate"/>
      </w:r>
      <w:r>
        <w:rPr>
          <w:rFonts w:hint="eastAsia"/>
          <w:smallCaps w:val="0"/>
          <w:snapToGrid w:val="0"/>
          <w:color w:val="auto"/>
          <w:kern w:val="0"/>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_Toc13530 \h </w:instrText>
      </w:r>
      <w:r>
        <w:rPr>
          <w:color w:val="auto"/>
          <w:highlight w:val="none"/>
        </w:rPr>
        <w:fldChar w:fldCharType="separate"/>
      </w:r>
      <w:r>
        <w:rPr>
          <w:color w:val="auto"/>
          <w:highlight w:val="none"/>
        </w:rPr>
        <w:t>- 4</w:t>
      </w:r>
      <w:r>
        <w:rPr>
          <w:rFonts w:hint="eastAsia"/>
          <w:color w:val="auto"/>
          <w:highlight w:val="none"/>
          <w:lang w:val="en-US" w:eastAsia="zh-CN"/>
        </w:rPr>
        <w:t>6</w:t>
      </w:r>
      <w:r>
        <w:rPr>
          <w:color w:val="auto"/>
          <w:highlight w:val="none"/>
        </w:rPr>
        <w:t xml:space="preserve"> -</w:t>
      </w:r>
      <w:r>
        <w:rPr>
          <w:color w:val="auto"/>
          <w:highlight w:val="none"/>
        </w:rPr>
        <w:fldChar w:fldCharType="end"/>
      </w:r>
      <w:r>
        <w:rPr>
          <w:color w:val="auto"/>
          <w:highlight w:val="none"/>
        </w:rPr>
        <w:fldChar w:fldCharType="end"/>
      </w:r>
    </w:p>
    <w:p w14:paraId="61CA7BF9">
      <w:pPr>
        <w:pStyle w:val="13"/>
        <w:tabs>
          <w:tab w:val="right" w:leader="dot" w:pos="9750"/>
        </w:tabs>
        <w:spacing w:line="520" w:lineRule="exact"/>
        <w:ind w:left="761"/>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"_Toc27798" </w:instrText>
      </w:r>
      <w:r>
        <w:rPr>
          <w:color w:val="auto"/>
          <w:highlight w:val="none"/>
        </w:rPr>
        <w:fldChar w:fldCharType="separate"/>
      </w:r>
      <w:r>
        <w:rPr>
          <w:rFonts w:hint="eastAsia"/>
          <w:snapToGrid w:val="0"/>
          <w:color w:val="auto"/>
          <w:kern w:val="0"/>
          <w:highlight w:val="none"/>
        </w:rPr>
        <w:t>一、投标文件格式</w:t>
      </w:r>
      <w:r>
        <w:rPr>
          <w:color w:val="auto"/>
          <w:highlight w:val="none"/>
        </w:rPr>
        <w:tab/>
      </w:r>
      <w:r>
        <w:rPr>
          <w:color w:val="auto"/>
          <w:highlight w:val="none"/>
        </w:rPr>
        <w:fldChar w:fldCharType="end"/>
      </w:r>
      <w:r>
        <w:rPr>
          <w:rFonts w:hint="eastAsia"/>
          <w:color w:val="auto"/>
          <w:highlight w:val="none"/>
          <w:lang w:val="en-US" w:eastAsia="zh-CN"/>
        </w:rPr>
        <w:t>46</w:t>
      </w:r>
    </w:p>
    <w:p w14:paraId="25443D93">
      <w:pPr>
        <w:pStyle w:val="13"/>
        <w:tabs>
          <w:tab w:val="right" w:leader="dot" w:pos="9750"/>
        </w:tabs>
        <w:spacing w:line="520" w:lineRule="exact"/>
        <w:ind w:left="761"/>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"_Toc26960" </w:instrText>
      </w:r>
      <w:r>
        <w:rPr>
          <w:color w:val="auto"/>
          <w:highlight w:val="none"/>
        </w:rPr>
        <w:fldChar w:fldCharType="separate"/>
      </w:r>
      <w:r>
        <w:rPr>
          <w:rFonts w:hint="eastAsia"/>
          <w:snapToGrid w:val="0"/>
          <w:color w:val="auto"/>
          <w:kern w:val="0"/>
          <w:highlight w:val="none"/>
        </w:rPr>
        <w:t>二、投标声明</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7</w:t>
      </w:r>
    </w:p>
    <w:p w14:paraId="033F665A">
      <w:pPr>
        <w:pStyle w:val="13"/>
        <w:tabs>
          <w:tab w:val="right" w:leader="dot" w:pos="9750"/>
        </w:tabs>
        <w:spacing w:line="520" w:lineRule="exact"/>
        <w:ind w:left="761"/>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"_Toc27590" </w:instrText>
      </w:r>
      <w:r>
        <w:rPr>
          <w:color w:val="auto"/>
          <w:highlight w:val="none"/>
        </w:rPr>
        <w:fldChar w:fldCharType="separate"/>
      </w:r>
      <w:r>
        <w:rPr>
          <w:rFonts w:hint="eastAsia"/>
          <w:snapToGrid w:val="0"/>
          <w:color w:val="auto"/>
          <w:kern w:val="0"/>
          <w:highlight w:val="none"/>
        </w:rPr>
        <w:t>三、法定代表人身份证明</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8</w:t>
      </w:r>
    </w:p>
    <w:p w14:paraId="0103DCBD">
      <w:pPr>
        <w:pStyle w:val="13"/>
        <w:tabs>
          <w:tab w:val="right" w:leader="dot" w:pos="9750"/>
        </w:tabs>
        <w:spacing w:line="520" w:lineRule="exact"/>
        <w:ind w:left="761"/>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"_Toc3364" </w:instrText>
      </w:r>
      <w:r>
        <w:rPr>
          <w:color w:val="auto"/>
          <w:highlight w:val="none"/>
        </w:rPr>
        <w:fldChar w:fldCharType="separate"/>
      </w:r>
      <w:r>
        <w:rPr>
          <w:rFonts w:hint="eastAsia"/>
          <w:snapToGrid w:val="0"/>
          <w:color w:val="auto"/>
          <w:kern w:val="0"/>
          <w:highlight w:val="none"/>
        </w:rPr>
        <w:t>四、法定代表人委托书</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9</w:t>
      </w:r>
    </w:p>
    <w:p w14:paraId="0B6604BF">
      <w:pPr>
        <w:pStyle w:val="13"/>
        <w:tabs>
          <w:tab w:val="right" w:leader="dot" w:pos="9750"/>
        </w:tabs>
        <w:spacing w:line="520" w:lineRule="exact"/>
        <w:ind w:left="761"/>
        <w:rPr>
          <w:rFonts w:hint="eastAsia"/>
          <w:color w:val="auto"/>
          <w:highlight w:val="none"/>
          <w:lang w:val="en-US" w:eastAsia="zh-CN"/>
        </w:rPr>
      </w:pPr>
      <w:r>
        <w:rPr>
          <w:color w:val="auto"/>
          <w:highlight w:val="none"/>
        </w:rPr>
        <w:fldChar w:fldCharType="begin"/>
      </w:r>
      <w:r>
        <w:rPr>
          <w:color w:val="auto"/>
          <w:highlight w:val="none"/>
        </w:rPr>
        <w:instrText xml:space="preserve"> HYPERLINK \l "_Toc14006" </w:instrText>
      </w:r>
      <w:r>
        <w:rPr>
          <w:color w:val="auto"/>
          <w:highlight w:val="none"/>
        </w:rPr>
        <w:fldChar w:fldCharType="separate"/>
      </w:r>
      <w:r>
        <w:rPr>
          <w:rFonts w:hint="eastAsia"/>
          <w:snapToGrid w:val="0"/>
          <w:color w:val="auto"/>
          <w:kern w:val="0"/>
          <w:highlight w:val="none"/>
        </w:rPr>
        <w:t>五、廉政承诺书</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0</w:t>
      </w:r>
    </w:p>
    <w:p w14:paraId="5B6168A8">
      <w:pPr>
        <w:pStyle w:val="13"/>
        <w:tabs>
          <w:tab w:val="right" w:leader="dot" w:pos="9750"/>
        </w:tabs>
        <w:spacing w:line="520" w:lineRule="exact"/>
        <w:ind w:left="761"/>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"_Toc14635" </w:instrText>
      </w:r>
      <w:r>
        <w:rPr>
          <w:color w:val="auto"/>
          <w:highlight w:val="none"/>
        </w:rPr>
        <w:fldChar w:fldCharType="separate"/>
      </w:r>
      <w:r>
        <w:rPr>
          <w:rFonts w:hint="eastAsia"/>
          <w:snapToGrid w:val="0"/>
          <w:color w:val="auto"/>
          <w:kern w:val="0"/>
          <w:highlight w:val="none"/>
        </w:rPr>
        <w:t>六、投标人资质材及投标人认为需要提供的其他材料</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1</w:t>
      </w:r>
    </w:p>
    <w:p w14:paraId="58F9194E">
      <w:pPr>
        <w:pStyle w:val="18"/>
        <w:tabs>
          <w:tab w:val="right" w:leader="dot" w:pos="9750"/>
          <w:tab w:val="clear" w:pos="9403"/>
        </w:tabs>
        <w:spacing w:line="520" w:lineRule="exact"/>
        <w:ind w:left="380" w:firstLine="442" w:firstLineChars="200"/>
        <w:rPr>
          <w:rFonts w:hint="eastAsia" w:eastAsia="宋体"/>
          <w:color w:val="auto"/>
          <w:highlight w:val="none"/>
          <w:lang w:val="en-US" w:eastAsia="zh-CN"/>
        </w:rPr>
      </w:pPr>
      <w:r>
        <w:rPr>
          <w:rFonts w:hint="eastAsia" w:ascii="宋体" w:hAnsi="宋体" w:eastAsia="宋体" w:cs="宋体"/>
          <w:b w:val="0"/>
          <w:bCs w:val="0"/>
          <w:iCs/>
          <w:smallCaps w:val="0"/>
          <w:snapToGrid w:val="0"/>
          <w:color w:val="auto"/>
          <w:kern w:val="0"/>
          <w:sz w:val="24"/>
          <w:szCs w:val="28"/>
          <w:highlight w:val="none"/>
          <w:lang w:val="en-US" w:eastAsia="zh-CN" w:bidi="ar-SA"/>
        </w:rPr>
        <w:t>七、</w:t>
      </w:r>
      <w:r>
        <w:rPr>
          <w:rFonts w:hint="eastAsia" w:ascii="宋体" w:hAnsi="宋体" w:eastAsia="宋体" w:cs="宋体"/>
          <w:b w:val="0"/>
          <w:bCs w:val="0"/>
          <w:iCs/>
          <w:smallCaps w:val="0"/>
          <w:snapToGrid w:val="0"/>
          <w:color w:val="auto"/>
          <w:kern w:val="0"/>
          <w:sz w:val="24"/>
          <w:szCs w:val="28"/>
          <w:highlight w:val="none"/>
          <w:lang w:val="en-US" w:eastAsia="zh-CN" w:bidi="ar-SA"/>
        </w:rPr>
        <w:fldChar w:fldCharType="begin"/>
      </w:r>
      <w:r>
        <w:rPr>
          <w:rFonts w:hint="eastAsia" w:ascii="宋体" w:hAnsi="宋体" w:eastAsia="宋体" w:cs="宋体"/>
          <w:b w:val="0"/>
          <w:bCs w:val="0"/>
          <w:iCs/>
          <w:smallCaps w:val="0"/>
          <w:snapToGrid w:val="0"/>
          <w:color w:val="auto"/>
          <w:kern w:val="0"/>
          <w:sz w:val="24"/>
          <w:szCs w:val="28"/>
          <w:highlight w:val="none"/>
          <w:lang w:val="en-US" w:eastAsia="zh-CN" w:bidi="ar-SA"/>
        </w:rPr>
        <w:instrText xml:space="preserve"> HYPERLINK \l "_Toc31676" </w:instrText>
      </w:r>
      <w:r>
        <w:rPr>
          <w:rFonts w:hint="eastAsia" w:ascii="宋体" w:hAnsi="宋体" w:eastAsia="宋体" w:cs="宋体"/>
          <w:b w:val="0"/>
          <w:bCs w:val="0"/>
          <w:iCs/>
          <w:smallCaps w:val="0"/>
          <w:snapToGrid w:val="0"/>
          <w:color w:val="auto"/>
          <w:kern w:val="0"/>
          <w:sz w:val="24"/>
          <w:szCs w:val="28"/>
          <w:highlight w:val="none"/>
          <w:lang w:val="en-US" w:eastAsia="zh-CN" w:bidi="ar-SA"/>
        </w:rPr>
        <w:fldChar w:fldCharType="separate"/>
      </w:r>
      <w:r>
        <w:rPr>
          <w:rFonts w:hint="eastAsia" w:ascii="宋体" w:hAnsi="宋体" w:eastAsia="宋体" w:cs="宋体"/>
          <w:b w:val="0"/>
          <w:bCs w:val="0"/>
          <w:iCs/>
          <w:smallCaps w:val="0"/>
          <w:snapToGrid w:val="0"/>
          <w:color w:val="auto"/>
          <w:kern w:val="0"/>
          <w:sz w:val="24"/>
          <w:szCs w:val="28"/>
          <w:highlight w:val="none"/>
          <w:lang w:val="en-US" w:eastAsia="zh-CN" w:bidi="ar-SA"/>
        </w:rPr>
        <w:t>服务承诺书</w:t>
      </w:r>
      <w:r>
        <w:rPr>
          <w:rFonts w:hint="eastAsia" w:ascii="宋体" w:hAnsi="宋体" w:eastAsia="宋体" w:cs="宋体"/>
          <w:b w:val="0"/>
          <w:bCs w:val="0"/>
          <w:iCs/>
          <w:smallCaps w:val="0"/>
          <w:snapToGrid w:val="0"/>
          <w:color w:val="auto"/>
          <w:kern w:val="0"/>
          <w:sz w:val="24"/>
          <w:szCs w:val="28"/>
          <w:highlight w:val="none"/>
          <w:lang w:val="en-US" w:eastAsia="zh-CN" w:bidi="ar-SA"/>
        </w:rPr>
        <w:tab/>
      </w:r>
      <w:r>
        <w:rPr>
          <w:rFonts w:hint="eastAsia" w:ascii="宋体" w:hAnsi="宋体" w:eastAsia="宋体" w:cs="宋体"/>
          <w:b w:val="0"/>
          <w:bCs w:val="0"/>
          <w:iCs/>
          <w:smallCaps w:val="0"/>
          <w:snapToGrid w:val="0"/>
          <w:color w:val="auto"/>
          <w:kern w:val="0"/>
          <w:sz w:val="24"/>
          <w:szCs w:val="28"/>
          <w:highlight w:val="none"/>
          <w:lang w:val="en-US" w:eastAsia="zh-CN" w:bidi="ar-SA"/>
        </w:rPr>
        <w:t>5</w:t>
      </w:r>
      <w:r>
        <w:rPr>
          <w:rFonts w:hint="eastAsia" w:ascii="宋体" w:hAnsi="宋体" w:eastAsia="宋体" w:cs="宋体"/>
          <w:b w:val="0"/>
          <w:bCs w:val="0"/>
          <w:iCs/>
          <w:smallCaps w:val="0"/>
          <w:snapToGrid w:val="0"/>
          <w:color w:val="auto"/>
          <w:kern w:val="0"/>
          <w:sz w:val="24"/>
          <w:szCs w:val="28"/>
          <w:highlight w:val="none"/>
          <w:lang w:val="en-US" w:eastAsia="zh-CN" w:bidi="ar-SA"/>
        </w:rPr>
        <w:fldChar w:fldCharType="end"/>
      </w:r>
      <w:r>
        <w:rPr>
          <w:rFonts w:hint="eastAsia"/>
          <w:color w:val="auto"/>
          <w:highlight w:val="none"/>
          <w:lang w:val="en-US" w:eastAsia="zh-CN"/>
        </w:rPr>
        <w:t>2</w:t>
      </w:r>
    </w:p>
    <w:p w14:paraId="4C10A606">
      <w:pPr>
        <w:pStyle w:val="13"/>
        <w:tabs>
          <w:tab w:val="right" w:leader="dot" w:pos="9750"/>
        </w:tabs>
        <w:spacing w:line="520" w:lineRule="exact"/>
        <w:ind w:left="761"/>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"_Toc16364" </w:instrText>
      </w:r>
      <w:r>
        <w:rPr>
          <w:color w:val="auto"/>
          <w:highlight w:val="none"/>
        </w:rPr>
        <w:fldChar w:fldCharType="separate"/>
      </w:r>
      <w:r>
        <w:rPr>
          <w:rFonts w:hint="eastAsia"/>
          <w:color w:val="auto"/>
          <w:highlight w:val="none"/>
        </w:rPr>
        <w:t>八、投标报价书</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3</w:t>
      </w:r>
    </w:p>
    <w:p w14:paraId="37977835">
      <w:pPr>
        <w:pStyle w:val="13"/>
        <w:tabs>
          <w:tab w:val="right" w:leader="dot" w:pos="9750"/>
        </w:tabs>
        <w:spacing w:line="520" w:lineRule="exact"/>
        <w:ind w:left="761"/>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"_Toc21152" </w:instrText>
      </w:r>
      <w:r>
        <w:rPr>
          <w:color w:val="auto"/>
          <w:highlight w:val="none"/>
        </w:rPr>
        <w:fldChar w:fldCharType="separate"/>
      </w:r>
      <w:r>
        <w:rPr>
          <w:rFonts w:hint="eastAsia"/>
          <w:color w:val="auto"/>
          <w:highlight w:val="none"/>
        </w:rPr>
        <w:t>九、承诺书</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6</w:t>
      </w:r>
    </w:p>
    <w:p w14:paraId="7B6DC89C">
      <w:pPr>
        <w:pStyle w:val="13"/>
        <w:tabs>
          <w:tab w:val="right" w:leader="dot" w:pos="9750"/>
        </w:tabs>
        <w:spacing w:line="520" w:lineRule="exact"/>
        <w:ind w:left="761"/>
        <w:rPr>
          <w:color w:val="auto"/>
          <w:highlight w:val="none"/>
        </w:rPr>
      </w:pPr>
    </w:p>
    <w:p w14:paraId="3EE899F5">
      <w:pPr>
        <w:pStyle w:val="13"/>
        <w:tabs>
          <w:tab w:val="right" w:leader="dot" w:pos="9750"/>
        </w:tabs>
        <w:wordWrap w:val="0"/>
        <w:spacing w:line="520" w:lineRule="exact"/>
        <w:ind w:left="761"/>
        <w:rPr>
          <w:snapToGrid w:val="0"/>
          <w:color w:val="auto"/>
          <w:kern w:val="0"/>
          <w:highlight w:val="none"/>
        </w:rPr>
        <w:sectPr>
          <w:footerReference r:id="rId6" w:type="default"/>
          <w:pgSz w:w="11910" w:h="16850"/>
          <w:pgMar w:top="1440" w:right="1080" w:bottom="1440" w:left="1080" w:header="1001" w:footer="981" w:gutter="0"/>
          <w:pgNumType w:fmt="decimal"/>
          <w:cols w:space="0" w:num="1"/>
          <w:docGrid w:type="linesAndChars" w:linePitch="288" w:charSpace="-4058"/>
        </w:sectPr>
      </w:pPr>
      <w:r>
        <w:rPr>
          <w:rFonts w:hint="eastAsia"/>
          <w:snapToGrid w:val="0"/>
          <w:color w:val="auto"/>
          <w:kern w:val="0"/>
          <w:highlight w:val="none"/>
          <w:lang w:val="zh-CN"/>
        </w:rPr>
        <w:fldChar w:fldCharType="end"/>
      </w:r>
    </w:p>
    <w:p w14:paraId="711B4D5D">
      <w:pPr>
        <w:pStyle w:val="6"/>
        <w:jc w:val="center"/>
        <w:rPr>
          <w:snapToGrid w:val="0"/>
          <w:color w:val="auto"/>
          <w:kern w:val="0"/>
          <w:highlight w:val="none"/>
        </w:rPr>
      </w:pPr>
      <w:bookmarkStart w:id="4" w:name="_Toc5576"/>
      <w:r>
        <w:rPr>
          <w:rFonts w:hint="eastAsia"/>
          <w:snapToGrid w:val="0"/>
          <w:color w:val="auto"/>
          <w:kern w:val="0"/>
          <w:highlight w:val="none"/>
        </w:rPr>
        <w:t>招标文件第一部分</w:t>
      </w:r>
      <w:bookmarkEnd w:id="0"/>
      <w:r>
        <w:rPr>
          <w:rFonts w:hint="eastAsia"/>
          <w:snapToGrid w:val="0"/>
          <w:color w:val="auto"/>
          <w:kern w:val="0"/>
          <w:highlight w:val="none"/>
        </w:rPr>
        <w:t>（专用部分）</w:t>
      </w:r>
      <w:bookmarkEnd w:id="1"/>
      <w:bookmarkEnd w:id="2"/>
      <w:bookmarkEnd w:id="3"/>
      <w:bookmarkEnd w:id="4"/>
    </w:p>
    <w:p w14:paraId="7D1D912A">
      <w:pPr>
        <w:pStyle w:val="7"/>
        <w:outlineLvl w:val="0"/>
        <w:rPr>
          <w:snapToGrid w:val="0"/>
          <w:color w:val="auto"/>
          <w:kern w:val="0"/>
          <w:highlight w:val="none"/>
        </w:rPr>
      </w:pPr>
      <w:bookmarkStart w:id="5" w:name="_Toc8645"/>
      <w:bookmarkStart w:id="6" w:name="_Toc17872"/>
      <w:bookmarkStart w:id="7" w:name="_Toc11781"/>
      <w:bookmarkStart w:id="8" w:name="_Toc4967"/>
      <w:bookmarkStart w:id="9" w:name="_Toc30035"/>
      <w:bookmarkStart w:id="10" w:name="_Toc13189"/>
      <w:bookmarkStart w:id="11" w:name="_Toc482084451"/>
      <w:bookmarkStart w:id="12" w:name="_Toc462234292"/>
      <w:r>
        <w:rPr>
          <w:rFonts w:hint="eastAsia"/>
          <w:snapToGrid w:val="0"/>
          <w:color w:val="auto"/>
          <w:kern w:val="0"/>
          <w:highlight w:val="none"/>
        </w:rPr>
        <w:t>第一章 招标公告</w:t>
      </w:r>
      <w:bookmarkEnd w:id="5"/>
      <w:bookmarkEnd w:id="6"/>
      <w:bookmarkEnd w:id="7"/>
      <w:bookmarkEnd w:id="8"/>
      <w:bookmarkEnd w:id="9"/>
      <w:bookmarkEnd w:id="10"/>
      <w:bookmarkEnd w:id="11"/>
      <w:bookmarkEnd w:id="12"/>
    </w:p>
    <w:p w14:paraId="5F0AB4C0">
      <w:pPr>
        <w:pBdr>
          <w:top w:val="single" w:color="auto" w:sz="4" w:space="1"/>
          <w:left w:val="single" w:color="auto" w:sz="4" w:space="4"/>
          <w:bottom w:val="single" w:color="auto" w:sz="4" w:space="1"/>
          <w:right w:val="single" w:color="auto" w:sz="4" w:space="4"/>
        </w:pBdr>
        <w:kinsoku w:val="0"/>
        <w:overflowPunct w:val="0"/>
        <w:autoSpaceDE w:val="0"/>
        <w:autoSpaceDN w:val="0"/>
        <w:adjustRightInd w:val="0"/>
        <w:snapToGrid w:val="0"/>
        <w:spacing w:line="360" w:lineRule="auto"/>
        <w:rPr>
          <w:rFonts w:hint="eastAsia" w:ascii="宋体" w:hAnsi="宋体" w:eastAsia="宋体" w:cs="宋体"/>
          <w:snapToGrid w:val="0"/>
          <w:color w:val="auto"/>
          <w:kern w:val="0"/>
          <w:sz w:val="21"/>
          <w:szCs w:val="21"/>
          <w:highlight w:val="none"/>
        </w:rPr>
      </w:pPr>
      <w:bookmarkStart w:id="13" w:name="_Toc12163"/>
      <w:bookmarkStart w:id="14" w:name="_Toc31345"/>
      <w:bookmarkStart w:id="15" w:name="_Toc10733"/>
      <w:r>
        <w:rPr>
          <w:rFonts w:hint="eastAsia" w:ascii="宋体" w:hAnsi="宋体" w:eastAsia="宋体" w:cs="宋体"/>
          <w:snapToGrid w:val="0"/>
          <w:color w:val="auto"/>
          <w:kern w:val="0"/>
          <w:sz w:val="21"/>
          <w:szCs w:val="21"/>
          <w:highlight w:val="none"/>
        </w:rPr>
        <w:t>项目概况</w:t>
      </w:r>
    </w:p>
    <w:p w14:paraId="33F8026B">
      <w:pPr>
        <w:pBdr>
          <w:top w:val="single" w:color="auto" w:sz="4" w:space="1"/>
          <w:left w:val="single" w:color="auto" w:sz="4" w:space="4"/>
          <w:bottom w:val="single" w:color="auto" w:sz="4" w:space="1"/>
          <w:right w:val="single" w:color="auto" w:sz="4" w:space="4"/>
        </w:pBd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u w:val="single"/>
        </w:rPr>
        <w:t>皖北卫生职业学院</w:t>
      </w:r>
      <w:r>
        <w:rPr>
          <w:rFonts w:hint="eastAsia" w:ascii="宋体" w:hAnsi="宋体" w:eastAsia="宋体" w:cs="宋体"/>
          <w:snapToGrid w:val="0"/>
          <w:color w:val="auto"/>
          <w:kern w:val="0"/>
          <w:sz w:val="21"/>
          <w:szCs w:val="21"/>
          <w:highlight w:val="none"/>
          <w:u w:val="single"/>
          <w:lang w:eastAsia="zh-CN"/>
        </w:rPr>
        <w:t>第一食堂</w:t>
      </w:r>
      <w:r>
        <w:rPr>
          <w:rFonts w:hint="eastAsia" w:ascii="宋体" w:hAnsi="宋体" w:eastAsia="宋体" w:cs="宋体"/>
          <w:snapToGrid w:val="0"/>
          <w:color w:val="auto"/>
          <w:kern w:val="0"/>
          <w:sz w:val="21"/>
          <w:szCs w:val="21"/>
          <w:highlight w:val="none"/>
          <w:u w:val="single"/>
        </w:rPr>
        <w:t>经营服务项目</w:t>
      </w:r>
      <w:r>
        <w:rPr>
          <w:rFonts w:hint="eastAsia" w:ascii="宋体" w:hAnsi="宋体" w:eastAsia="宋体" w:cs="宋体"/>
          <w:snapToGrid w:val="0"/>
          <w:color w:val="auto"/>
          <w:kern w:val="0"/>
          <w:sz w:val="21"/>
          <w:szCs w:val="21"/>
          <w:highlight w:val="none"/>
        </w:rPr>
        <w:t>招标项目的潜在投标人应在</w:t>
      </w:r>
      <w:r>
        <w:rPr>
          <w:rFonts w:hint="eastAsia" w:ascii="宋体" w:hAnsi="宋体" w:eastAsia="宋体" w:cs="宋体"/>
          <w:snapToGrid w:val="0"/>
          <w:color w:val="auto"/>
          <w:kern w:val="0"/>
          <w:sz w:val="21"/>
          <w:szCs w:val="21"/>
          <w:highlight w:val="none"/>
          <w:u w:val="single"/>
        </w:rPr>
        <w:t>全国公共资源交易平台（安徽省·宿州市）门户网站（网址：</w:t>
      </w:r>
      <w:r>
        <w:rPr>
          <w:rFonts w:hint="eastAsia" w:ascii="宋体" w:hAnsi="宋体" w:eastAsia="宋体" w:cs="宋体"/>
          <w:snapToGrid w:val="0"/>
          <w:color w:val="auto"/>
          <w:kern w:val="0"/>
          <w:sz w:val="21"/>
          <w:szCs w:val="21"/>
          <w:highlight w:val="none"/>
          <w:u w:val="single"/>
        </w:rPr>
        <w:fldChar w:fldCharType="begin"/>
      </w:r>
      <w:r>
        <w:rPr>
          <w:rFonts w:hint="eastAsia" w:ascii="宋体" w:hAnsi="宋体" w:eastAsia="宋体" w:cs="宋体"/>
          <w:snapToGrid w:val="0"/>
          <w:color w:val="auto"/>
          <w:kern w:val="0"/>
          <w:sz w:val="21"/>
          <w:szCs w:val="21"/>
          <w:highlight w:val="none"/>
          <w:u w:val="single"/>
        </w:rPr>
        <w:instrText xml:space="preserve"> HYPERLINK "http://ggzyjy.ahsz.gov.cn）获取招标文件，并于2024年07月" </w:instrText>
      </w:r>
      <w:r>
        <w:rPr>
          <w:rFonts w:hint="eastAsia" w:ascii="宋体" w:hAnsi="宋体" w:eastAsia="宋体" w:cs="宋体"/>
          <w:snapToGrid w:val="0"/>
          <w:color w:val="auto"/>
          <w:kern w:val="0"/>
          <w:sz w:val="21"/>
          <w:szCs w:val="21"/>
          <w:highlight w:val="none"/>
        </w:rPr>
        <w:fldChar w:fldCharType="separate"/>
      </w:r>
      <w:r>
        <w:rPr>
          <w:rStyle w:val="22"/>
          <w:rFonts w:hint="eastAsia" w:ascii="宋体" w:hAnsi="宋体" w:eastAsia="宋体" w:cs="宋体"/>
          <w:snapToGrid w:val="0"/>
          <w:color w:val="auto"/>
          <w:kern w:val="0"/>
          <w:sz w:val="21"/>
          <w:szCs w:val="21"/>
          <w:highlight w:val="none"/>
        </w:rPr>
        <w:t>http://ggzyjy.ahsz.gov.cn）获取招标文件，并于202</w:t>
      </w:r>
      <w:r>
        <w:rPr>
          <w:rStyle w:val="22"/>
          <w:rFonts w:hint="eastAsia" w:ascii="宋体" w:hAnsi="宋体" w:eastAsia="宋体" w:cs="宋体"/>
          <w:snapToGrid w:val="0"/>
          <w:color w:val="auto"/>
          <w:kern w:val="0"/>
          <w:sz w:val="21"/>
          <w:szCs w:val="21"/>
          <w:highlight w:val="none"/>
          <w:lang w:val="en-US" w:eastAsia="zh-CN"/>
        </w:rPr>
        <w:t>4</w:t>
      </w:r>
      <w:r>
        <w:rPr>
          <w:rStyle w:val="22"/>
          <w:rFonts w:hint="eastAsia" w:ascii="宋体" w:hAnsi="宋体" w:eastAsia="宋体" w:cs="宋体"/>
          <w:bCs/>
          <w:snapToGrid w:val="0"/>
          <w:color w:val="auto"/>
          <w:kern w:val="0"/>
          <w:sz w:val="21"/>
          <w:szCs w:val="21"/>
          <w:highlight w:val="none"/>
        </w:rPr>
        <w:t>年</w:t>
      </w:r>
      <w:r>
        <w:rPr>
          <w:rStyle w:val="22"/>
          <w:rFonts w:hint="eastAsia" w:ascii="宋体" w:hAnsi="宋体" w:cs="宋体"/>
          <w:bCs/>
          <w:snapToGrid w:val="0"/>
          <w:color w:val="auto"/>
          <w:kern w:val="0"/>
          <w:sz w:val="21"/>
          <w:szCs w:val="21"/>
          <w:highlight w:val="none"/>
          <w:lang w:val="en-US" w:eastAsia="zh-CN"/>
        </w:rPr>
        <w:t>8</w:t>
      </w:r>
      <w:r>
        <w:rPr>
          <w:rStyle w:val="22"/>
          <w:rFonts w:hint="eastAsia" w:ascii="宋体" w:hAnsi="宋体" w:eastAsia="宋体" w:cs="宋体"/>
          <w:bCs/>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fldChar w:fldCharType="end"/>
      </w:r>
      <w:r>
        <w:rPr>
          <w:rFonts w:hint="eastAsia" w:ascii="宋体" w:hAnsi="宋体" w:cs="宋体"/>
          <w:snapToGrid w:val="0"/>
          <w:color w:val="auto"/>
          <w:kern w:val="0"/>
          <w:sz w:val="21"/>
          <w:szCs w:val="21"/>
          <w:highlight w:val="none"/>
          <w:u w:val="single"/>
          <w:lang w:val="en-US" w:eastAsia="zh-CN"/>
        </w:rPr>
        <w:t>17</w:t>
      </w:r>
      <w:r>
        <w:rPr>
          <w:rFonts w:hint="eastAsia" w:ascii="宋体" w:hAnsi="宋体" w:eastAsia="宋体" w:cs="宋体"/>
          <w:bCs/>
          <w:snapToGrid w:val="0"/>
          <w:color w:val="auto"/>
          <w:kern w:val="0"/>
          <w:sz w:val="21"/>
          <w:szCs w:val="21"/>
          <w:highlight w:val="none"/>
          <w:u w:val="single"/>
        </w:rPr>
        <w:t>日</w:t>
      </w:r>
      <w:r>
        <w:rPr>
          <w:rFonts w:hint="eastAsia" w:ascii="宋体" w:hAnsi="宋体" w:cs="宋体"/>
          <w:bCs/>
          <w:snapToGrid w:val="0"/>
          <w:color w:val="auto"/>
          <w:kern w:val="0"/>
          <w:sz w:val="21"/>
          <w:szCs w:val="21"/>
          <w:highlight w:val="none"/>
          <w:u w:val="single"/>
          <w:lang w:val="en-US" w:eastAsia="zh-CN"/>
        </w:rPr>
        <w:t>09</w:t>
      </w:r>
      <w:r>
        <w:rPr>
          <w:rFonts w:hint="eastAsia" w:ascii="宋体" w:hAnsi="宋体" w:eastAsia="宋体" w:cs="宋体"/>
          <w:bCs/>
          <w:snapToGrid w:val="0"/>
          <w:color w:val="auto"/>
          <w:kern w:val="0"/>
          <w:sz w:val="21"/>
          <w:szCs w:val="21"/>
          <w:highlight w:val="none"/>
          <w:u w:val="single"/>
        </w:rPr>
        <w:t>点00分（</w:t>
      </w:r>
      <w:r>
        <w:rPr>
          <w:rFonts w:hint="eastAsia" w:ascii="宋体" w:hAnsi="宋体" w:eastAsia="宋体" w:cs="宋体"/>
          <w:bCs/>
          <w:snapToGrid w:val="0"/>
          <w:color w:val="auto"/>
          <w:kern w:val="0"/>
          <w:sz w:val="21"/>
          <w:szCs w:val="21"/>
          <w:highlight w:val="none"/>
        </w:rPr>
        <w:t>北京时间）前提交投标文件</w:t>
      </w:r>
      <w:r>
        <w:rPr>
          <w:rFonts w:hint="eastAsia" w:ascii="宋体" w:hAnsi="宋体" w:eastAsia="宋体" w:cs="宋体"/>
          <w:snapToGrid w:val="0"/>
          <w:color w:val="auto"/>
          <w:kern w:val="0"/>
          <w:sz w:val="21"/>
          <w:szCs w:val="21"/>
          <w:highlight w:val="none"/>
        </w:rPr>
        <w:t>。</w:t>
      </w:r>
    </w:p>
    <w:p w14:paraId="7E780437">
      <w:pPr>
        <w:pStyle w:val="8"/>
        <w:kinsoku w:val="0"/>
        <w:wordWrap/>
        <w:overflowPunct w:val="0"/>
        <w:autoSpaceDE w:val="0"/>
        <w:autoSpaceDN w:val="0"/>
        <w:adjustRightInd w:val="0"/>
        <w:snapToGrid w:val="0"/>
        <w:spacing w:line="360" w:lineRule="auto"/>
        <w:ind w:firstLine="0" w:firstLineChars="0"/>
        <w:jc w:val="both"/>
        <w:outlineLvl w:val="1"/>
        <w:rPr>
          <w:rFonts w:hint="eastAsia" w:ascii="宋体" w:hAnsi="宋体" w:eastAsia="宋体" w:cs="宋体"/>
          <w:snapToGrid w:val="0"/>
          <w:color w:val="auto"/>
          <w:kern w:val="0"/>
          <w:sz w:val="21"/>
          <w:szCs w:val="21"/>
          <w:highlight w:val="none"/>
        </w:rPr>
      </w:pPr>
      <w:bookmarkStart w:id="16" w:name="_Toc35393790"/>
      <w:bookmarkStart w:id="17" w:name="_Toc28164"/>
      <w:bookmarkStart w:id="18" w:name="_Toc16120"/>
      <w:bookmarkStart w:id="19" w:name="_Toc28359002"/>
      <w:bookmarkStart w:id="20" w:name="_Toc35393621"/>
      <w:bookmarkStart w:id="21" w:name="_Toc30893"/>
      <w:bookmarkStart w:id="22" w:name="_Toc28359079"/>
      <w:bookmarkStart w:id="23" w:name="_Hlk24379207"/>
      <w:r>
        <w:rPr>
          <w:rFonts w:hint="eastAsia" w:ascii="宋体" w:hAnsi="宋体" w:eastAsia="宋体" w:cs="宋体"/>
          <w:snapToGrid w:val="0"/>
          <w:color w:val="auto"/>
          <w:kern w:val="0"/>
          <w:sz w:val="21"/>
          <w:szCs w:val="21"/>
          <w:highlight w:val="none"/>
        </w:rPr>
        <w:t>一、项目基本情况</w:t>
      </w:r>
      <w:bookmarkEnd w:id="16"/>
      <w:bookmarkEnd w:id="17"/>
      <w:bookmarkEnd w:id="18"/>
      <w:bookmarkEnd w:id="19"/>
      <w:bookmarkEnd w:id="20"/>
      <w:bookmarkEnd w:id="21"/>
      <w:bookmarkEnd w:id="22"/>
    </w:p>
    <w:p w14:paraId="41BBD00A">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项目编号：DXJS-20240705</w:t>
      </w:r>
    </w:p>
    <w:p w14:paraId="378935F9">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项目名称：皖北卫生职业学院</w:t>
      </w:r>
      <w:r>
        <w:rPr>
          <w:rFonts w:hint="eastAsia" w:ascii="宋体" w:hAnsi="宋体" w:eastAsia="宋体" w:cs="宋体"/>
          <w:snapToGrid w:val="0"/>
          <w:color w:val="auto"/>
          <w:kern w:val="0"/>
          <w:sz w:val="21"/>
          <w:szCs w:val="21"/>
          <w:highlight w:val="none"/>
          <w:lang w:val="en-US" w:eastAsia="zh-CN"/>
        </w:rPr>
        <w:t>第一</w:t>
      </w:r>
      <w:r>
        <w:rPr>
          <w:rFonts w:hint="eastAsia" w:ascii="宋体" w:hAnsi="宋体" w:eastAsia="宋体" w:cs="宋体"/>
          <w:snapToGrid w:val="0"/>
          <w:color w:val="auto"/>
          <w:kern w:val="0"/>
          <w:sz w:val="21"/>
          <w:szCs w:val="21"/>
          <w:highlight w:val="none"/>
        </w:rPr>
        <w:t>食堂经营服务项目</w:t>
      </w:r>
      <w:bookmarkEnd w:id="23"/>
      <w:r>
        <w:rPr>
          <w:rFonts w:hint="eastAsia" w:ascii="宋体" w:hAnsi="宋体" w:eastAsia="宋体" w:cs="宋体"/>
          <w:snapToGrid w:val="0"/>
          <w:color w:val="auto"/>
          <w:kern w:val="0"/>
          <w:sz w:val="21"/>
          <w:szCs w:val="21"/>
          <w:highlight w:val="none"/>
        </w:rPr>
        <w:t>。</w:t>
      </w:r>
    </w:p>
    <w:p w14:paraId="19902DFB">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最低限价：</w:t>
      </w:r>
      <w:r>
        <w:rPr>
          <w:rFonts w:hint="eastAsia" w:ascii="宋体" w:hAnsi="宋体" w:eastAsia="宋体" w:cs="宋体"/>
          <w:color w:val="auto"/>
          <w:sz w:val="21"/>
          <w:szCs w:val="21"/>
          <w:highlight w:val="none"/>
        </w:rPr>
        <w:t>装饰装修投资与设备配备投资（一次性投入），不低于100万。</w:t>
      </w:r>
    </w:p>
    <w:p w14:paraId="508BEB25">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缴纳水资源管理费、污水处理费、垃圾清运及处理费、水电管理费（不含水电费）、食品卫生监督费、校园一卡通系统及明厨亮灶监控维护维修费、饮食文化活动及其公共建设费等费用，不低于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0万每年</w:t>
      </w:r>
      <w:r>
        <w:rPr>
          <w:rFonts w:hint="eastAsia" w:ascii="宋体" w:hAnsi="宋体" w:eastAsia="宋体" w:cs="宋体"/>
          <w:color w:val="auto"/>
          <w:sz w:val="21"/>
          <w:szCs w:val="21"/>
          <w:highlight w:val="none"/>
          <w:lang w:eastAsia="zh-CN"/>
        </w:rPr>
        <w:t>。</w:t>
      </w:r>
    </w:p>
    <w:p w14:paraId="0C200427">
      <w:pPr>
        <w:kinsoku w:val="0"/>
        <w:overflowPunct w:val="0"/>
        <w:autoSpaceDE w:val="0"/>
        <w:autoSpaceDN w:val="0"/>
        <w:adjustRightInd w:val="0"/>
        <w:snapToGrid w:val="0"/>
        <w:spacing w:line="360" w:lineRule="auto"/>
        <w:ind w:firstLine="420" w:firstLineChars="200"/>
        <w:outlineLvl w:val="2"/>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采购需求：详见第三章货物服务需求一览表</w:t>
      </w:r>
    </w:p>
    <w:p w14:paraId="04580407">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合同履行期限：3年（2+1），中标后先签订2年经营服务合同，经营期间每年由学校总务处等相关部门进行师生满意度考核，对综合满意度达到80%以上（含80%），且无重大食品安全事件；前2年合同期内被校方因食品安全负面问题书面约谈整改</w:t>
      </w:r>
      <w:r>
        <w:rPr>
          <w:rFonts w:hint="eastAsia" w:ascii="宋体" w:hAnsi="宋体" w:eastAsia="宋体" w:cs="宋体"/>
          <w:snapToGrid w:val="0"/>
          <w:color w:val="auto"/>
          <w:kern w:val="0"/>
          <w:sz w:val="21"/>
          <w:szCs w:val="21"/>
          <w:highlight w:val="none"/>
          <w:lang w:eastAsia="zh-CN"/>
        </w:rPr>
        <w:t>不多于</w:t>
      </w:r>
      <w:r>
        <w:rPr>
          <w:rFonts w:hint="eastAsia" w:ascii="宋体" w:hAnsi="宋体" w:eastAsia="宋体" w:cs="宋体"/>
          <w:snapToGrid w:val="0"/>
          <w:color w:val="auto"/>
          <w:kern w:val="0"/>
          <w:sz w:val="21"/>
          <w:szCs w:val="21"/>
          <w:highlight w:val="none"/>
        </w:rPr>
        <w:t>3次；被省、市、区市场监管等部门立案查处不多于1次且及时整改落实的，经学校研究同意可以续签第3年合同。</w:t>
      </w:r>
    </w:p>
    <w:p w14:paraId="79D5C416">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本项目不接受联合体投标。</w:t>
      </w:r>
      <w:bookmarkStart w:id="24" w:name="_Toc28359003"/>
      <w:bookmarkStart w:id="25" w:name="_Toc35393622"/>
      <w:bookmarkStart w:id="26" w:name="_Toc35393791"/>
      <w:bookmarkStart w:id="27" w:name="_Toc18753"/>
      <w:bookmarkStart w:id="28" w:name="_Toc8986"/>
      <w:bookmarkStart w:id="29" w:name="_Toc28723"/>
      <w:bookmarkStart w:id="30" w:name="_Toc28359080"/>
    </w:p>
    <w:p w14:paraId="0E20E59E">
      <w:pPr>
        <w:kinsoku w:val="0"/>
        <w:overflowPunct w:val="0"/>
        <w:autoSpaceDE w:val="0"/>
        <w:autoSpaceDN w:val="0"/>
        <w:adjustRightInd w:val="0"/>
        <w:snapToGrid w:val="0"/>
        <w:spacing w:line="360" w:lineRule="auto"/>
        <w:outlineLvl w:val="1"/>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二、申请人的资格要求</w:t>
      </w:r>
      <w:bookmarkEnd w:id="24"/>
      <w:bookmarkEnd w:id="25"/>
      <w:bookmarkEnd w:id="26"/>
      <w:bookmarkEnd w:id="27"/>
      <w:bookmarkEnd w:id="28"/>
      <w:bookmarkEnd w:id="29"/>
      <w:bookmarkEnd w:id="30"/>
    </w:p>
    <w:p w14:paraId="250555FB">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1.满足《中华人民共和国政府采购法》第二十二条规定；</w:t>
      </w:r>
    </w:p>
    <w:p w14:paraId="6BADBD77">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bookmarkStart w:id="31" w:name="_Toc28359081"/>
      <w:bookmarkStart w:id="32" w:name="_Toc28359004"/>
      <w:r>
        <w:rPr>
          <w:rFonts w:hint="eastAsia" w:ascii="宋体" w:hAnsi="宋体" w:eastAsia="宋体" w:cs="宋体"/>
          <w:snapToGrid w:val="0"/>
          <w:color w:val="auto"/>
          <w:kern w:val="0"/>
          <w:sz w:val="21"/>
          <w:szCs w:val="21"/>
          <w:highlight w:val="none"/>
        </w:rPr>
        <w:t>2.落实政府采购政策需满足的资格要求：</w:t>
      </w:r>
    </w:p>
    <w:p w14:paraId="250AB1E8">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符合财政部、工业和信息化部指定的《政府采购促进中小企业发展管理办法》第六条（五）款之规定，本项目专门面向</w:t>
      </w:r>
      <w:r>
        <w:rPr>
          <w:rFonts w:hint="eastAsia" w:ascii="宋体" w:hAnsi="宋体" w:cs="宋体"/>
          <w:snapToGrid w:val="0"/>
          <w:color w:val="auto"/>
          <w:kern w:val="0"/>
          <w:sz w:val="21"/>
          <w:szCs w:val="21"/>
          <w:highlight w:val="none"/>
          <w:lang w:val="en-US" w:eastAsia="zh-CN"/>
        </w:rPr>
        <w:t>中小微</w:t>
      </w:r>
      <w:r>
        <w:rPr>
          <w:rFonts w:hint="eastAsia" w:ascii="宋体" w:hAnsi="宋体" w:eastAsia="宋体" w:cs="宋体"/>
          <w:snapToGrid w:val="0"/>
          <w:color w:val="auto"/>
          <w:kern w:val="0"/>
          <w:sz w:val="21"/>
          <w:szCs w:val="21"/>
          <w:highlight w:val="none"/>
        </w:rPr>
        <w:t>企业采购项目。企业划型标准按照《关于印发中小企业划型标准规定的通知》（工信部联企业〔2011〕300号）规定执行。</w:t>
      </w:r>
    </w:p>
    <w:p w14:paraId="66AD3EC3">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3.本项目的特定资格要求：供应商（含不具有独立法人资格的分公司、不含具备独立法人资格的子公司）存在以下不良信用记录情形之一，不得推荐为中标候选人，不得确定为中标人：</w:t>
      </w:r>
    </w:p>
    <w:p w14:paraId="78C3F50E">
      <w:pPr>
        <w:kinsoku w:val="0"/>
        <w:overflowPunct w:val="0"/>
        <w:autoSpaceDE w:val="0"/>
        <w:autoSpaceDN w:val="0"/>
        <w:adjustRightInd w:val="0"/>
        <w:snapToGrid w:val="0"/>
        <w:spacing w:line="360" w:lineRule="auto"/>
        <w:ind w:firstLine="420" w:firstLineChars="200"/>
        <w:outlineLvl w:val="2"/>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（1）供应商被人民法院列入失信被执行人的；</w:t>
      </w:r>
    </w:p>
    <w:p w14:paraId="37E8DE13">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（2）供应商或其法定代表人或拟派项目经理（项目负责人）被列入行贿犯罪档案的；</w:t>
      </w:r>
    </w:p>
    <w:p w14:paraId="0D461F8F">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（3）供应商被市场监督管理局列入企业经营异常名录的；</w:t>
      </w:r>
    </w:p>
    <w:p w14:paraId="46BE69F8">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（4）供应商被税务部门列入重大税收违法案件当事人名单的；</w:t>
      </w:r>
    </w:p>
    <w:p w14:paraId="2AD773C2">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（5）供应商被政府采购监管部门列入政府采购严重违法失信行为记录名单的。</w:t>
      </w:r>
    </w:p>
    <w:p w14:paraId="5CA87F61">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5C48E620">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情形（2）由供应商提供无行贿犯罪记录承诺函。</w:t>
      </w:r>
    </w:p>
    <w:p w14:paraId="1C77F163">
      <w:pPr>
        <w:kinsoku w:val="0"/>
        <w:overflowPunct w:val="0"/>
        <w:autoSpaceDE w:val="0"/>
        <w:autoSpaceDN w:val="0"/>
        <w:adjustRightInd w:val="0"/>
        <w:snapToGrid w:val="0"/>
        <w:spacing w:line="360" w:lineRule="auto"/>
        <w:ind w:firstLine="422" w:firstLineChars="200"/>
        <w:outlineLvl w:val="3"/>
        <w:rPr>
          <w:rFonts w:hint="eastAsia" w:ascii="宋体" w:hAnsi="宋体" w:eastAsia="宋体" w:cs="宋体"/>
          <w:bCs/>
          <w:color w:val="auto"/>
          <w:sz w:val="21"/>
          <w:szCs w:val="21"/>
          <w:highlight w:val="none"/>
        </w:rPr>
      </w:pPr>
      <w:bookmarkStart w:id="33" w:name="_Toc25311"/>
      <w:bookmarkStart w:id="34" w:name="_Toc35393623"/>
      <w:bookmarkStart w:id="35" w:name="_Toc35393792"/>
      <w:bookmarkStart w:id="36" w:name="_Toc26228"/>
      <w:bookmarkStart w:id="37" w:name="_Toc18699"/>
      <w:r>
        <w:rPr>
          <w:rFonts w:hint="eastAsia" w:ascii="宋体" w:hAnsi="宋体" w:eastAsia="宋体" w:cs="宋体"/>
          <w:b/>
          <w:bCs/>
          <w:snapToGrid w:val="0"/>
          <w:color w:val="auto"/>
          <w:kern w:val="0"/>
          <w:sz w:val="21"/>
          <w:szCs w:val="21"/>
          <w:highlight w:val="none"/>
        </w:rPr>
        <w:t>4.投标人必须具有有效的营业执照和食品经营许可证。</w:t>
      </w:r>
      <w:bookmarkEnd w:id="33"/>
    </w:p>
    <w:p w14:paraId="12A8967C">
      <w:pPr>
        <w:shd w:val="clear" w:color="auto" w:fill="FFFFFF"/>
        <w:kinsoku w:val="0"/>
        <w:overflowPunct w:val="0"/>
        <w:autoSpaceDE w:val="0"/>
        <w:autoSpaceDN w:val="0"/>
        <w:adjustRightInd w:val="0"/>
        <w:snapToGrid w:val="0"/>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注：投标单位必须使用本单位资质，一旦发现资质挂靠现象，一律取消投标资格。</w:t>
      </w:r>
    </w:p>
    <w:p w14:paraId="75B6CEB2">
      <w:pPr>
        <w:kinsoku w:val="0"/>
        <w:overflowPunct w:val="0"/>
        <w:autoSpaceDE w:val="0"/>
        <w:autoSpaceDN w:val="0"/>
        <w:adjustRightInd w:val="0"/>
        <w:snapToGrid w:val="0"/>
        <w:spacing w:line="360" w:lineRule="auto"/>
        <w:ind w:firstLine="422" w:firstLineChars="20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5.近三年内未出现食品安全事故及被相关主管部门记入不良记录（投标人自行承诺）。</w:t>
      </w:r>
    </w:p>
    <w:p w14:paraId="0EC8DA20">
      <w:pPr>
        <w:pStyle w:val="8"/>
        <w:kinsoku w:val="0"/>
        <w:wordWrap/>
        <w:overflowPunct w:val="0"/>
        <w:autoSpaceDE w:val="0"/>
        <w:autoSpaceDN w:val="0"/>
        <w:adjustRightInd w:val="0"/>
        <w:snapToGrid w:val="0"/>
        <w:spacing w:line="360" w:lineRule="auto"/>
        <w:ind w:firstLine="0" w:firstLineChars="0"/>
        <w:jc w:val="both"/>
        <w:outlineLvl w:val="1"/>
        <w:rPr>
          <w:rFonts w:hint="eastAsia" w:ascii="宋体" w:hAnsi="宋体" w:eastAsia="宋体" w:cs="宋体"/>
          <w:snapToGrid w:val="0"/>
          <w:color w:val="auto"/>
          <w:kern w:val="0"/>
          <w:sz w:val="21"/>
          <w:szCs w:val="21"/>
          <w:highlight w:val="none"/>
        </w:rPr>
      </w:pPr>
      <w:bookmarkStart w:id="38" w:name="_Toc20032"/>
      <w:r>
        <w:rPr>
          <w:rFonts w:hint="eastAsia" w:ascii="宋体" w:hAnsi="宋体" w:eastAsia="宋体" w:cs="宋体"/>
          <w:snapToGrid w:val="0"/>
          <w:color w:val="auto"/>
          <w:kern w:val="0"/>
          <w:sz w:val="21"/>
          <w:szCs w:val="21"/>
          <w:highlight w:val="none"/>
        </w:rPr>
        <w:t>三、获取招标文件</w:t>
      </w:r>
      <w:bookmarkEnd w:id="31"/>
      <w:bookmarkEnd w:id="32"/>
      <w:bookmarkEnd w:id="34"/>
      <w:bookmarkEnd w:id="35"/>
      <w:bookmarkEnd w:id="36"/>
      <w:bookmarkEnd w:id="37"/>
      <w:bookmarkEnd w:id="38"/>
    </w:p>
    <w:p w14:paraId="6F28210A">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时间：</w:t>
      </w:r>
      <w:r>
        <w:rPr>
          <w:rFonts w:hint="eastAsia" w:ascii="宋体" w:hAnsi="宋体" w:eastAsia="宋体" w:cs="宋体"/>
          <w:snapToGrid w:val="0"/>
          <w:color w:val="auto"/>
          <w:kern w:val="0"/>
          <w:sz w:val="21"/>
          <w:szCs w:val="21"/>
          <w:highlight w:val="none"/>
          <w:u w:val="single"/>
        </w:rPr>
        <w:t>202</w:t>
      </w:r>
      <w:r>
        <w:rPr>
          <w:rFonts w:hint="eastAsia" w:ascii="宋体" w:hAnsi="宋体" w:eastAsia="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u w:val="single"/>
        </w:rPr>
        <w:t>年</w:t>
      </w:r>
      <w:r>
        <w:rPr>
          <w:rFonts w:hint="eastAsia" w:ascii="宋体" w:hAnsi="宋体" w:eastAsia="宋体" w:cs="宋体"/>
          <w:snapToGrid w:val="0"/>
          <w:color w:val="auto"/>
          <w:kern w:val="0"/>
          <w:sz w:val="21"/>
          <w:szCs w:val="21"/>
          <w:highlight w:val="none"/>
          <w:u w:val="single"/>
          <w:lang w:val="en-US" w:eastAsia="zh-CN"/>
        </w:rPr>
        <w:t>7</w:t>
      </w:r>
      <w:r>
        <w:rPr>
          <w:rFonts w:hint="eastAsia" w:ascii="宋体" w:hAnsi="宋体" w:eastAsia="宋体" w:cs="宋体"/>
          <w:snapToGrid w:val="0"/>
          <w:color w:val="auto"/>
          <w:kern w:val="0"/>
          <w:sz w:val="21"/>
          <w:szCs w:val="21"/>
          <w:highlight w:val="none"/>
          <w:u w:val="single"/>
        </w:rPr>
        <w:t>月</w:t>
      </w:r>
      <w:r>
        <w:rPr>
          <w:rFonts w:hint="eastAsia" w:ascii="宋体" w:hAnsi="宋体" w:cs="宋体"/>
          <w:snapToGrid w:val="0"/>
          <w:color w:val="auto"/>
          <w:kern w:val="0"/>
          <w:sz w:val="21"/>
          <w:szCs w:val="21"/>
          <w:highlight w:val="none"/>
          <w:u w:val="single"/>
          <w:lang w:val="en-US" w:eastAsia="zh-CN"/>
        </w:rPr>
        <w:t>26</w:t>
      </w:r>
      <w:r>
        <w:rPr>
          <w:rFonts w:hint="eastAsia" w:ascii="宋体" w:hAnsi="宋体" w:eastAsia="宋体" w:cs="宋体"/>
          <w:snapToGrid w:val="0"/>
          <w:color w:val="auto"/>
          <w:kern w:val="0"/>
          <w:sz w:val="21"/>
          <w:szCs w:val="21"/>
          <w:highlight w:val="none"/>
          <w:u w:val="single"/>
        </w:rPr>
        <w:t>日</w:t>
      </w:r>
      <w:r>
        <w:rPr>
          <w:rFonts w:hint="eastAsia" w:ascii="宋体" w:hAnsi="宋体" w:eastAsia="宋体" w:cs="宋体"/>
          <w:snapToGrid w:val="0"/>
          <w:color w:val="auto"/>
          <w:kern w:val="0"/>
          <w:sz w:val="21"/>
          <w:szCs w:val="21"/>
          <w:highlight w:val="none"/>
        </w:rPr>
        <w:t>至</w:t>
      </w:r>
      <w:r>
        <w:rPr>
          <w:rFonts w:hint="eastAsia" w:ascii="宋体" w:hAnsi="宋体" w:eastAsia="宋体" w:cs="宋体"/>
          <w:snapToGrid w:val="0"/>
          <w:color w:val="auto"/>
          <w:kern w:val="0"/>
          <w:sz w:val="21"/>
          <w:szCs w:val="21"/>
          <w:highlight w:val="none"/>
          <w:u w:val="single"/>
        </w:rPr>
        <w:t>202</w:t>
      </w:r>
      <w:r>
        <w:rPr>
          <w:rFonts w:hint="eastAsia" w:ascii="宋体" w:hAnsi="宋体" w:eastAsia="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u w:val="single"/>
        </w:rPr>
        <w:t>年</w:t>
      </w:r>
      <w:r>
        <w:rPr>
          <w:rFonts w:hint="eastAsia" w:ascii="宋体" w:hAnsi="宋体" w:eastAsia="宋体" w:cs="宋体"/>
          <w:snapToGrid w:val="0"/>
          <w:color w:val="auto"/>
          <w:kern w:val="0"/>
          <w:sz w:val="21"/>
          <w:szCs w:val="21"/>
          <w:highlight w:val="none"/>
          <w:u w:val="single"/>
          <w:lang w:val="en-US" w:eastAsia="zh-CN"/>
        </w:rPr>
        <w:t>8</w:t>
      </w:r>
      <w:r>
        <w:rPr>
          <w:rFonts w:hint="eastAsia" w:ascii="宋体" w:hAnsi="宋体" w:eastAsia="宋体" w:cs="宋体"/>
          <w:snapToGrid w:val="0"/>
          <w:color w:val="auto"/>
          <w:kern w:val="0"/>
          <w:sz w:val="21"/>
          <w:szCs w:val="21"/>
          <w:highlight w:val="none"/>
          <w:u w:val="single"/>
        </w:rPr>
        <w:t>月</w:t>
      </w:r>
      <w:r>
        <w:rPr>
          <w:rFonts w:hint="eastAsia" w:ascii="宋体" w:hAnsi="宋体" w:cs="宋体"/>
          <w:snapToGrid w:val="0"/>
          <w:color w:val="auto"/>
          <w:kern w:val="0"/>
          <w:sz w:val="21"/>
          <w:szCs w:val="21"/>
          <w:highlight w:val="none"/>
          <w:u w:val="single"/>
          <w:lang w:val="en-US" w:eastAsia="zh-CN"/>
        </w:rPr>
        <w:t>16</w:t>
      </w:r>
      <w:r>
        <w:rPr>
          <w:rFonts w:hint="eastAsia" w:ascii="宋体" w:hAnsi="宋体" w:eastAsia="宋体" w:cs="宋体"/>
          <w:snapToGrid w:val="0"/>
          <w:color w:val="auto"/>
          <w:kern w:val="0"/>
          <w:sz w:val="21"/>
          <w:szCs w:val="21"/>
          <w:highlight w:val="none"/>
          <w:u w:val="single"/>
        </w:rPr>
        <w:t>日</w:t>
      </w:r>
      <w:r>
        <w:rPr>
          <w:rFonts w:hint="eastAsia" w:ascii="宋体" w:hAnsi="宋体" w:eastAsia="宋体" w:cs="宋体"/>
          <w:snapToGrid w:val="0"/>
          <w:color w:val="auto"/>
          <w:kern w:val="0"/>
          <w:sz w:val="21"/>
          <w:szCs w:val="21"/>
          <w:highlight w:val="none"/>
        </w:rPr>
        <w:t>，每天上午</w:t>
      </w:r>
      <w:r>
        <w:rPr>
          <w:rFonts w:hint="eastAsia" w:ascii="宋体" w:hAnsi="宋体" w:eastAsia="宋体" w:cs="宋体"/>
          <w:snapToGrid w:val="0"/>
          <w:color w:val="auto"/>
          <w:kern w:val="0"/>
          <w:sz w:val="21"/>
          <w:szCs w:val="21"/>
          <w:highlight w:val="none"/>
          <w:u w:val="single"/>
        </w:rPr>
        <w:t>8:00</w:t>
      </w:r>
      <w:r>
        <w:rPr>
          <w:rFonts w:hint="eastAsia" w:ascii="宋体" w:hAnsi="宋体" w:eastAsia="宋体" w:cs="宋体"/>
          <w:snapToGrid w:val="0"/>
          <w:color w:val="auto"/>
          <w:kern w:val="0"/>
          <w:sz w:val="21"/>
          <w:szCs w:val="21"/>
          <w:highlight w:val="none"/>
        </w:rPr>
        <w:t>至</w:t>
      </w:r>
      <w:r>
        <w:rPr>
          <w:rFonts w:hint="eastAsia" w:ascii="宋体" w:hAnsi="宋体" w:eastAsia="宋体" w:cs="宋体"/>
          <w:snapToGrid w:val="0"/>
          <w:color w:val="auto"/>
          <w:kern w:val="0"/>
          <w:sz w:val="21"/>
          <w:szCs w:val="21"/>
          <w:highlight w:val="none"/>
          <w:u w:val="single"/>
        </w:rPr>
        <w:t xml:space="preserve">12:00 </w:t>
      </w:r>
      <w:r>
        <w:rPr>
          <w:rFonts w:hint="eastAsia" w:ascii="宋体" w:hAnsi="宋体" w:eastAsia="宋体" w:cs="宋体"/>
          <w:snapToGrid w:val="0"/>
          <w:color w:val="auto"/>
          <w:kern w:val="0"/>
          <w:sz w:val="21"/>
          <w:szCs w:val="21"/>
          <w:highlight w:val="none"/>
        </w:rPr>
        <w:t>，下午</w:t>
      </w:r>
      <w:r>
        <w:rPr>
          <w:rFonts w:hint="eastAsia" w:ascii="宋体" w:hAnsi="宋体" w:eastAsia="宋体" w:cs="宋体"/>
          <w:snapToGrid w:val="0"/>
          <w:color w:val="auto"/>
          <w:kern w:val="0"/>
          <w:sz w:val="21"/>
          <w:szCs w:val="21"/>
          <w:highlight w:val="none"/>
          <w:u w:val="single"/>
        </w:rPr>
        <w:t>12:00</w:t>
      </w:r>
      <w:r>
        <w:rPr>
          <w:rFonts w:hint="eastAsia" w:ascii="宋体" w:hAnsi="宋体" w:eastAsia="宋体" w:cs="宋体"/>
          <w:snapToGrid w:val="0"/>
          <w:color w:val="auto"/>
          <w:kern w:val="0"/>
          <w:sz w:val="21"/>
          <w:szCs w:val="21"/>
          <w:highlight w:val="none"/>
        </w:rPr>
        <w:t>至</w:t>
      </w:r>
      <w:r>
        <w:rPr>
          <w:rFonts w:hint="eastAsia" w:ascii="宋体" w:hAnsi="宋体" w:eastAsia="宋体" w:cs="宋体"/>
          <w:snapToGrid w:val="0"/>
          <w:color w:val="auto"/>
          <w:kern w:val="0"/>
          <w:sz w:val="21"/>
          <w:szCs w:val="21"/>
          <w:highlight w:val="none"/>
          <w:u w:val="single"/>
        </w:rPr>
        <w:t>17:00</w:t>
      </w:r>
      <w:r>
        <w:rPr>
          <w:rFonts w:hint="eastAsia" w:ascii="宋体" w:hAnsi="宋体" w:eastAsia="宋体" w:cs="宋体"/>
          <w:snapToGrid w:val="0"/>
          <w:color w:val="auto"/>
          <w:kern w:val="0"/>
          <w:sz w:val="21"/>
          <w:szCs w:val="21"/>
          <w:highlight w:val="none"/>
        </w:rPr>
        <w:t>（北京时间，法定节假日除外）</w:t>
      </w:r>
    </w:p>
    <w:p w14:paraId="685AFAD1">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获取地点：网上获取。</w:t>
      </w:r>
    </w:p>
    <w:p w14:paraId="0FA58508">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方式：</w:t>
      </w:r>
      <w:r>
        <w:rPr>
          <w:rFonts w:hint="eastAsia" w:ascii="宋体" w:hAnsi="宋体" w:eastAsia="宋体" w:cs="宋体"/>
          <w:color w:val="auto"/>
          <w:sz w:val="21"/>
          <w:szCs w:val="21"/>
          <w:highlight w:val="none"/>
        </w:rPr>
        <w:t>凡有意参加投标者，请将营业执照扫描件及法人身份证明或法人授权委托书加盖公章，在招标文件规定获取时间202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将上述材料扫描后发送至将上述材料扫描后发送至邮箱:</w:t>
      </w: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408519600 </w:t>
      </w:r>
      <w:r>
        <w:rPr>
          <w:rFonts w:hint="eastAsia" w:ascii="宋体" w:hAnsi="宋体" w:eastAsia="宋体" w:cs="宋体"/>
          <w:color w:val="auto"/>
          <w:sz w:val="21"/>
          <w:szCs w:val="21"/>
          <w:highlight w:val="none"/>
        </w:rPr>
        <w:t>@qq.com</w:t>
      </w:r>
      <w:r>
        <w:rPr>
          <w:rFonts w:hint="eastAsia" w:ascii="宋体" w:hAnsi="宋体" w:eastAsia="宋体" w:cs="宋体"/>
          <w:color w:val="auto"/>
          <w:sz w:val="21"/>
          <w:szCs w:val="21"/>
          <w:highlight w:val="none"/>
        </w:rPr>
        <w:t>，发送后请电话通知</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周工：19159428685</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审核通过后视为报名成功，招标文件电子版至</w:t>
      </w:r>
      <w:r>
        <w:rPr>
          <w:rFonts w:hint="eastAsia" w:ascii="宋体" w:hAnsi="宋体" w:eastAsia="宋体" w:cs="宋体"/>
          <w:snapToGrid w:val="0"/>
          <w:color w:val="auto"/>
          <w:kern w:val="0"/>
          <w:sz w:val="21"/>
          <w:szCs w:val="21"/>
          <w:highlight w:val="none"/>
          <w:u w:val="single"/>
        </w:rPr>
        <w:t>全国公共资源交易平台（安徽省·宿州市）门户网站</w:t>
      </w:r>
      <w:r>
        <w:rPr>
          <w:rFonts w:hint="eastAsia" w:ascii="宋体" w:hAnsi="宋体" w:eastAsia="宋体" w:cs="宋体"/>
          <w:color w:val="auto"/>
          <w:sz w:val="21"/>
          <w:szCs w:val="21"/>
          <w:highlight w:val="none"/>
          <w:u w:val="single"/>
          <w:lang w:val="en-US" w:eastAsia="zh-CN"/>
        </w:rPr>
        <w:t>（</w:t>
      </w:r>
      <w:r>
        <w:rPr>
          <w:rStyle w:val="22"/>
          <w:rFonts w:hint="eastAsia" w:ascii="宋体" w:hAnsi="宋体" w:eastAsia="宋体" w:cs="宋体"/>
          <w:snapToGrid w:val="0"/>
          <w:color w:val="auto"/>
          <w:kern w:val="0"/>
          <w:sz w:val="21"/>
          <w:szCs w:val="21"/>
          <w:highlight w:val="none"/>
        </w:rPr>
        <w:t>http://ggzyjy.ahsz.gov.cn</w:t>
      </w:r>
      <w:r>
        <w:rPr>
          <w:rFonts w:hint="eastAsia" w:ascii="宋体" w:hAnsi="宋体" w:eastAsia="宋体" w:cs="宋体"/>
          <w:color w:val="auto"/>
          <w:sz w:val="21"/>
          <w:szCs w:val="21"/>
          <w:highlight w:val="none"/>
          <w:u w:val="single"/>
          <w:lang w:val="en-US" w:eastAsia="zh-CN"/>
        </w:rPr>
        <w:t>）自行下载。</w:t>
      </w:r>
      <w:r>
        <w:rPr>
          <w:rFonts w:hint="eastAsia" w:ascii="宋体" w:hAnsi="宋体" w:eastAsia="宋体" w:cs="宋体"/>
          <w:color w:val="auto"/>
          <w:sz w:val="21"/>
          <w:szCs w:val="21"/>
          <w:highlight w:val="none"/>
        </w:rPr>
        <w:t>售价：每套人民币0元整，招标文件售后不退。</w:t>
      </w:r>
    </w:p>
    <w:p w14:paraId="0C44FA68">
      <w:pPr>
        <w:pStyle w:val="8"/>
        <w:kinsoku w:val="0"/>
        <w:wordWrap/>
        <w:overflowPunct w:val="0"/>
        <w:autoSpaceDE w:val="0"/>
        <w:autoSpaceDN w:val="0"/>
        <w:adjustRightInd w:val="0"/>
        <w:snapToGrid w:val="0"/>
        <w:spacing w:line="360" w:lineRule="auto"/>
        <w:ind w:firstLine="0" w:firstLineChars="0"/>
        <w:jc w:val="both"/>
        <w:outlineLvl w:val="1"/>
        <w:rPr>
          <w:rFonts w:hint="eastAsia" w:ascii="宋体" w:hAnsi="宋体" w:eastAsia="宋体" w:cs="宋体"/>
          <w:snapToGrid w:val="0"/>
          <w:color w:val="auto"/>
          <w:kern w:val="0"/>
          <w:sz w:val="21"/>
          <w:szCs w:val="21"/>
          <w:highlight w:val="none"/>
        </w:rPr>
      </w:pPr>
      <w:bookmarkStart w:id="39" w:name="_Toc28359005"/>
      <w:bookmarkStart w:id="40" w:name="_Toc28359082"/>
      <w:bookmarkStart w:id="41" w:name="_Toc30265"/>
      <w:bookmarkStart w:id="42" w:name="_Toc29782"/>
      <w:bookmarkStart w:id="43" w:name="_Toc35393793"/>
      <w:bookmarkStart w:id="44" w:name="_Toc35393624"/>
      <w:bookmarkStart w:id="45" w:name="_Toc24777"/>
      <w:r>
        <w:rPr>
          <w:rFonts w:hint="eastAsia" w:ascii="宋体" w:hAnsi="宋体" w:eastAsia="宋体" w:cs="宋体"/>
          <w:snapToGrid w:val="0"/>
          <w:color w:val="auto"/>
          <w:kern w:val="0"/>
          <w:sz w:val="21"/>
          <w:szCs w:val="21"/>
          <w:highlight w:val="none"/>
        </w:rPr>
        <w:t>四、提交投标文件</w:t>
      </w:r>
      <w:bookmarkEnd w:id="39"/>
      <w:bookmarkEnd w:id="40"/>
      <w:r>
        <w:rPr>
          <w:rFonts w:hint="eastAsia" w:ascii="宋体" w:hAnsi="宋体" w:eastAsia="宋体" w:cs="宋体"/>
          <w:snapToGrid w:val="0"/>
          <w:color w:val="auto"/>
          <w:kern w:val="0"/>
          <w:sz w:val="21"/>
          <w:szCs w:val="21"/>
          <w:highlight w:val="none"/>
        </w:rPr>
        <w:t>截止时间、开标时间和地点</w:t>
      </w:r>
      <w:bookmarkEnd w:id="41"/>
      <w:bookmarkEnd w:id="42"/>
      <w:bookmarkEnd w:id="43"/>
      <w:bookmarkEnd w:id="44"/>
      <w:bookmarkEnd w:id="45"/>
    </w:p>
    <w:p w14:paraId="228FB743">
      <w:pPr>
        <w:kinsoku w:val="0"/>
        <w:overflowPunct w:val="0"/>
        <w:autoSpaceDE w:val="0"/>
        <w:autoSpaceDN w:val="0"/>
        <w:adjustRightInd w:val="0"/>
        <w:snapToGrid w:val="0"/>
        <w:spacing w:line="360" w:lineRule="auto"/>
        <w:ind w:firstLine="420" w:firstLineChars="200"/>
        <w:rPr>
          <w:rFonts w:hint="eastAsia" w:ascii="宋体" w:hAnsi="宋体" w:eastAsia="宋体" w:cs="宋体"/>
          <w:bCs/>
          <w:snapToGrid w:val="0"/>
          <w:color w:val="auto"/>
          <w:kern w:val="0"/>
          <w:sz w:val="21"/>
          <w:szCs w:val="21"/>
          <w:highlight w:val="none"/>
          <w:u w:val="single"/>
        </w:rPr>
      </w:pPr>
      <w:r>
        <w:rPr>
          <w:rFonts w:hint="eastAsia" w:ascii="宋体" w:hAnsi="宋体" w:eastAsia="宋体" w:cs="宋体"/>
          <w:bCs/>
          <w:snapToGrid w:val="0"/>
          <w:color w:val="auto"/>
          <w:kern w:val="0"/>
          <w:sz w:val="21"/>
          <w:szCs w:val="21"/>
          <w:highlight w:val="none"/>
          <w:u w:val="single"/>
        </w:rPr>
        <w:t>202</w:t>
      </w:r>
      <w:r>
        <w:rPr>
          <w:rFonts w:hint="eastAsia" w:ascii="宋体" w:hAnsi="宋体" w:eastAsia="宋体" w:cs="宋体"/>
          <w:bCs/>
          <w:snapToGrid w:val="0"/>
          <w:color w:val="auto"/>
          <w:kern w:val="0"/>
          <w:sz w:val="21"/>
          <w:szCs w:val="21"/>
          <w:highlight w:val="none"/>
          <w:u w:val="single"/>
          <w:lang w:val="en-US" w:eastAsia="zh-CN"/>
        </w:rPr>
        <w:t>4</w:t>
      </w:r>
      <w:r>
        <w:rPr>
          <w:rFonts w:hint="eastAsia" w:ascii="宋体" w:hAnsi="宋体" w:eastAsia="宋体" w:cs="宋体"/>
          <w:bCs/>
          <w:snapToGrid w:val="0"/>
          <w:color w:val="auto"/>
          <w:kern w:val="0"/>
          <w:sz w:val="21"/>
          <w:szCs w:val="21"/>
          <w:highlight w:val="none"/>
          <w:u w:val="single"/>
        </w:rPr>
        <w:t>年</w:t>
      </w:r>
      <w:r>
        <w:rPr>
          <w:rFonts w:hint="eastAsia" w:ascii="宋体" w:hAnsi="宋体" w:eastAsia="宋体" w:cs="宋体"/>
          <w:bCs/>
          <w:snapToGrid w:val="0"/>
          <w:color w:val="auto"/>
          <w:kern w:val="0"/>
          <w:sz w:val="21"/>
          <w:szCs w:val="21"/>
          <w:highlight w:val="none"/>
          <w:u w:val="single"/>
          <w:lang w:val="en-US" w:eastAsia="zh-CN"/>
        </w:rPr>
        <w:t>8</w:t>
      </w:r>
      <w:r>
        <w:rPr>
          <w:rFonts w:hint="eastAsia" w:ascii="宋体" w:hAnsi="宋体" w:eastAsia="宋体" w:cs="宋体"/>
          <w:bCs/>
          <w:snapToGrid w:val="0"/>
          <w:color w:val="auto"/>
          <w:kern w:val="0"/>
          <w:sz w:val="21"/>
          <w:szCs w:val="21"/>
          <w:highlight w:val="none"/>
          <w:u w:val="single"/>
        </w:rPr>
        <w:t>月</w:t>
      </w:r>
      <w:r>
        <w:rPr>
          <w:rFonts w:hint="eastAsia" w:ascii="宋体" w:hAnsi="宋体" w:cs="宋体"/>
          <w:bCs/>
          <w:snapToGrid w:val="0"/>
          <w:color w:val="auto"/>
          <w:kern w:val="0"/>
          <w:sz w:val="21"/>
          <w:szCs w:val="21"/>
          <w:highlight w:val="none"/>
          <w:u w:val="single"/>
          <w:lang w:val="en-US" w:eastAsia="zh-CN"/>
        </w:rPr>
        <w:t>17</w:t>
      </w:r>
      <w:r>
        <w:rPr>
          <w:rFonts w:hint="eastAsia" w:ascii="宋体" w:hAnsi="宋体" w:eastAsia="宋体" w:cs="宋体"/>
          <w:bCs/>
          <w:snapToGrid w:val="0"/>
          <w:color w:val="auto"/>
          <w:kern w:val="0"/>
          <w:sz w:val="21"/>
          <w:szCs w:val="21"/>
          <w:highlight w:val="none"/>
          <w:u w:val="single"/>
        </w:rPr>
        <w:t>日</w:t>
      </w:r>
      <w:r>
        <w:rPr>
          <w:rFonts w:hint="eastAsia" w:ascii="宋体" w:hAnsi="宋体" w:cs="宋体"/>
          <w:bCs/>
          <w:snapToGrid w:val="0"/>
          <w:color w:val="auto"/>
          <w:kern w:val="0"/>
          <w:sz w:val="21"/>
          <w:szCs w:val="21"/>
          <w:highlight w:val="none"/>
          <w:u w:val="single"/>
          <w:lang w:val="en-US" w:eastAsia="zh-CN"/>
        </w:rPr>
        <w:t>09</w:t>
      </w:r>
      <w:r>
        <w:rPr>
          <w:rFonts w:hint="eastAsia" w:ascii="宋体" w:hAnsi="宋体" w:eastAsia="宋体" w:cs="宋体"/>
          <w:bCs/>
          <w:snapToGrid w:val="0"/>
          <w:color w:val="auto"/>
          <w:kern w:val="0"/>
          <w:sz w:val="21"/>
          <w:szCs w:val="21"/>
          <w:highlight w:val="none"/>
          <w:u w:val="single"/>
        </w:rPr>
        <w:t>点00分</w:t>
      </w:r>
      <w:r>
        <w:rPr>
          <w:rFonts w:hint="eastAsia" w:ascii="宋体" w:hAnsi="宋体" w:eastAsia="宋体" w:cs="宋体"/>
          <w:bCs/>
          <w:snapToGrid w:val="0"/>
          <w:color w:val="auto"/>
          <w:kern w:val="0"/>
          <w:sz w:val="21"/>
          <w:szCs w:val="21"/>
          <w:highlight w:val="none"/>
        </w:rPr>
        <w:t>（北京时间）</w:t>
      </w:r>
    </w:p>
    <w:p w14:paraId="70BF4BFC">
      <w:pPr>
        <w:kinsoku w:val="0"/>
        <w:overflowPunct w:val="0"/>
        <w:autoSpaceDE w:val="0"/>
        <w:autoSpaceDN w:val="0"/>
        <w:adjustRightInd w:val="0"/>
        <w:snapToGrid w:val="0"/>
        <w:spacing w:line="360" w:lineRule="auto"/>
        <w:ind w:firstLine="420" w:firstLineChars="200"/>
        <w:rPr>
          <w:rFonts w:hint="default"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highlight w:val="none"/>
        </w:rPr>
        <w:t>地点：皖北卫生职业学院图书馆北三楼录播室</w:t>
      </w:r>
      <w:r>
        <w:rPr>
          <w:rFonts w:hint="eastAsia" w:ascii="宋体" w:hAnsi="宋体" w:cs="宋体"/>
          <w:snapToGrid w:val="0"/>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本次开标为不见面开标。</w:t>
      </w:r>
    </w:p>
    <w:p w14:paraId="7143F1AC">
      <w:pPr>
        <w:pStyle w:val="8"/>
        <w:kinsoku w:val="0"/>
        <w:wordWrap/>
        <w:overflowPunct w:val="0"/>
        <w:autoSpaceDE w:val="0"/>
        <w:autoSpaceDN w:val="0"/>
        <w:adjustRightInd w:val="0"/>
        <w:snapToGrid w:val="0"/>
        <w:spacing w:line="360" w:lineRule="auto"/>
        <w:ind w:firstLine="0" w:firstLineChars="0"/>
        <w:jc w:val="both"/>
        <w:outlineLvl w:val="1"/>
        <w:rPr>
          <w:rFonts w:hint="eastAsia" w:ascii="宋体" w:hAnsi="宋体" w:eastAsia="宋体" w:cs="宋体"/>
          <w:snapToGrid w:val="0"/>
          <w:color w:val="auto"/>
          <w:kern w:val="0"/>
          <w:sz w:val="21"/>
          <w:szCs w:val="21"/>
          <w:highlight w:val="none"/>
        </w:rPr>
      </w:pPr>
      <w:bookmarkStart w:id="46" w:name="_Toc35393625"/>
      <w:bookmarkStart w:id="47" w:name="_Toc35393794"/>
      <w:bookmarkStart w:id="48" w:name="_Toc10275"/>
      <w:bookmarkStart w:id="49" w:name="_Toc20785"/>
      <w:bookmarkStart w:id="50" w:name="_Toc3410"/>
      <w:bookmarkStart w:id="51" w:name="_Toc28359007"/>
      <w:bookmarkStart w:id="52" w:name="_Toc28359084"/>
      <w:r>
        <w:rPr>
          <w:rFonts w:hint="eastAsia" w:ascii="宋体" w:hAnsi="宋体" w:eastAsia="宋体" w:cs="宋体"/>
          <w:snapToGrid w:val="0"/>
          <w:color w:val="auto"/>
          <w:kern w:val="0"/>
          <w:sz w:val="21"/>
          <w:szCs w:val="21"/>
          <w:highlight w:val="none"/>
        </w:rPr>
        <w:t>五、公告期限</w:t>
      </w:r>
      <w:bookmarkEnd w:id="46"/>
      <w:bookmarkEnd w:id="47"/>
      <w:bookmarkEnd w:id="48"/>
      <w:bookmarkEnd w:id="49"/>
      <w:bookmarkEnd w:id="50"/>
      <w:bookmarkEnd w:id="51"/>
      <w:bookmarkEnd w:id="52"/>
    </w:p>
    <w:p w14:paraId="658911DA">
      <w:pPr>
        <w:kinsoku w:val="0"/>
        <w:overflowPunct w:val="0"/>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自本公告发布之日起至202</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lang w:val="en-US" w:eastAsia="zh-CN"/>
        </w:rPr>
        <w:t>8</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lang w:val="en-US" w:eastAsia="zh-CN"/>
        </w:rPr>
        <w:t>16</w:t>
      </w:r>
      <w:r>
        <w:rPr>
          <w:rFonts w:hint="eastAsia" w:ascii="宋体" w:hAnsi="宋体" w:eastAsia="宋体" w:cs="宋体"/>
          <w:snapToGrid w:val="0"/>
          <w:color w:val="auto"/>
          <w:kern w:val="0"/>
          <w:sz w:val="21"/>
          <w:szCs w:val="21"/>
          <w:highlight w:val="none"/>
        </w:rPr>
        <w:t>日17:00（北京时间）。</w:t>
      </w:r>
    </w:p>
    <w:p w14:paraId="634B3F82">
      <w:pPr>
        <w:pStyle w:val="8"/>
        <w:kinsoku w:val="0"/>
        <w:wordWrap/>
        <w:overflowPunct w:val="0"/>
        <w:autoSpaceDE w:val="0"/>
        <w:autoSpaceDN w:val="0"/>
        <w:adjustRightInd w:val="0"/>
        <w:snapToGrid w:val="0"/>
        <w:spacing w:line="360" w:lineRule="auto"/>
        <w:ind w:firstLine="0" w:firstLineChars="0"/>
        <w:jc w:val="both"/>
        <w:outlineLvl w:val="1"/>
        <w:rPr>
          <w:rFonts w:hint="eastAsia" w:ascii="宋体" w:hAnsi="宋体" w:eastAsia="宋体" w:cs="宋体"/>
          <w:snapToGrid w:val="0"/>
          <w:color w:val="auto"/>
          <w:kern w:val="0"/>
          <w:sz w:val="21"/>
          <w:szCs w:val="21"/>
          <w:highlight w:val="none"/>
        </w:rPr>
      </w:pPr>
      <w:bookmarkStart w:id="53" w:name="_Toc23340"/>
      <w:bookmarkStart w:id="54" w:name="_Toc35393626"/>
      <w:bookmarkStart w:id="55" w:name="_Toc8775"/>
      <w:bookmarkStart w:id="56" w:name="_Toc1108"/>
      <w:bookmarkStart w:id="57" w:name="_Toc35393795"/>
      <w:r>
        <w:rPr>
          <w:rFonts w:hint="eastAsia" w:ascii="宋体" w:hAnsi="宋体" w:eastAsia="宋体" w:cs="宋体"/>
          <w:snapToGrid w:val="0"/>
          <w:color w:val="auto"/>
          <w:kern w:val="0"/>
          <w:sz w:val="21"/>
          <w:szCs w:val="21"/>
          <w:highlight w:val="none"/>
        </w:rPr>
        <w:t>六、其他补充事宜</w:t>
      </w:r>
      <w:bookmarkEnd w:id="53"/>
      <w:bookmarkEnd w:id="54"/>
      <w:bookmarkEnd w:id="55"/>
      <w:bookmarkEnd w:id="56"/>
      <w:bookmarkEnd w:id="57"/>
    </w:p>
    <w:p w14:paraId="4D729C2B">
      <w:pPr>
        <w:pStyle w:val="28"/>
        <w:kinsoku w:val="0"/>
        <w:overflowPunct w:val="0"/>
        <w:autoSpaceDE w:val="0"/>
        <w:autoSpaceDN w:val="0"/>
        <w:adjustRightInd w:val="0"/>
        <w:snapToGrid w:val="0"/>
        <w:spacing w:line="360" w:lineRule="auto"/>
        <w:ind w:firstLine="560"/>
        <w:rPr>
          <w:rFonts w:hint="eastAsia" w:ascii="宋体" w:hAnsi="宋体" w:eastAsia="宋体" w:cs="宋体"/>
          <w:color w:val="auto"/>
          <w:sz w:val="21"/>
          <w:szCs w:val="21"/>
          <w:highlight w:val="none"/>
          <w:lang w:val="en-US"/>
        </w:rPr>
      </w:pPr>
      <w:bookmarkStart w:id="58" w:name="_Toc17696"/>
      <w:bookmarkStart w:id="59" w:name="_Toc28359085"/>
      <w:bookmarkStart w:id="60" w:name="_Toc35393796"/>
      <w:bookmarkStart w:id="61" w:name="_Toc28359008"/>
      <w:bookmarkStart w:id="62" w:name="_Toc11402"/>
      <w:bookmarkStart w:id="63" w:name="_Toc2975"/>
      <w:bookmarkStart w:id="64" w:name="_Toc35393627"/>
      <w:r>
        <w:rPr>
          <w:rFonts w:hint="eastAsia" w:ascii="宋体" w:hAnsi="宋体" w:eastAsia="宋体" w:cs="宋体"/>
          <w:color w:val="auto"/>
          <w:sz w:val="21"/>
          <w:szCs w:val="21"/>
          <w:highlight w:val="none"/>
          <w:lang w:val="en-US"/>
        </w:rPr>
        <w:t>1、本项目采用不见面开标，投标人无须前往现场递交投标文件。投标供应商请在投标截止时间前将签字盖章并加密的投标文件PDF格式（并标注项目名称、单位名称）发送至</w:t>
      </w:r>
      <w:r>
        <w:rPr>
          <w:rFonts w:hint="eastAsia" w:ascii="宋体" w:hAnsi="宋体" w:eastAsia="宋体" w:cs="宋体"/>
          <w:color w:val="auto"/>
          <w:sz w:val="21"/>
          <w:szCs w:val="21"/>
          <w:highlight w:val="none"/>
          <w:u w:val="single"/>
          <w:lang w:val="en-US" w:eastAsia="zh-CN"/>
        </w:rPr>
        <w:t xml:space="preserve">408519600  </w:t>
      </w:r>
      <w:r>
        <w:rPr>
          <w:rFonts w:hint="eastAsia" w:ascii="宋体" w:hAnsi="宋体" w:eastAsia="宋体" w:cs="宋体"/>
          <w:color w:val="auto"/>
          <w:sz w:val="21"/>
          <w:szCs w:val="21"/>
          <w:highlight w:val="none"/>
          <w:lang w:val="en-US"/>
        </w:rPr>
        <w:t>@qq.com邮箱内，密码请牢记。在宣布发送解密密码后30分钟内将解密密码（并注明单位名称+联系人姓名+手机号码）发送至邮箱：</w:t>
      </w:r>
      <w:r>
        <w:rPr>
          <w:rFonts w:hint="eastAsia" w:ascii="宋体" w:hAnsi="宋体" w:eastAsia="宋体" w:cs="宋体"/>
          <w:color w:val="auto"/>
          <w:sz w:val="21"/>
          <w:szCs w:val="21"/>
          <w:highlight w:val="none"/>
          <w:u w:val="single"/>
          <w:lang w:val="en-US" w:eastAsia="zh-CN"/>
        </w:rPr>
        <w:t xml:space="preserve"> 408519600 </w:t>
      </w:r>
      <w:r>
        <w:rPr>
          <w:rFonts w:hint="eastAsia" w:ascii="宋体" w:hAnsi="宋体" w:eastAsia="宋体" w:cs="宋体"/>
          <w:color w:val="auto"/>
          <w:sz w:val="21"/>
          <w:szCs w:val="21"/>
          <w:highlight w:val="none"/>
          <w:lang w:val="en-US"/>
        </w:rPr>
        <w:t>@qq.com，未能及时发送“密码”的按无效标处理。解密成功后进行开标、评标活动。（请投标供应商提前做好传送邮件准备，防止网络拥挤造成发送未成功。除图表外，其他投标文件内容均应采用 A4 纸格式)。</w:t>
      </w:r>
    </w:p>
    <w:p w14:paraId="009A0AE3">
      <w:pPr>
        <w:pStyle w:val="28"/>
        <w:kinsoku w:val="0"/>
        <w:overflowPunct w:val="0"/>
        <w:autoSpaceDE w:val="0"/>
        <w:autoSpaceDN w:val="0"/>
        <w:adjustRightInd w:val="0"/>
        <w:snapToGrid w:val="0"/>
        <w:spacing w:line="360" w:lineRule="auto"/>
        <w:ind w:firstLine="560"/>
        <w:rPr>
          <w:rFonts w:hint="eastAsia" w:ascii="宋体" w:hAnsi="宋体" w:eastAsia="宋体" w:cs="宋体"/>
          <w:color w:val="auto"/>
          <w:sz w:val="21"/>
          <w:szCs w:val="21"/>
          <w:highlight w:val="none"/>
          <w:lang w:val="en-US"/>
        </w:rPr>
      </w:pPr>
      <w:r>
        <w:rPr>
          <w:rFonts w:hint="eastAsia" w:ascii="宋体" w:hAnsi="宋体"/>
        </w:rPr>
        <w:t>注：采用线上提交文件签到，以在线验证方式进行。（各潜在投标人须按招标文件方式报名后提交响应文件，否则其递交响应文件视为无效文件。)于2024年</w:t>
      </w:r>
      <w:r>
        <w:rPr>
          <w:rFonts w:hint="eastAsia" w:ascii="宋体" w:hAnsi="宋体"/>
          <w:lang w:val="en-US" w:eastAsia="zh-CN"/>
        </w:rPr>
        <w:t>8</w:t>
      </w:r>
      <w:r>
        <w:rPr>
          <w:rFonts w:hint="eastAsia" w:ascii="宋体" w:hAnsi="宋体"/>
        </w:rPr>
        <w:t>月</w:t>
      </w:r>
      <w:r>
        <w:rPr>
          <w:rFonts w:hint="eastAsia" w:ascii="宋体" w:hAnsi="宋体"/>
          <w:lang w:val="en-US" w:eastAsia="zh-CN"/>
        </w:rPr>
        <w:t>17</w:t>
      </w:r>
      <w:r>
        <w:rPr>
          <w:rFonts w:hint="eastAsia" w:ascii="宋体" w:hAnsi="宋体"/>
        </w:rPr>
        <w:t>日</w:t>
      </w:r>
      <w:r>
        <w:rPr>
          <w:rFonts w:hint="eastAsia" w:ascii="宋体" w:hAnsi="宋体"/>
          <w:lang w:val="en-US" w:eastAsia="zh-CN"/>
        </w:rPr>
        <w:t>08</w:t>
      </w:r>
      <w:r>
        <w:rPr>
          <w:rFonts w:hint="eastAsia" w:ascii="宋体" w:hAnsi="宋体"/>
        </w:rPr>
        <w:t>时</w:t>
      </w:r>
      <w:r>
        <w:rPr>
          <w:rFonts w:hint="eastAsia" w:ascii="宋体" w:hAnsi="宋体"/>
          <w:lang w:val="en-US" w:eastAsia="zh-CN"/>
        </w:rPr>
        <w:t>30分</w:t>
      </w:r>
      <w:r>
        <w:rPr>
          <w:rFonts w:hint="eastAsia" w:ascii="宋体" w:hAnsi="宋体"/>
        </w:rPr>
        <w:t>，开始申请加入“</w:t>
      </w:r>
      <w:r>
        <w:rPr>
          <w:rFonts w:hint="eastAsia" w:ascii="宋体" w:hAnsi="宋体" w:eastAsia="宋体" w:cs="宋体"/>
          <w:snapToGrid w:val="0"/>
          <w:color w:val="auto"/>
          <w:kern w:val="0"/>
          <w:sz w:val="21"/>
          <w:szCs w:val="21"/>
          <w:highlight w:val="none"/>
          <w:u w:val="single"/>
        </w:rPr>
        <w:t>皖北卫生职业学院</w:t>
      </w:r>
      <w:r>
        <w:rPr>
          <w:rFonts w:hint="eastAsia" w:ascii="宋体" w:hAnsi="宋体" w:eastAsia="宋体" w:cs="宋体"/>
          <w:snapToGrid w:val="0"/>
          <w:color w:val="auto"/>
          <w:kern w:val="0"/>
          <w:sz w:val="21"/>
          <w:szCs w:val="21"/>
          <w:highlight w:val="none"/>
          <w:u w:val="single"/>
          <w:lang w:eastAsia="zh-CN"/>
        </w:rPr>
        <w:t>第一食堂</w:t>
      </w:r>
      <w:r>
        <w:rPr>
          <w:rFonts w:hint="eastAsia" w:ascii="宋体" w:hAnsi="宋体" w:eastAsia="宋体" w:cs="宋体"/>
          <w:snapToGrid w:val="0"/>
          <w:color w:val="auto"/>
          <w:kern w:val="0"/>
          <w:sz w:val="21"/>
          <w:szCs w:val="21"/>
          <w:highlight w:val="none"/>
          <w:u w:val="single"/>
        </w:rPr>
        <w:t>经营服务项目</w:t>
      </w:r>
      <w:r>
        <w:rPr>
          <w:rFonts w:hint="eastAsia" w:ascii="宋体" w:hAnsi="宋体"/>
        </w:rPr>
        <w:t>”QQ群 239523818进行签到，加入群时备注“公司名称+法定代表人或其委托代理人姓名+联系电话”通过验证进群的投标人发送签到，以发送签到时间作为投标人签到顺序号。2024年</w:t>
      </w:r>
      <w:r>
        <w:rPr>
          <w:rFonts w:hint="eastAsia" w:ascii="宋体" w:hAnsi="宋体"/>
          <w:lang w:val="en-US" w:eastAsia="zh-CN"/>
        </w:rPr>
        <w:t>8</w:t>
      </w:r>
      <w:r>
        <w:rPr>
          <w:rFonts w:hint="eastAsia" w:ascii="宋体" w:hAnsi="宋体"/>
        </w:rPr>
        <w:t>月</w:t>
      </w:r>
      <w:r>
        <w:rPr>
          <w:rFonts w:hint="eastAsia" w:ascii="宋体" w:hAnsi="宋体"/>
          <w:lang w:val="en-US" w:eastAsia="zh-CN"/>
        </w:rPr>
        <w:t>17</w:t>
      </w:r>
      <w:r>
        <w:rPr>
          <w:rFonts w:hint="eastAsia" w:ascii="宋体" w:hAnsi="宋体"/>
        </w:rPr>
        <w:t>日</w:t>
      </w:r>
      <w:r>
        <w:rPr>
          <w:rFonts w:hint="eastAsia" w:ascii="宋体" w:hAnsi="宋体"/>
          <w:lang w:val="en-US" w:eastAsia="zh-CN"/>
        </w:rPr>
        <w:t>09</w:t>
      </w:r>
      <w:r>
        <w:rPr>
          <w:rFonts w:hint="eastAsia" w:ascii="宋体" w:hAnsi="宋体"/>
        </w:rPr>
        <w:t>时</w:t>
      </w:r>
      <w:r>
        <w:rPr>
          <w:rFonts w:hint="eastAsia" w:ascii="宋体" w:hAnsi="宋体"/>
          <w:lang w:val="en-US" w:eastAsia="zh-CN"/>
        </w:rPr>
        <w:t>00</w:t>
      </w:r>
      <w:r>
        <w:rPr>
          <w:rFonts w:hint="eastAsia" w:ascii="宋体" w:hAnsi="宋体"/>
        </w:rPr>
        <w:t>分签到结束。</w:t>
      </w:r>
    </w:p>
    <w:p w14:paraId="75B2E855">
      <w:pPr>
        <w:pStyle w:val="28"/>
        <w:kinsoku w:val="0"/>
        <w:overflowPunct w:val="0"/>
        <w:autoSpaceDE w:val="0"/>
        <w:autoSpaceDN w:val="0"/>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、请投标人保证邮件可正常打开查看标书，若文件损坏或标书无法查看的，造成的一切后果由投标人自行承担。</w:t>
      </w:r>
    </w:p>
    <w:p w14:paraId="6A607E72">
      <w:pPr>
        <w:pStyle w:val="28"/>
        <w:kinsoku w:val="0"/>
        <w:overflowPunct w:val="0"/>
        <w:autoSpaceDE w:val="0"/>
        <w:autoSpaceDN w:val="0"/>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、投标人自身原因导致投标文件发送失败的，风险由投标人自行承担。</w:t>
      </w:r>
    </w:p>
    <w:p w14:paraId="5046A047">
      <w:pPr>
        <w:pStyle w:val="28"/>
        <w:kinsoku w:val="0"/>
        <w:overflowPunct w:val="0"/>
        <w:autoSpaceDE w:val="0"/>
        <w:autoSpaceDN w:val="0"/>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、本招标项目开评标过程中的询标、澄清等程序均采用远程方式进行，请各投标人在规定时间内对询标内容以PDF格式回复，发送至指定邮箱，询标也在指定邮箱，时间</w:t>
      </w:r>
      <w:r>
        <w:rPr>
          <w:rFonts w:hint="eastAsia" w:ascii="宋体" w:hAnsi="宋体" w:eastAsia="宋体" w:cs="宋体"/>
          <w:color w:val="auto"/>
          <w:sz w:val="21"/>
          <w:szCs w:val="21"/>
          <w:highlight w:val="none"/>
          <w:lang w:eastAsia="zh-CN"/>
        </w:rPr>
        <w:t>不多于</w:t>
      </w:r>
      <w:r>
        <w:rPr>
          <w:rFonts w:hint="eastAsia" w:ascii="宋体" w:hAnsi="宋体" w:eastAsia="宋体" w:cs="宋体"/>
          <w:color w:val="auto"/>
          <w:sz w:val="21"/>
          <w:szCs w:val="21"/>
          <w:highlight w:val="none"/>
        </w:rPr>
        <w:t>询标发起后15分钟，若超过15分钟，视为放弃解释权力，评委按不利于投标人解释处理。</w:t>
      </w:r>
      <w:r>
        <w:rPr>
          <w:rFonts w:hint="eastAsia" w:ascii="宋体" w:hAnsi="宋体" w:eastAsia="宋体" w:cs="宋体"/>
          <w:color w:val="auto"/>
          <w:sz w:val="21"/>
          <w:szCs w:val="21"/>
          <w:highlight w:val="none"/>
          <w:lang w:val="en-US"/>
        </w:rPr>
        <w:t>请各投标人在开标当天评标结束前不要离开电脑，</w:t>
      </w:r>
      <w:r>
        <w:rPr>
          <w:rFonts w:hint="eastAsia" w:ascii="宋体" w:hAnsi="宋体" w:eastAsia="宋体" w:cs="宋体"/>
          <w:color w:val="auto"/>
          <w:sz w:val="21"/>
          <w:szCs w:val="21"/>
          <w:highlight w:val="none"/>
        </w:rPr>
        <w:t>时刻关注自己的邮箱。</w:t>
      </w:r>
    </w:p>
    <w:p w14:paraId="1744CE7F">
      <w:pPr>
        <w:pStyle w:val="28"/>
        <w:kinsoku w:val="0"/>
        <w:overflowPunct w:val="0"/>
        <w:autoSpaceDE w:val="0"/>
        <w:autoSpaceDN w:val="0"/>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5、投标文件以邮箱收到的时间为准；投标截止时间之后收到的投标文件，不予解密、唱标。 </w:t>
      </w:r>
    </w:p>
    <w:p w14:paraId="626DD973">
      <w:pPr>
        <w:pStyle w:val="28"/>
        <w:kinsoku w:val="0"/>
        <w:overflowPunct w:val="0"/>
        <w:autoSpaceDE w:val="0"/>
        <w:autoSpaceDN w:val="0"/>
        <w:adjustRightInd w:val="0"/>
        <w:snapToGrid w:val="0"/>
        <w:spacing w:line="360" w:lineRule="auto"/>
        <w:ind w:firstLine="560"/>
        <w:outlineLvl w:val="2"/>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6、投标人多次发送邮件的，以最后收到的投标文件为准。</w:t>
      </w:r>
    </w:p>
    <w:p w14:paraId="3E5D8EC2">
      <w:pPr>
        <w:pStyle w:val="28"/>
        <w:kinsoku w:val="0"/>
        <w:overflowPunct w:val="0"/>
        <w:autoSpaceDE w:val="0"/>
        <w:autoSpaceDN w:val="0"/>
        <w:adjustRightInd w:val="0"/>
        <w:snapToGrid w:val="0"/>
        <w:spacing w:line="360" w:lineRule="auto"/>
        <w:ind w:firstLine="560"/>
        <w:outlineLvl w:val="2"/>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第一食堂项目的第一中标候选人可以参与第二食堂的投标，但不得推荐为第二食堂项目的第一中标候选人。</w:t>
      </w:r>
    </w:p>
    <w:p w14:paraId="3D97CC2B">
      <w:pPr>
        <w:pStyle w:val="8"/>
        <w:kinsoku w:val="0"/>
        <w:wordWrap/>
        <w:overflowPunct w:val="0"/>
        <w:autoSpaceDE w:val="0"/>
        <w:autoSpaceDN w:val="0"/>
        <w:adjustRightInd w:val="0"/>
        <w:snapToGrid w:val="0"/>
        <w:spacing w:line="360" w:lineRule="auto"/>
        <w:ind w:firstLine="0" w:firstLineChars="0"/>
        <w:jc w:val="both"/>
        <w:outlineLvl w:val="1"/>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七、对本次招标提出询问，请按以下方式联系</w:t>
      </w:r>
      <w:bookmarkEnd w:id="58"/>
      <w:bookmarkEnd w:id="59"/>
      <w:bookmarkEnd w:id="60"/>
      <w:bookmarkEnd w:id="61"/>
      <w:bookmarkEnd w:id="62"/>
      <w:bookmarkEnd w:id="63"/>
      <w:bookmarkEnd w:id="64"/>
    </w:p>
    <w:bookmarkEnd w:id="13"/>
    <w:bookmarkEnd w:id="14"/>
    <w:bookmarkEnd w:id="15"/>
    <w:p w14:paraId="4E7FD17C">
      <w:pPr>
        <w:kinsoku w:val="0"/>
        <w:overflowPunct w:val="0"/>
        <w:autoSpaceDE w:val="0"/>
        <w:autoSpaceDN w:val="0"/>
        <w:adjustRightInd w:val="0"/>
        <w:snapToGrid w:val="0"/>
        <w:spacing w:line="360" w:lineRule="auto"/>
        <w:ind w:firstLine="420" w:firstLineChars="200"/>
        <w:jc w:val="left"/>
        <w:outlineLvl w:val="2"/>
        <w:rPr>
          <w:rFonts w:hint="eastAsia" w:ascii="宋体" w:hAnsi="宋体" w:eastAsia="宋体" w:cs="宋体"/>
          <w:color w:val="auto"/>
          <w:sz w:val="21"/>
          <w:szCs w:val="21"/>
          <w:highlight w:val="none"/>
        </w:rPr>
      </w:pPr>
      <w:bookmarkStart w:id="65" w:name="_Toc6411"/>
      <w:bookmarkStart w:id="66" w:name="_Toc23419"/>
      <w:bookmarkStart w:id="67" w:name="_Toc482084456"/>
      <w:bookmarkStart w:id="68" w:name="_Toc6951"/>
      <w:r>
        <w:rPr>
          <w:rFonts w:hint="eastAsia" w:ascii="宋体" w:hAnsi="宋体" w:eastAsia="宋体" w:cs="宋体"/>
          <w:color w:val="auto"/>
          <w:sz w:val="21"/>
          <w:szCs w:val="21"/>
          <w:highlight w:val="none"/>
        </w:rPr>
        <w:t>1.采购人信息</w:t>
      </w:r>
    </w:p>
    <w:p w14:paraId="318A2512">
      <w:pPr>
        <w:kinsoku w:val="0"/>
        <w:overflowPunct w:val="0"/>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皖北卫生职业学院  </w:t>
      </w:r>
    </w:p>
    <w:p w14:paraId="34DDDAC0">
      <w:pPr>
        <w:kinsoku w:val="0"/>
        <w:overflowPunct w:val="0"/>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皖北卫生职业学院  </w:t>
      </w:r>
    </w:p>
    <w:p w14:paraId="2F0DB2D4">
      <w:pPr>
        <w:kinsoku w:val="0"/>
        <w:overflowPunct w:val="0"/>
        <w:autoSpaceDE w:val="0"/>
        <w:autoSpaceDN w:val="0"/>
        <w:adjustRightInd w:val="0"/>
        <w:snapToGrid w:val="0"/>
        <w:spacing w:line="360" w:lineRule="auto"/>
        <w:ind w:firstLine="420" w:firstLineChars="200"/>
        <w:jc w:val="lef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联系方式：</w:t>
      </w:r>
      <w:bookmarkStart w:id="69" w:name="_Toc28359086"/>
      <w:bookmarkStart w:id="70" w:name="_Toc28359009"/>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赵老师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17719346657</w:t>
      </w:r>
      <w:r>
        <w:rPr>
          <w:rFonts w:hint="eastAsia" w:ascii="宋体" w:hAnsi="宋体" w:eastAsia="宋体" w:cs="宋体"/>
          <w:color w:val="auto"/>
          <w:sz w:val="21"/>
          <w:szCs w:val="21"/>
          <w:highlight w:val="none"/>
          <w:u w:val="single"/>
          <w:lang w:val="en-US" w:eastAsia="zh-CN"/>
        </w:rPr>
        <w:t xml:space="preserve">  </w:t>
      </w:r>
    </w:p>
    <w:p w14:paraId="3946DB6C">
      <w:pPr>
        <w:kinsoku w:val="0"/>
        <w:overflowPunct w:val="0"/>
        <w:autoSpaceDE w:val="0"/>
        <w:autoSpaceDN w:val="0"/>
        <w:adjustRightInd w:val="0"/>
        <w:snapToGrid w:val="0"/>
        <w:spacing w:line="360" w:lineRule="auto"/>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2.采购代理机构信息（如有）</w:t>
      </w:r>
      <w:bookmarkEnd w:id="69"/>
      <w:bookmarkEnd w:id="70"/>
    </w:p>
    <w:p w14:paraId="750EE981">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达信建设发展有限公司</w:t>
      </w:r>
    </w:p>
    <w:p w14:paraId="4691CD4A">
      <w:pPr>
        <w:kinsoku w:val="0"/>
        <w:overflowPunct w:val="0"/>
        <w:autoSpaceDE w:val="0"/>
        <w:autoSpaceDN w:val="0"/>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安徽省宿州市埇桥区中豪国际博览城42栋3楼 </w:t>
      </w:r>
    </w:p>
    <w:p w14:paraId="1A311F42">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bookmarkStart w:id="71" w:name="_Toc28359010"/>
      <w:bookmarkStart w:id="72" w:name="_Toc28359087"/>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周工 19159428685</w:t>
      </w:r>
      <w:r>
        <w:rPr>
          <w:rFonts w:hint="eastAsia" w:ascii="宋体" w:hAnsi="宋体" w:eastAsia="宋体" w:cs="宋体"/>
          <w:color w:val="auto"/>
          <w:sz w:val="21"/>
          <w:szCs w:val="21"/>
          <w:highlight w:val="none"/>
          <w:u w:val="single"/>
        </w:rPr>
        <w:t>　　</w:t>
      </w:r>
    </w:p>
    <w:p w14:paraId="03EA9FFE">
      <w:pPr>
        <w:kinsoku w:val="0"/>
        <w:overflowPunct w:val="0"/>
        <w:autoSpaceDE w:val="0"/>
        <w:autoSpaceDN w:val="0"/>
        <w:adjustRightInd w:val="0"/>
        <w:snapToGrid w:val="0"/>
        <w:spacing w:line="360" w:lineRule="auto"/>
        <w:ind w:firstLine="420" w:firstLineChars="200"/>
        <w:outlineLvl w:val="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3.项目联系方式</w:t>
      </w:r>
      <w:bookmarkEnd w:id="71"/>
      <w:bookmarkEnd w:id="72"/>
    </w:p>
    <w:p w14:paraId="0E3CCCEA">
      <w:pPr>
        <w:pStyle w:val="14"/>
        <w:kinsoku w:val="0"/>
        <w:overflowPunct w:val="0"/>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周工</w:t>
      </w:r>
      <w:r>
        <w:rPr>
          <w:rFonts w:hint="eastAsia" w:ascii="宋体" w:hAnsi="宋体" w:eastAsia="宋体" w:cs="宋体"/>
          <w:color w:val="auto"/>
          <w:sz w:val="21"/>
          <w:szCs w:val="21"/>
          <w:highlight w:val="none"/>
          <w:u w:val="single"/>
        </w:rPr>
        <w:t xml:space="preserve"> </w:t>
      </w:r>
    </w:p>
    <w:p w14:paraId="5AF3A0B9">
      <w:pPr>
        <w:kinsoku w:val="0"/>
        <w:overflowPunct w:val="0"/>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1</w:t>
      </w:r>
      <w:r>
        <w:rPr>
          <w:rFonts w:hint="eastAsia" w:ascii="宋体" w:hAnsi="宋体" w:eastAsia="宋体" w:cs="宋体"/>
          <w:color w:val="auto"/>
          <w:sz w:val="21"/>
          <w:szCs w:val="21"/>
          <w:highlight w:val="none"/>
          <w:u w:val="single"/>
          <w:lang w:val="en-US" w:eastAsia="zh-CN"/>
        </w:rPr>
        <w:t>9159428685</w:t>
      </w:r>
      <w:r>
        <w:rPr>
          <w:rFonts w:hint="eastAsia" w:ascii="宋体" w:hAnsi="宋体" w:eastAsia="宋体" w:cs="宋体"/>
          <w:color w:val="auto"/>
          <w:sz w:val="21"/>
          <w:szCs w:val="21"/>
          <w:highlight w:val="none"/>
          <w:u w:val="single"/>
        </w:rPr>
        <w:t>　</w:t>
      </w:r>
    </w:p>
    <w:p w14:paraId="77ECAE73">
      <w:pPr>
        <w:pStyle w:val="2"/>
        <w:rPr>
          <w:rFonts w:hint="eastAsia" w:ascii="宋体" w:hAnsi="宋体" w:eastAsia="宋体" w:cs="宋体"/>
          <w:color w:val="auto"/>
          <w:sz w:val="21"/>
          <w:szCs w:val="21"/>
          <w:highlight w:val="none"/>
          <w:u w:val="single"/>
        </w:rPr>
      </w:pPr>
    </w:p>
    <w:p w14:paraId="6BA2C4BE">
      <w:pPr>
        <w:pStyle w:val="5"/>
        <w:rPr>
          <w:rFonts w:hint="eastAsia" w:ascii="宋体" w:hAnsi="宋体" w:eastAsia="宋体" w:cs="宋体"/>
          <w:color w:val="auto"/>
          <w:sz w:val="21"/>
          <w:szCs w:val="21"/>
          <w:highlight w:val="none"/>
          <w:u w:val="single"/>
        </w:rPr>
      </w:pPr>
    </w:p>
    <w:p w14:paraId="568D1EFE">
      <w:pPr>
        <w:pStyle w:val="5"/>
        <w:rPr>
          <w:rFonts w:hint="eastAsia" w:ascii="宋体" w:hAnsi="宋体" w:eastAsia="宋体" w:cs="宋体"/>
          <w:color w:val="auto"/>
          <w:sz w:val="21"/>
          <w:szCs w:val="21"/>
          <w:highlight w:val="none"/>
          <w:u w:val="single"/>
        </w:rPr>
      </w:pPr>
    </w:p>
    <w:p w14:paraId="08F45EEC">
      <w:pPr>
        <w:pStyle w:val="5"/>
        <w:rPr>
          <w:rFonts w:hint="eastAsia" w:ascii="宋体" w:hAnsi="宋体" w:eastAsia="宋体" w:cs="宋体"/>
          <w:color w:val="auto"/>
          <w:sz w:val="21"/>
          <w:szCs w:val="21"/>
          <w:highlight w:val="none"/>
          <w:u w:val="single"/>
        </w:rPr>
      </w:pPr>
    </w:p>
    <w:p w14:paraId="21E5F2AD">
      <w:pPr>
        <w:pStyle w:val="5"/>
        <w:rPr>
          <w:rFonts w:hint="eastAsia" w:ascii="宋体" w:hAnsi="宋体" w:eastAsia="宋体" w:cs="宋体"/>
          <w:color w:val="auto"/>
          <w:sz w:val="21"/>
          <w:szCs w:val="21"/>
          <w:highlight w:val="none"/>
          <w:u w:val="single"/>
        </w:rPr>
      </w:pPr>
    </w:p>
    <w:p w14:paraId="0ACDB8DA">
      <w:pPr>
        <w:pStyle w:val="2"/>
        <w:ind w:firstLine="640"/>
        <w:rPr>
          <w:color w:val="auto"/>
          <w:highlight w:val="none"/>
        </w:rPr>
      </w:pPr>
    </w:p>
    <w:p w14:paraId="1A354DEC">
      <w:pPr>
        <w:pStyle w:val="5"/>
        <w:rPr>
          <w:color w:val="auto"/>
          <w:highlight w:val="none"/>
        </w:rPr>
      </w:pPr>
    </w:p>
    <w:p w14:paraId="053F5172">
      <w:pPr>
        <w:pStyle w:val="5"/>
        <w:rPr>
          <w:color w:val="auto"/>
          <w:highlight w:val="none"/>
        </w:rPr>
      </w:pPr>
    </w:p>
    <w:p w14:paraId="33A23D28">
      <w:pPr>
        <w:pStyle w:val="5"/>
        <w:ind w:left="0" w:leftChars="0" w:firstLine="0" w:firstLineChars="0"/>
        <w:rPr>
          <w:color w:val="auto"/>
          <w:highlight w:val="none"/>
        </w:rPr>
      </w:pPr>
    </w:p>
    <w:p w14:paraId="43F1BB37">
      <w:pPr>
        <w:pStyle w:val="7"/>
        <w:kinsoku w:val="0"/>
        <w:wordWrap/>
        <w:autoSpaceDE w:val="0"/>
        <w:autoSpaceDN w:val="0"/>
        <w:adjustRightInd w:val="0"/>
        <w:snapToGrid w:val="0"/>
        <w:spacing w:line="420" w:lineRule="exact"/>
        <w:outlineLvl w:val="9"/>
        <w:rPr>
          <w:rFonts w:hint="eastAsia"/>
          <w:snapToGrid w:val="0"/>
          <w:color w:val="auto"/>
          <w:kern w:val="0"/>
          <w:highlight w:val="none"/>
        </w:rPr>
      </w:pPr>
      <w:bookmarkStart w:id="73" w:name="_Toc3349"/>
    </w:p>
    <w:p w14:paraId="509B186A">
      <w:pPr>
        <w:pStyle w:val="7"/>
        <w:kinsoku w:val="0"/>
        <w:wordWrap/>
        <w:autoSpaceDE w:val="0"/>
        <w:autoSpaceDN w:val="0"/>
        <w:adjustRightInd w:val="0"/>
        <w:snapToGrid w:val="0"/>
        <w:spacing w:line="420" w:lineRule="exact"/>
        <w:outlineLvl w:val="0"/>
        <w:rPr>
          <w:snapToGrid w:val="0"/>
          <w:color w:val="auto"/>
          <w:kern w:val="0"/>
          <w:highlight w:val="none"/>
        </w:rPr>
      </w:pPr>
      <w:r>
        <w:rPr>
          <w:rFonts w:hint="eastAsia"/>
          <w:snapToGrid w:val="0"/>
          <w:color w:val="auto"/>
          <w:kern w:val="0"/>
          <w:highlight w:val="none"/>
        </w:rPr>
        <w:t>第二章 投标人须知前附表</w:t>
      </w:r>
      <w:bookmarkEnd w:id="65"/>
      <w:bookmarkEnd w:id="66"/>
      <w:bookmarkEnd w:id="67"/>
      <w:bookmarkEnd w:id="68"/>
      <w:bookmarkEnd w:id="73"/>
    </w:p>
    <w:tbl>
      <w:tblPr>
        <w:tblStyle w:val="19"/>
        <w:tblW w:w="498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425"/>
        <w:gridCol w:w="772"/>
        <w:gridCol w:w="5140"/>
      </w:tblGrid>
      <w:tr w14:paraId="20CE82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3AA79214">
            <w:pPr>
              <w:kinsoku w:val="0"/>
              <w:autoSpaceDE w:val="0"/>
              <w:autoSpaceDN w:val="0"/>
              <w:adjustRightInd w:val="0"/>
              <w:snapToGrid w:val="0"/>
              <w:spacing w:line="360" w:lineRule="auto"/>
              <w:jc w:val="center"/>
              <w:rPr>
                <w:rFonts w:ascii="宋体" w:hAnsi="宋体" w:cs="宋体"/>
                <w:b/>
                <w:snapToGrid w:val="0"/>
                <w:color w:val="auto"/>
                <w:kern w:val="0"/>
                <w:sz w:val="22"/>
                <w:highlight w:val="none"/>
              </w:rPr>
            </w:pPr>
            <w:r>
              <w:rPr>
                <w:rFonts w:hint="eastAsia" w:ascii="宋体" w:hAnsi="宋体" w:cs="宋体"/>
                <w:b/>
                <w:snapToGrid w:val="0"/>
                <w:color w:val="auto"/>
                <w:kern w:val="0"/>
                <w:sz w:val="22"/>
                <w:highlight w:val="none"/>
              </w:rPr>
              <w:t>序号</w:t>
            </w:r>
          </w:p>
        </w:tc>
        <w:tc>
          <w:tcPr>
            <w:tcW w:w="4624" w:type="pct"/>
            <w:gridSpan w:val="3"/>
            <w:vAlign w:val="center"/>
          </w:tcPr>
          <w:p w14:paraId="706E9871">
            <w:pPr>
              <w:kinsoku w:val="0"/>
              <w:autoSpaceDE w:val="0"/>
              <w:autoSpaceDN w:val="0"/>
              <w:adjustRightInd w:val="0"/>
              <w:snapToGrid w:val="0"/>
              <w:spacing w:line="360" w:lineRule="auto"/>
              <w:jc w:val="center"/>
              <w:rPr>
                <w:rFonts w:ascii="宋体" w:hAnsi="宋体" w:cs="宋体"/>
                <w:b/>
                <w:snapToGrid w:val="0"/>
                <w:color w:val="auto"/>
                <w:kern w:val="0"/>
                <w:sz w:val="22"/>
                <w:highlight w:val="none"/>
              </w:rPr>
            </w:pPr>
            <w:r>
              <w:rPr>
                <w:rFonts w:hint="eastAsia" w:ascii="宋体" w:hAnsi="宋体" w:cs="宋体"/>
                <w:b/>
                <w:snapToGrid w:val="0"/>
                <w:color w:val="auto"/>
                <w:kern w:val="0"/>
                <w:sz w:val="22"/>
                <w:highlight w:val="none"/>
              </w:rPr>
              <w:t>内  容</w:t>
            </w:r>
          </w:p>
        </w:tc>
      </w:tr>
      <w:tr w14:paraId="5F9D3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1987D164">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w:t>
            </w:r>
          </w:p>
        </w:tc>
        <w:tc>
          <w:tcPr>
            <w:tcW w:w="1345" w:type="pct"/>
            <w:vAlign w:val="center"/>
          </w:tcPr>
          <w:p w14:paraId="58A9B26D">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项目名称</w:t>
            </w:r>
          </w:p>
        </w:tc>
        <w:tc>
          <w:tcPr>
            <w:tcW w:w="3279" w:type="pct"/>
            <w:gridSpan w:val="2"/>
            <w:vAlign w:val="center"/>
          </w:tcPr>
          <w:p w14:paraId="47A036B3">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皖北卫生职业学院</w:t>
            </w:r>
            <w:r>
              <w:rPr>
                <w:rFonts w:hint="eastAsia" w:ascii="宋体" w:hAnsi="宋体" w:cs="宋体"/>
                <w:snapToGrid w:val="0"/>
                <w:color w:val="auto"/>
                <w:kern w:val="0"/>
                <w:sz w:val="22"/>
                <w:highlight w:val="none"/>
                <w:lang w:eastAsia="zh-CN"/>
              </w:rPr>
              <w:t>第一食堂</w:t>
            </w:r>
            <w:r>
              <w:rPr>
                <w:rFonts w:hint="eastAsia" w:ascii="宋体" w:hAnsi="宋体" w:cs="宋体"/>
                <w:snapToGrid w:val="0"/>
                <w:color w:val="auto"/>
                <w:kern w:val="0"/>
                <w:sz w:val="22"/>
                <w:highlight w:val="none"/>
              </w:rPr>
              <w:t>经营服务项目</w:t>
            </w:r>
          </w:p>
        </w:tc>
      </w:tr>
      <w:tr w14:paraId="10E787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458F66D8">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w:t>
            </w:r>
          </w:p>
        </w:tc>
        <w:tc>
          <w:tcPr>
            <w:tcW w:w="1345" w:type="pct"/>
            <w:vAlign w:val="center"/>
          </w:tcPr>
          <w:p w14:paraId="6FE1D75C">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项目编号</w:t>
            </w:r>
          </w:p>
        </w:tc>
        <w:tc>
          <w:tcPr>
            <w:tcW w:w="3279" w:type="pct"/>
            <w:gridSpan w:val="2"/>
            <w:vAlign w:val="center"/>
          </w:tcPr>
          <w:p w14:paraId="5A8E3C58">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u w:val="single"/>
              </w:rPr>
            </w:pPr>
            <w:r>
              <w:rPr>
                <w:rFonts w:hint="eastAsia" w:ascii="宋体" w:hAnsi="宋体" w:cs="宋体"/>
                <w:snapToGrid w:val="0"/>
                <w:color w:val="auto"/>
                <w:kern w:val="0"/>
                <w:sz w:val="22"/>
                <w:highlight w:val="none"/>
                <w:u w:val="none"/>
              </w:rPr>
              <w:t>DXJS-20240705</w:t>
            </w:r>
          </w:p>
        </w:tc>
      </w:tr>
      <w:tr w14:paraId="7ECCB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6AC1284F">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3</w:t>
            </w:r>
          </w:p>
        </w:tc>
        <w:tc>
          <w:tcPr>
            <w:tcW w:w="1345" w:type="pct"/>
            <w:vAlign w:val="center"/>
          </w:tcPr>
          <w:p w14:paraId="55D14104">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采购人</w:t>
            </w:r>
          </w:p>
        </w:tc>
        <w:tc>
          <w:tcPr>
            <w:tcW w:w="3279" w:type="pct"/>
            <w:gridSpan w:val="2"/>
            <w:vAlign w:val="center"/>
          </w:tcPr>
          <w:p w14:paraId="50743331">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名 称：皖北卫生职业学院  　</w:t>
            </w:r>
          </w:p>
          <w:p w14:paraId="219AD38D">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 xml:space="preserve">地址： 皖北卫生职业学院   </w:t>
            </w:r>
          </w:p>
          <w:p w14:paraId="7C59E761">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 xml:space="preserve">联系方式：赵老师 17719346657   </w:t>
            </w:r>
          </w:p>
        </w:tc>
      </w:tr>
      <w:tr w14:paraId="416DA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20F01F04">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4</w:t>
            </w:r>
          </w:p>
        </w:tc>
        <w:tc>
          <w:tcPr>
            <w:tcW w:w="1345" w:type="pct"/>
            <w:vAlign w:val="center"/>
          </w:tcPr>
          <w:p w14:paraId="4F36549E">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代理机构</w:t>
            </w:r>
          </w:p>
        </w:tc>
        <w:tc>
          <w:tcPr>
            <w:tcW w:w="3279" w:type="pct"/>
            <w:gridSpan w:val="2"/>
            <w:vAlign w:val="center"/>
          </w:tcPr>
          <w:p w14:paraId="224849E5">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名称：达信建设发展有限公司</w:t>
            </w:r>
          </w:p>
          <w:p w14:paraId="4FAB7798">
            <w:pPr>
              <w:kinsoku w:val="0"/>
              <w:autoSpaceDE w:val="0"/>
              <w:autoSpaceDN w:val="0"/>
              <w:adjustRightInd w:val="0"/>
              <w:snapToGrid w:val="0"/>
              <w:spacing w:line="360" w:lineRule="auto"/>
              <w:ind w:firstLine="440" w:firstLineChars="200"/>
              <w:rPr>
                <w:rFonts w:hint="eastAsia" w:ascii="宋体" w:hAnsi="宋体" w:cs="宋体"/>
                <w:snapToGrid w:val="0"/>
                <w:color w:val="auto"/>
                <w:kern w:val="0"/>
                <w:sz w:val="22"/>
                <w:highlight w:val="none"/>
              </w:rPr>
            </w:pPr>
            <w:r>
              <w:rPr>
                <w:rFonts w:hint="eastAsia" w:ascii="宋体" w:hAnsi="宋体" w:cs="宋体"/>
                <w:snapToGrid w:val="0"/>
                <w:color w:val="auto"/>
                <w:kern w:val="0"/>
                <w:sz w:val="22"/>
                <w:highlight w:val="none"/>
              </w:rPr>
              <w:t>地址：安徽省宿州市埇桥区中豪国际博览城42栋3楼</w:t>
            </w:r>
          </w:p>
          <w:p w14:paraId="18892893">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 xml:space="preserve">联系人：周工 </w:t>
            </w:r>
          </w:p>
          <w:p w14:paraId="29C80452">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联系方式：19159428685</w:t>
            </w:r>
          </w:p>
        </w:tc>
      </w:tr>
      <w:tr w14:paraId="428235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1257A884">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5</w:t>
            </w:r>
          </w:p>
        </w:tc>
        <w:tc>
          <w:tcPr>
            <w:tcW w:w="1345" w:type="pct"/>
            <w:vAlign w:val="center"/>
          </w:tcPr>
          <w:p w14:paraId="1446604A">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采购内容和预算</w:t>
            </w:r>
          </w:p>
        </w:tc>
        <w:tc>
          <w:tcPr>
            <w:tcW w:w="3279" w:type="pct"/>
            <w:gridSpan w:val="2"/>
            <w:vAlign w:val="center"/>
          </w:tcPr>
          <w:p w14:paraId="3A283A65">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14:paraId="5F052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restart"/>
            <w:vAlign w:val="center"/>
          </w:tcPr>
          <w:p w14:paraId="10455F21">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6</w:t>
            </w:r>
          </w:p>
        </w:tc>
        <w:tc>
          <w:tcPr>
            <w:tcW w:w="1345" w:type="pct"/>
            <w:vMerge w:val="restart"/>
            <w:vAlign w:val="center"/>
          </w:tcPr>
          <w:p w14:paraId="499AC88A">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项目类别</w:t>
            </w:r>
          </w:p>
        </w:tc>
        <w:tc>
          <w:tcPr>
            <w:tcW w:w="428" w:type="pct"/>
            <w:vMerge w:val="restart"/>
            <w:vAlign w:val="center"/>
          </w:tcPr>
          <w:p w14:paraId="77BA7838">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□货物类</w:t>
            </w:r>
          </w:p>
        </w:tc>
        <w:tc>
          <w:tcPr>
            <w:tcW w:w="2851" w:type="pct"/>
            <w:vAlign w:val="center"/>
          </w:tcPr>
          <w:p w14:paraId="5350E276">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□单一产品采购</w:t>
            </w:r>
          </w:p>
        </w:tc>
      </w:tr>
      <w:tr w14:paraId="692B13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continue"/>
            <w:vAlign w:val="center"/>
          </w:tcPr>
          <w:p w14:paraId="7EBED32A">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p>
        </w:tc>
        <w:tc>
          <w:tcPr>
            <w:tcW w:w="1345" w:type="pct"/>
            <w:vMerge w:val="continue"/>
            <w:vAlign w:val="center"/>
          </w:tcPr>
          <w:p w14:paraId="6294E49E">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p>
        </w:tc>
        <w:tc>
          <w:tcPr>
            <w:tcW w:w="428" w:type="pct"/>
            <w:vMerge w:val="continue"/>
            <w:vAlign w:val="center"/>
          </w:tcPr>
          <w:p w14:paraId="7917AD3D">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p>
        </w:tc>
        <w:tc>
          <w:tcPr>
            <w:tcW w:w="2851" w:type="pct"/>
            <w:vAlign w:val="center"/>
          </w:tcPr>
          <w:p w14:paraId="6800B8CC">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□非单一产品采购，其中标符号的为核心产品</w:t>
            </w:r>
          </w:p>
        </w:tc>
      </w:tr>
      <w:tr w14:paraId="52B083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continue"/>
            <w:vAlign w:val="center"/>
          </w:tcPr>
          <w:p w14:paraId="546D6366">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p>
        </w:tc>
        <w:tc>
          <w:tcPr>
            <w:tcW w:w="1345" w:type="pct"/>
            <w:vMerge w:val="continue"/>
            <w:vAlign w:val="center"/>
          </w:tcPr>
          <w:p w14:paraId="7C959176">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p>
        </w:tc>
        <w:tc>
          <w:tcPr>
            <w:tcW w:w="3279" w:type="pct"/>
            <w:gridSpan w:val="2"/>
            <w:vAlign w:val="center"/>
          </w:tcPr>
          <w:p w14:paraId="699F31DE">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☑服务类</w:t>
            </w:r>
          </w:p>
        </w:tc>
      </w:tr>
      <w:tr w14:paraId="78ADD1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48EB24E3">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7</w:t>
            </w:r>
          </w:p>
        </w:tc>
        <w:tc>
          <w:tcPr>
            <w:tcW w:w="1345" w:type="pct"/>
            <w:vAlign w:val="center"/>
          </w:tcPr>
          <w:p w14:paraId="69367837">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评审办法</w:t>
            </w:r>
          </w:p>
        </w:tc>
        <w:tc>
          <w:tcPr>
            <w:tcW w:w="3279" w:type="pct"/>
            <w:gridSpan w:val="2"/>
            <w:vAlign w:val="center"/>
          </w:tcPr>
          <w:p w14:paraId="454104C7">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☑综合评分法</w:t>
            </w:r>
            <w:r>
              <w:rPr>
                <w:rFonts w:hint="eastAsia" w:ascii="宋体" w:hAnsi="宋体" w:cs="宋体"/>
                <w:snapToGrid w:val="0"/>
                <w:color w:val="auto"/>
                <w:kern w:val="0"/>
                <w:sz w:val="22"/>
                <w:highlight w:val="none"/>
                <w:lang w:val="en-US" w:eastAsia="zh-CN"/>
              </w:rPr>
              <w:t xml:space="preserve">     </w:t>
            </w:r>
            <w:r>
              <w:rPr>
                <w:rFonts w:hint="eastAsia" w:ascii="宋体" w:hAnsi="宋体" w:cs="宋体"/>
                <w:snapToGrid w:val="0"/>
                <w:color w:val="auto"/>
                <w:kern w:val="0"/>
                <w:sz w:val="22"/>
                <w:highlight w:val="none"/>
              </w:rPr>
              <w:t>□有效最低价</w:t>
            </w:r>
            <w:bookmarkStart w:id="201" w:name="_GoBack"/>
            <w:bookmarkEnd w:id="201"/>
          </w:p>
        </w:tc>
      </w:tr>
      <w:tr w14:paraId="0A963A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0785F3BA">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8</w:t>
            </w:r>
          </w:p>
        </w:tc>
        <w:tc>
          <w:tcPr>
            <w:tcW w:w="1345" w:type="pct"/>
            <w:vAlign w:val="center"/>
          </w:tcPr>
          <w:p w14:paraId="1C916E43">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中标人个数</w:t>
            </w:r>
          </w:p>
        </w:tc>
        <w:tc>
          <w:tcPr>
            <w:tcW w:w="3279" w:type="pct"/>
            <w:gridSpan w:val="2"/>
            <w:vAlign w:val="center"/>
          </w:tcPr>
          <w:p w14:paraId="416E037B">
            <w:pPr>
              <w:spacing w:line="360" w:lineRule="auto"/>
              <w:ind w:firstLine="468"/>
              <w:rPr>
                <w:rFonts w:hint="default" w:ascii="宋体" w:hAnsi="宋体" w:eastAsia="宋体" w:cs="宋体"/>
                <w:b/>
                <w:bCs/>
                <w:snapToGrid w:val="0"/>
                <w:color w:val="auto"/>
                <w:kern w:val="0"/>
                <w:sz w:val="24"/>
                <w:szCs w:val="24"/>
                <w:highlight w:val="none"/>
                <w:lang w:val="en-US" w:eastAsia="zh-CN"/>
              </w:rPr>
            </w:pPr>
            <w:r>
              <w:rPr>
                <w:rFonts w:hint="eastAsia" w:ascii="宋体" w:hAnsi="宋体" w:cs="宋体"/>
                <w:b/>
                <w:bCs/>
                <w:snapToGrid w:val="0"/>
                <w:color w:val="auto"/>
                <w:kern w:val="0"/>
                <w:sz w:val="22"/>
                <w:highlight w:val="none"/>
              </w:rPr>
              <w:t>推荐1名中标候选人。</w:t>
            </w:r>
          </w:p>
        </w:tc>
      </w:tr>
      <w:tr w14:paraId="583D5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591DFC24">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9</w:t>
            </w:r>
          </w:p>
        </w:tc>
        <w:tc>
          <w:tcPr>
            <w:tcW w:w="1345" w:type="pct"/>
            <w:vAlign w:val="center"/>
          </w:tcPr>
          <w:p w14:paraId="3AC8175F">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招标文件的澄清和修改</w:t>
            </w:r>
          </w:p>
        </w:tc>
        <w:tc>
          <w:tcPr>
            <w:tcW w:w="3279" w:type="pct"/>
            <w:gridSpan w:val="2"/>
            <w:vAlign w:val="center"/>
          </w:tcPr>
          <w:p w14:paraId="4CF9FDBE">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lang w:bidi="he-IL"/>
              </w:rPr>
            </w:pPr>
            <w:r>
              <w:rPr>
                <w:rFonts w:hint="eastAsia" w:ascii="宋体" w:hAnsi="宋体" w:cs="宋体"/>
                <w:snapToGrid w:val="0"/>
                <w:color w:val="auto"/>
                <w:kern w:val="0"/>
                <w:sz w:val="22"/>
                <w:highlight w:val="none"/>
                <w:lang w:bidi="he-IL"/>
              </w:rPr>
              <w:t>详见“第五章11、招标文件的澄清和修改”</w:t>
            </w:r>
          </w:p>
        </w:tc>
      </w:tr>
      <w:tr w14:paraId="3B537E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030748CD">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10</w:t>
            </w:r>
          </w:p>
        </w:tc>
        <w:tc>
          <w:tcPr>
            <w:tcW w:w="1345" w:type="pct"/>
            <w:vAlign w:val="center"/>
          </w:tcPr>
          <w:p w14:paraId="4B400FE0">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招标文件的质疑和答复</w:t>
            </w:r>
          </w:p>
        </w:tc>
        <w:tc>
          <w:tcPr>
            <w:tcW w:w="3279" w:type="pct"/>
            <w:gridSpan w:val="2"/>
            <w:vAlign w:val="center"/>
          </w:tcPr>
          <w:p w14:paraId="4358EF6E">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lang w:bidi="he-IL"/>
              </w:rPr>
            </w:pPr>
            <w:r>
              <w:rPr>
                <w:rFonts w:hint="eastAsia" w:ascii="宋体" w:hAnsi="宋体" w:cs="宋体"/>
                <w:snapToGrid w:val="0"/>
                <w:color w:val="auto"/>
                <w:kern w:val="0"/>
                <w:sz w:val="22"/>
                <w:highlight w:val="none"/>
                <w:lang w:bidi="he-IL"/>
              </w:rPr>
              <w:t>详见“第五章12、招标文件的质疑和答复”</w:t>
            </w:r>
          </w:p>
        </w:tc>
      </w:tr>
      <w:tr w14:paraId="45446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7E978FD0">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11</w:t>
            </w:r>
          </w:p>
        </w:tc>
        <w:tc>
          <w:tcPr>
            <w:tcW w:w="1345" w:type="pct"/>
            <w:vAlign w:val="center"/>
          </w:tcPr>
          <w:p w14:paraId="5BF1BC81">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p>
        </w:tc>
        <w:tc>
          <w:tcPr>
            <w:tcW w:w="3279" w:type="pct"/>
            <w:gridSpan w:val="2"/>
            <w:vAlign w:val="center"/>
          </w:tcPr>
          <w:p w14:paraId="1E4F586B">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14:paraId="1E9BB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34C970F6">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12</w:t>
            </w:r>
          </w:p>
        </w:tc>
        <w:tc>
          <w:tcPr>
            <w:tcW w:w="1345" w:type="pct"/>
            <w:vAlign w:val="center"/>
          </w:tcPr>
          <w:p w14:paraId="614B388A">
            <w:pPr>
              <w:kinsoku w:val="0"/>
              <w:autoSpaceDE w:val="0"/>
              <w:autoSpaceDN w:val="0"/>
              <w:adjustRightInd w:val="0"/>
              <w:snapToGrid w:val="0"/>
              <w:spacing w:line="360" w:lineRule="auto"/>
              <w:jc w:val="center"/>
              <w:rPr>
                <w:rFonts w:ascii="宋体" w:hAnsi="宋体" w:cs="宋体"/>
                <w:snapToGrid w:val="0"/>
                <w:color w:val="auto"/>
                <w:kern w:val="0"/>
                <w:sz w:val="22"/>
                <w:highlight w:val="none"/>
                <w:u w:val="single"/>
              </w:rPr>
            </w:pPr>
            <w:r>
              <w:rPr>
                <w:rFonts w:hint="eastAsia" w:ascii="宋体" w:hAnsi="宋体" w:cs="宋体"/>
                <w:snapToGrid w:val="0"/>
                <w:color w:val="auto"/>
                <w:kern w:val="0"/>
                <w:sz w:val="22"/>
                <w:highlight w:val="none"/>
              </w:rPr>
              <w:t>投标保证金</w:t>
            </w:r>
          </w:p>
        </w:tc>
        <w:tc>
          <w:tcPr>
            <w:tcW w:w="3279" w:type="pct"/>
            <w:gridSpan w:val="2"/>
            <w:vAlign w:val="center"/>
          </w:tcPr>
          <w:p w14:paraId="773FAE09">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color w:val="auto"/>
                <w:sz w:val="22"/>
                <w:highlight w:val="none"/>
              </w:rPr>
              <w:t>本项目不收取投标保证金</w:t>
            </w:r>
          </w:p>
        </w:tc>
      </w:tr>
      <w:tr w14:paraId="0ABB0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51CEA0CD">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13</w:t>
            </w:r>
          </w:p>
        </w:tc>
        <w:tc>
          <w:tcPr>
            <w:tcW w:w="1345" w:type="pct"/>
            <w:vAlign w:val="center"/>
          </w:tcPr>
          <w:p w14:paraId="26B78636">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投标保证金到账截止时间</w:t>
            </w:r>
          </w:p>
        </w:tc>
        <w:tc>
          <w:tcPr>
            <w:tcW w:w="3279" w:type="pct"/>
            <w:gridSpan w:val="2"/>
            <w:vAlign w:val="center"/>
          </w:tcPr>
          <w:p w14:paraId="12806EB6">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本项目无需缴纳。</w:t>
            </w:r>
          </w:p>
        </w:tc>
      </w:tr>
      <w:tr w14:paraId="75A6E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5653D6A2">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14</w:t>
            </w:r>
          </w:p>
        </w:tc>
        <w:tc>
          <w:tcPr>
            <w:tcW w:w="1345" w:type="pct"/>
            <w:vAlign w:val="center"/>
          </w:tcPr>
          <w:p w14:paraId="562167B3">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投标文件份数</w:t>
            </w:r>
          </w:p>
        </w:tc>
        <w:tc>
          <w:tcPr>
            <w:tcW w:w="3279" w:type="pct"/>
            <w:gridSpan w:val="2"/>
            <w:vAlign w:val="center"/>
          </w:tcPr>
          <w:p w14:paraId="0DED6995">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邮箱提交的电子投标文件</w:t>
            </w:r>
            <w:r>
              <w:rPr>
                <w:rFonts w:hint="eastAsia" w:ascii="宋体" w:hAnsi="宋体" w:cs="宋体"/>
                <w:snapToGrid w:val="0"/>
                <w:color w:val="auto"/>
                <w:kern w:val="0"/>
                <w:sz w:val="22"/>
                <w:highlight w:val="none"/>
                <w:lang w:eastAsia="zh-CN"/>
              </w:rPr>
              <w:t>（</w:t>
            </w:r>
            <w:r>
              <w:rPr>
                <w:rFonts w:hint="eastAsia" w:ascii="宋体" w:hAnsi="宋体" w:cs="宋体"/>
                <w:snapToGrid w:val="0"/>
                <w:color w:val="auto"/>
                <w:kern w:val="0"/>
                <w:sz w:val="22"/>
                <w:highlight w:val="none"/>
                <w:lang w:val="en-US" w:eastAsia="zh-CN"/>
              </w:rPr>
              <w:t>中标单位需提供纸质标书壹正叁副</w:t>
            </w:r>
            <w:r>
              <w:rPr>
                <w:rFonts w:hint="eastAsia" w:ascii="宋体" w:hAnsi="宋体" w:cs="宋体"/>
                <w:snapToGrid w:val="0"/>
                <w:color w:val="auto"/>
                <w:kern w:val="0"/>
                <w:sz w:val="22"/>
                <w:highlight w:val="none"/>
                <w:lang w:eastAsia="zh-CN"/>
              </w:rPr>
              <w:t>）</w:t>
            </w:r>
            <w:r>
              <w:rPr>
                <w:rFonts w:hint="eastAsia" w:ascii="宋体" w:hAnsi="宋体" w:cs="宋体"/>
                <w:snapToGrid w:val="0"/>
                <w:color w:val="auto"/>
                <w:kern w:val="0"/>
                <w:sz w:val="22"/>
                <w:highlight w:val="none"/>
              </w:rPr>
              <w:t>。</w:t>
            </w:r>
          </w:p>
        </w:tc>
      </w:tr>
      <w:tr w14:paraId="39CA37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15F36970">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15</w:t>
            </w:r>
          </w:p>
        </w:tc>
        <w:tc>
          <w:tcPr>
            <w:tcW w:w="1345" w:type="pct"/>
            <w:vAlign w:val="center"/>
          </w:tcPr>
          <w:p w14:paraId="284D98EB">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投标文件格式</w:t>
            </w:r>
          </w:p>
        </w:tc>
        <w:tc>
          <w:tcPr>
            <w:tcW w:w="3279" w:type="pct"/>
            <w:gridSpan w:val="2"/>
            <w:vAlign w:val="center"/>
          </w:tcPr>
          <w:p w14:paraId="28377089">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详见第七章</w:t>
            </w:r>
          </w:p>
        </w:tc>
      </w:tr>
      <w:tr w14:paraId="66BBA9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565EFFD9">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16</w:t>
            </w:r>
          </w:p>
        </w:tc>
        <w:tc>
          <w:tcPr>
            <w:tcW w:w="1345" w:type="pct"/>
            <w:vAlign w:val="center"/>
          </w:tcPr>
          <w:p w14:paraId="1AB42F3A">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服务期限</w:t>
            </w:r>
          </w:p>
        </w:tc>
        <w:tc>
          <w:tcPr>
            <w:tcW w:w="3279" w:type="pct"/>
            <w:gridSpan w:val="2"/>
            <w:vAlign w:val="center"/>
          </w:tcPr>
          <w:p w14:paraId="5DF71130">
            <w:pPr>
              <w:kinsoku w:val="0"/>
              <w:autoSpaceDE w:val="0"/>
              <w:autoSpaceDN w:val="0"/>
              <w:adjustRightInd w:val="0"/>
              <w:snapToGrid w:val="0"/>
              <w:spacing w:line="360" w:lineRule="auto"/>
              <w:ind w:firstLine="468"/>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服务期限：</w:t>
            </w:r>
            <w:r>
              <w:rPr>
                <w:rFonts w:hint="eastAsia" w:ascii="宋体" w:hAnsi="宋体" w:cs="宋体"/>
                <w:b/>
                <w:bCs/>
                <w:color w:val="auto"/>
                <w:sz w:val="22"/>
                <w:highlight w:val="none"/>
              </w:rPr>
              <w:t>3年（2+1），</w:t>
            </w:r>
            <w:r>
              <w:rPr>
                <w:rFonts w:hint="eastAsia" w:ascii="宋体" w:hAnsi="宋体" w:cs="宋体"/>
                <w:color w:val="auto"/>
                <w:sz w:val="22"/>
                <w:highlight w:val="none"/>
              </w:rPr>
              <w:t>中标后先签订2年经营服务合同，经营期间每年由学校总务处等相关部门进行师生满意度考核，对综合满意度达到80%以上（含80%），且无重大食品安全事件，前2年</w:t>
            </w:r>
            <w:r>
              <w:rPr>
                <w:rFonts w:hint="eastAsia" w:asciiTheme="minorEastAsia" w:hAnsiTheme="minorEastAsia" w:eastAsiaTheme="minorEastAsia" w:cstheme="minorEastAsia"/>
                <w:snapToGrid w:val="0"/>
                <w:color w:val="auto"/>
                <w:kern w:val="0"/>
                <w:sz w:val="22"/>
                <w:highlight w:val="none"/>
              </w:rPr>
              <w:t>合同期内被校方因食品安全负面问题书面约谈整改</w:t>
            </w:r>
            <w:r>
              <w:rPr>
                <w:rFonts w:hint="eastAsia" w:asciiTheme="minorEastAsia" w:hAnsiTheme="minorEastAsia" w:eastAsiaTheme="minorEastAsia" w:cstheme="minorEastAsia"/>
                <w:snapToGrid w:val="0"/>
                <w:color w:val="auto"/>
                <w:kern w:val="0"/>
                <w:sz w:val="22"/>
                <w:highlight w:val="none"/>
                <w:lang w:eastAsia="zh-CN"/>
              </w:rPr>
              <w:t>不多于</w:t>
            </w:r>
            <w:r>
              <w:rPr>
                <w:rFonts w:hint="eastAsia" w:asciiTheme="minorEastAsia" w:hAnsiTheme="minorEastAsia" w:eastAsiaTheme="minorEastAsia" w:cstheme="minorEastAsia"/>
                <w:snapToGrid w:val="0"/>
                <w:color w:val="auto"/>
                <w:kern w:val="0"/>
                <w:sz w:val="22"/>
                <w:highlight w:val="none"/>
              </w:rPr>
              <w:t>3次；被省、市、区市场监管等部门立案查处不多于1次且及时整改落实的，</w:t>
            </w:r>
            <w:r>
              <w:rPr>
                <w:rFonts w:hint="eastAsia" w:asciiTheme="minorEastAsia" w:hAnsiTheme="minorEastAsia" w:eastAsiaTheme="minorEastAsia" w:cstheme="minorEastAsia"/>
                <w:color w:val="auto"/>
                <w:sz w:val="22"/>
                <w:highlight w:val="none"/>
              </w:rPr>
              <w:t>经学校研究同意可以续签第3年合同。</w:t>
            </w:r>
          </w:p>
        </w:tc>
      </w:tr>
      <w:tr w14:paraId="52EB50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7E7D98EB">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17</w:t>
            </w:r>
          </w:p>
        </w:tc>
        <w:tc>
          <w:tcPr>
            <w:tcW w:w="1345" w:type="pct"/>
            <w:vAlign w:val="center"/>
          </w:tcPr>
          <w:p w14:paraId="2034E6A0">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投标截止时间和开标时间</w:t>
            </w:r>
          </w:p>
        </w:tc>
        <w:tc>
          <w:tcPr>
            <w:tcW w:w="3279" w:type="pct"/>
            <w:gridSpan w:val="2"/>
            <w:vAlign w:val="center"/>
          </w:tcPr>
          <w:p w14:paraId="0119C772">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14:paraId="48901B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6FBAC7E1">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18</w:t>
            </w:r>
          </w:p>
        </w:tc>
        <w:tc>
          <w:tcPr>
            <w:tcW w:w="1345" w:type="pct"/>
            <w:vAlign w:val="center"/>
          </w:tcPr>
          <w:p w14:paraId="47035885">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投标文件提交地点</w:t>
            </w:r>
          </w:p>
        </w:tc>
        <w:tc>
          <w:tcPr>
            <w:tcW w:w="3279" w:type="pct"/>
            <w:gridSpan w:val="2"/>
            <w:vAlign w:val="center"/>
          </w:tcPr>
          <w:p w14:paraId="1EBD40A8">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详见招标公告</w:t>
            </w:r>
          </w:p>
        </w:tc>
      </w:tr>
      <w:tr w14:paraId="762F15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3550A18F">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19</w:t>
            </w:r>
          </w:p>
        </w:tc>
        <w:tc>
          <w:tcPr>
            <w:tcW w:w="1345" w:type="pct"/>
            <w:vAlign w:val="center"/>
          </w:tcPr>
          <w:p w14:paraId="7C5125E0">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投标有效期</w:t>
            </w:r>
          </w:p>
        </w:tc>
        <w:tc>
          <w:tcPr>
            <w:tcW w:w="3279" w:type="pct"/>
            <w:gridSpan w:val="2"/>
            <w:vAlign w:val="center"/>
          </w:tcPr>
          <w:p w14:paraId="0B99DFB7">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开标后60天</w:t>
            </w:r>
          </w:p>
        </w:tc>
      </w:tr>
      <w:tr w14:paraId="7DA0C8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261E183A">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20</w:t>
            </w:r>
          </w:p>
        </w:tc>
        <w:tc>
          <w:tcPr>
            <w:tcW w:w="1345" w:type="pct"/>
            <w:vAlign w:val="center"/>
          </w:tcPr>
          <w:p w14:paraId="15B20CAF">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公告公示媒介</w:t>
            </w:r>
          </w:p>
        </w:tc>
        <w:tc>
          <w:tcPr>
            <w:tcW w:w="3279" w:type="pct"/>
            <w:gridSpan w:val="2"/>
            <w:vAlign w:val="center"/>
          </w:tcPr>
          <w:p w14:paraId="4B4675AB">
            <w:pPr>
              <w:kinsoku w:val="0"/>
              <w:autoSpaceDE w:val="0"/>
              <w:autoSpaceDN w:val="0"/>
              <w:adjustRightInd w:val="0"/>
              <w:snapToGrid w:val="0"/>
              <w:spacing w:line="360" w:lineRule="auto"/>
              <w:ind w:firstLine="440" w:firstLineChars="200"/>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宿州市公共资源交易中心门户网（网址：</w:t>
            </w:r>
            <w:r>
              <w:rPr>
                <w:color w:val="auto"/>
                <w:highlight w:val="none"/>
              </w:rPr>
              <w:fldChar w:fldCharType="begin"/>
            </w:r>
            <w:r>
              <w:rPr>
                <w:color w:val="auto"/>
                <w:highlight w:val="none"/>
              </w:rPr>
              <w:instrText xml:space="preserve"> HYPERLINK "http://ggzyjy.ahsz.gov.cn/" </w:instrText>
            </w:r>
            <w:r>
              <w:rPr>
                <w:color w:val="auto"/>
                <w:highlight w:val="none"/>
              </w:rPr>
              <w:fldChar w:fldCharType="separate"/>
            </w:r>
            <w:r>
              <w:rPr>
                <w:rFonts w:hint="eastAsia" w:ascii="宋体" w:hAnsi="宋体" w:cs="宋体"/>
                <w:snapToGrid w:val="0"/>
                <w:color w:val="auto"/>
                <w:kern w:val="0"/>
                <w:sz w:val="22"/>
                <w:highlight w:val="none"/>
              </w:rPr>
              <w:t>http://ggzyjy.ahsz.gov.cn/</w:t>
            </w:r>
            <w:r>
              <w:rPr>
                <w:rFonts w:hint="eastAsia" w:ascii="宋体" w:hAnsi="宋体" w:cs="宋体"/>
                <w:snapToGrid w:val="0"/>
                <w:color w:val="auto"/>
                <w:kern w:val="0"/>
                <w:sz w:val="22"/>
                <w:highlight w:val="none"/>
              </w:rPr>
              <w:fldChar w:fldCharType="end"/>
            </w:r>
            <w:r>
              <w:rPr>
                <w:rFonts w:hint="eastAsia" w:ascii="宋体" w:hAnsi="宋体" w:cs="宋体"/>
                <w:snapToGrid w:val="0"/>
                <w:color w:val="auto"/>
                <w:kern w:val="0"/>
                <w:sz w:val="22"/>
                <w:highlight w:val="none"/>
              </w:rPr>
              <w:t>）和本项目交易平台所在地交易中心门户网（</w:t>
            </w:r>
            <w:r>
              <w:rPr>
                <w:rFonts w:hint="eastAsia" w:ascii="宋体" w:hAnsi="宋体" w:cs="宋体"/>
                <w:snapToGrid w:val="0"/>
                <w:color w:val="auto"/>
                <w:kern w:val="0"/>
                <w:sz w:val="22"/>
                <w:highlight w:val="none"/>
                <w:u w:val="single"/>
              </w:rPr>
              <w:t>网址：</w:t>
            </w:r>
            <w:r>
              <w:rPr>
                <w:color w:val="auto"/>
                <w:highlight w:val="none"/>
              </w:rPr>
              <w:fldChar w:fldCharType="begin"/>
            </w:r>
            <w:r>
              <w:rPr>
                <w:color w:val="auto"/>
                <w:highlight w:val="none"/>
              </w:rPr>
              <w:instrText xml:space="preserve"> HYPERLINK "http://ggzyjy.ahsz.gov.cn/" </w:instrText>
            </w:r>
            <w:r>
              <w:rPr>
                <w:color w:val="auto"/>
                <w:highlight w:val="none"/>
              </w:rPr>
              <w:fldChar w:fldCharType="separate"/>
            </w:r>
            <w:r>
              <w:rPr>
                <w:rFonts w:hint="eastAsia" w:ascii="宋体" w:hAnsi="宋体" w:cs="宋体"/>
                <w:snapToGrid w:val="0"/>
                <w:color w:val="auto"/>
                <w:kern w:val="0"/>
                <w:sz w:val="22"/>
                <w:highlight w:val="none"/>
                <w:u w:val="single"/>
              </w:rPr>
              <w:t>http://ggzyjy.ahsz.gov.cn/</w:t>
            </w:r>
            <w:r>
              <w:rPr>
                <w:rFonts w:hint="eastAsia" w:ascii="宋体" w:hAnsi="宋体" w:cs="宋体"/>
                <w:snapToGrid w:val="0"/>
                <w:color w:val="auto"/>
                <w:kern w:val="0"/>
                <w:sz w:val="22"/>
                <w:highlight w:val="none"/>
                <w:u w:val="single"/>
              </w:rPr>
              <w:fldChar w:fldCharType="end"/>
            </w:r>
            <w:r>
              <w:rPr>
                <w:rFonts w:hint="eastAsia" w:ascii="宋体" w:hAnsi="宋体" w:cs="宋体"/>
                <w:snapToGrid w:val="0"/>
                <w:color w:val="auto"/>
                <w:kern w:val="0"/>
                <w:sz w:val="22"/>
                <w:highlight w:val="none"/>
              </w:rPr>
              <w:t>），并同时在安徽省公共资源交易监管网、安徽省政府采购网发布。</w:t>
            </w:r>
          </w:p>
        </w:tc>
      </w:tr>
      <w:tr w14:paraId="27BCE1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0FCADA87">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21</w:t>
            </w:r>
          </w:p>
        </w:tc>
        <w:tc>
          <w:tcPr>
            <w:tcW w:w="1345" w:type="pct"/>
            <w:vAlign w:val="center"/>
          </w:tcPr>
          <w:p w14:paraId="751A82C2">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b/>
                <w:bCs/>
                <w:snapToGrid w:val="0"/>
                <w:color w:val="auto"/>
                <w:kern w:val="0"/>
                <w:sz w:val="22"/>
                <w:highlight w:val="none"/>
              </w:rPr>
              <w:t>电子投标文件制作注意事项（重要）</w:t>
            </w:r>
          </w:p>
        </w:tc>
        <w:tc>
          <w:tcPr>
            <w:tcW w:w="3279" w:type="pct"/>
            <w:gridSpan w:val="2"/>
            <w:vAlign w:val="center"/>
          </w:tcPr>
          <w:p w14:paraId="4D91EAFE">
            <w:pPr>
              <w:pStyle w:val="28"/>
              <w:kinsoku w:val="0"/>
              <w:autoSpaceDE w:val="0"/>
              <w:autoSpaceDN w:val="0"/>
              <w:adjustRightInd w:val="0"/>
              <w:snapToGrid w:val="0"/>
              <w:spacing w:line="360" w:lineRule="auto"/>
              <w:ind w:firstLine="0" w:firstLineChars="0"/>
              <w:rPr>
                <w:rFonts w:ascii="宋体" w:hAnsi="宋体"/>
                <w:b/>
                <w:color w:val="auto"/>
                <w:sz w:val="22"/>
                <w:szCs w:val="22"/>
                <w:highlight w:val="none"/>
              </w:rPr>
            </w:pPr>
            <w:r>
              <w:rPr>
                <w:rFonts w:hint="eastAsia"/>
                <w:color w:val="auto"/>
                <w:sz w:val="22"/>
                <w:szCs w:val="22"/>
                <w:highlight w:val="none"/>
                <w:lang w:val="en-US"/>
              </w:rPr>
              <w:t>1、</w:t>
            </w:r>
            <w:r>
              <w:rPr>
                <w:rFonts w:hint="eastAsia"/>
                <w:color w:val="auto"/>
                <w:sz w:val="22"/>
                <w:szCs w:val="22"/>
                <w:highlight w:val="none"/>
              </w:rPr>
              <w:t>本项目投标文件组成中另外设置以下节点供投标人上传对应资料，不能对应的，可上传至资格证明文件</w:t>
            </w:r>
            <w:r>
              <w:rPr>
                <w:rFonts w:hint="eastAsia"/>
                <w:color w:val="auto"/>
                <w:sz w:val="22"/>
                <w:szCs w:val="22"/>
                <w:highlight w:val="none"/>
                <w:lang w:val="en-US"/>
              </w:rPr>
              <w:t>中“招标文件规定的其他材料”</w:t>
            </w:r>
            <w:r>
              <w:rPr>
                <w:rFonts w:hint="eastAsia"/>
                <w:color w:val="auto"/>
                <w:sz w:val="22"/>
                <w:szCs w:val="22"/>
                <w:highlight w:val="none"/>
              </w:rPr>
              <w:t>节点</w:t>
            </w:r>
            <w:r>
              <w:rPr>
                <w:rFonts w:hint="eastAsia" w:ascii="宋体" w:hAnsi="宋体"/>
                <w:b/>
                <w:color w:val="auto"/>
                <w:sz w:val="22"/>
                <w:szCs w:val="22"/>
                <w:highlight w:val="none"/>
              </w:rPr>
              <w:t>：</w:t>
            </w:r>
          </w:p>
          <w:p w14:paraId="052B4AA3">
            <w:pPr>
              <w:kinsoku w:val="0"/>
              <w:autoSpaceDE w:val="0"/>
              <w:autoSpaceDN w:val="0"/>
              <w:adjustRightInd w:val="0"/>
              <w:snapToGrid w:val="0"/>
              <w:spacing w:line="360" w:lineRule="auto"/>
              <w:rPr>
                <w:rFonts w:ascii="宋体" w:hAnsi="宋体" w:cs="宋体"/>
                <w:snapToGrid w:val="0"/>
                <w:color w:val="auto"/>
                <w:kern w:val="0"/>
                <w:sz w:val="22"/>
                <w:highlight w:val="none"/>
              </w:rPr>
            </w:pPr>
            <w:r>
              <w:rPr>
                <w:rFonts w:hint="eastAsia" w:ascii="宋体" w:hAnsi="宋体" w:cs="Arial"/>
                <w:color w:val="auto"/>
                <w:sz w:val="22"/>
                <w:highlight w:val="none"/>
              </w:rPr>
              <w:t>2、</w:t>
            </w:r>
            <w:r>
              <w:rPr>
                <w:rFonts w:hint="eastAsia"/>
                <w:color w:val="auto"/>
                <w:sz w:val="22"/>
                <w:highlight w:val="none"/>
                <w:lang w:val="zh-CN"/>
              </w:rPr>
              <w:t>投标人制作完成投标文件PDF格式后请进行预览，仔细检查投标文件的清晰度，保证招标文件要求的扫描件清晰显示，如因 材料模糊不清，导致评标委员会无法辨认的，一切后果由供应商自行承担。</w:t>
            </w:r>
          </w:p>
        </w:tc>
      </w:tr>
      <w:tr w14:paraId="4F6179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62F6BAB9">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22</w:t>
            </w:r>
          </w:p>
        </w:tc>
        <w:tc>
          <w:tcPr>
            <w:tcW w:w="1345" w:type="pct"/>
            <w:vAlign w:val="center"/>
          </w:tcPr>
          <w:p w14:paraId="314F169D">
            <w:pPr>
              <w:pStyle w:val="28"/>
              <w:kinsoku w:val="0"/>
              <w:autoSpaceDE w:val="0"/>
              <w:autoSpaceDN w:val="0"/>
              <w:adjustRightInd w:val="0"/>
              <w:snapToGrid w:val="0"/>
              <w:spacing w:line="360" w:lineRule="auto"/>
              <w:ind w:firstLine="0" w:firstLineChars="0"/>
              <w:rPr>
                <w:rFonts w:ascii="宋体" w:hAnsi="宋体" w:cs="宋体"/>
                <w:snapToGrid w:val="0"/>
                <w:color w:val="auto"/>
                <w:kern w:val="0"/>
                <w:sz w:val="22"/>
                <w:szCs w:val="22"/>
                <w:highlight w:val="none"/>
              </w:rPr>
            </w:pPr>
            <w:r>
              <w:rPr>
                <w:rFonts w:hint="eastAsia"/>
                <w:color w:val="auto"/>
                <w:sz w:val="22"/>
                <w:szCs w:val="22"/>
                <w:highlight w:val="none"/>
              </w:rPr>
              <w:t>电子招投标具体要求</w:t>
            </w:r>
          </w:p>
        </w:tc>
        <w:tc>
          <w:tcPr>
            <w:tcW w:w="3279" w:type="pct"/>
            <w:gridSpan w:val="2"/>
            <w:vAlign w:val="center"/>
          </w:tcPr>
          <w:p w14:paraId="325ACF85">
            <w:pPr>
              <w:pStyle w:val="28"/>
              <w:kinsoku w:val="0"/>
              <w:autoSpaceDE w:val="0"/>
              <w:autoSpaceDN w:val="0"/>
              <w:adjustRightInd w:val="0"/>
              <w:snapToGrid w:val="0"/>
              <w:spacing w:line="360" w:lineRule="auto"/>
              <w:ind w:firstLine="0" w:firstLineChars="0"/>
              <w:rPr>
                <w:color w:val="auto"/>
                <w:sz w:val="22"/>
                <w:szCs w:val="22"/>
                <w:highlight w:val="none"/>
                <w:lang w:val="en-US"/>
              </w:rPr>
            </w:pPr>
            <w:r>
              <w:rPr>
                <w:rFonts w:hint="eastAsia"/>
                <w:color w:val="auto"/>
                <w:sz w:val="22"/>
                <w:szCs w:val="22"/>
                <w:highlight w:val="none"/>
                <w:lang w:val="en-US"/>
              </w:rPr>
              <w:t>本工程采用全流程网上招投标。</w:t>
            </w:r>
          </w:p>
          <w:p w14:paraId="36180575">
            <w:pPr>
              <w:pStyle w:val="28"/>
              <w:kinsoku w:val="0"/>
              <w:autoSpaceDE w:val="0"/>
              <w:autoSpaceDN w:val="0"/>
              <w:adjustRightInd w:val="0"/>
              <w:snapToGrid w:val="0"/>
              <w:spacing w:line="360" w:lineRule="auto"/>
              <w:ind w:firstLine="0" w:firstLineChars="0"/>
              <w:rPr>
                <w:color w:val="auto"/>
                <w:sz w:val="22"/>
                <w:szCs w:val="22"/>
                <w:highlight w:val="none"/>
                <w:lang w:val="en-US"/>
              </w:rPr>
            </w:pPr>
            <w:r>
              <w:rPr>
                <w:rFonts w:hint="eastAsia"/>
                <w:color w:val="auto"/>
                <w:sz w:val="22"/>
                <w:szCs w:val="22"/>
                <w:highlight w:val="none"/>
                <w:lang w:val="en-US"/>
              </w:rPr>
              <w:t>（1）投标人提交的投标文件应当全部使用招标文件所要求的投标文件格式，生成的电子加密PDF投标文件。</w:t>
            </w:r>
          </w:p>
          <w:p w14:paraId="5D736721">
            <w:pPr>
              <w:pStyle w:val="28"/>
              <w:kinsoku w:val="0"/>
              <w:autoSpaceDE w:val="0"/>
              <w:autoSpaceDN w:val="0"/>
              <w:adjustRightInd w:val="0"/>
              <w:snapToGrid w:val="0"/>
              <w:spacing w:line="360" w:lineRule="auto"/>
              <w:ind w:firstLine="0" w:firstLineChars="0"/>
              <w:rPr>
                <w:color w:val="auto"/>
                <w:sz w:val="22"/>
                <w:szCs w:val="22"/>
                <w:highlight w:val="none"/>
                <w:lang w:val="en-US"/>
              </w:rPr>
            </w:pPr>
            <w:r>
              <w:rPr>
                <w:rFonts w:hint="eastAsia"/>
                <w:color w:val="auto"/>
                <w:sz w:val="22"/>
                <w:szCs w:val="22"/>
                <w:highlight w:val="none"/>
                <w:lang w:val="en-US"/>
              </w:rPr>
              <w:t>（2）在编制投标文件时，以最后发出的电子招标文件为准进行投标文件编制。</w:t>
            </w:r>
          </w:p>
          <w:p w14:paraId="66FC5F29">
            <w:pPr>
              <w:pStyle w:val="28"/>
              <w:kinsoku w:val="0"/>
              <w:autoSpaceDE w:val="0"/>
              <w:autoSpaceDN w:val="0"/>
              <w:adjustRightInd w:val="0"/>
              <w:snapToGrid w:val="0"/>
              <w:spacing w:line="360" w:lineRule="auto"/>
              <w:ind w:firstLine="0" w:firstLineChars="0"/>
              <w:rPr>
                <w:color w:val="auto"/>
                <w:sz w:val="22"/>
                <w:szCs w:val="22"/>
                <w:highlight w:val="none"/>
                <w:lang w:val="en-US"/>
              </w:rPr>
            </w:pPr>
            <w:r>
              <w:rPr>
                <w:rFonts w:hint="eastAsia"/>
                <w:color w:val="auto"/>
                <w:sz w:val="22"/>
                <w:szCs w:val="22"/>
                <w:highlight w:val="none"/>
                <w:lang w:val="en-US"/>
              </w:rPr>
              <w:t>（3）投标人必须通过邮箱发送投标文件电子版至指定的邮箱。</w:t>
            </w:r>
          </w:p>
          <w:p w14:paraId="282EDC60">
            <w:pPr>
              <w:pStyle w:val="28"/>
              <w:kinsoku w:val="0"/>
              <w:autoSpaceDE w:val="0"/>
              <w:autoSpaceDN w:val="0"/>
              <w:adjustRightInd w:val="0"/>
              <w:snapToGrid w:val="0"/>
              <w:spacing w:line="360" w:lineRule="auto"/>
              <w:ind w:firstLine="0" w:firstLineChars="0"/>
              <w:rPr>
                <w:rFonts w:ascii="宋体" w:hAnsi="宋体" w:cs="宋体"/>
                <w:snapToGrid w:val="0"/>
                <w:color w:val="auto"/>
                <w:kern w:val="0"/>
                <w:sz w:val="22"/>
                <w:szCs w:val="22"/>
                <w:highlight w:val="none"/>
              </w:rPr>
            </w:pPr>
            <w:r>
              <w:rPr>
                <w:rFonts w:hint="eastAsia"/>
                <w:color w:val="auto"/>
                <w:sz w:val="22"/>
                <w:szCs w:val="22"/>
                <w:highlight w:val="none"/>
                <w:lang w:val="en-US"/>
              </w:rPr>
              <w:t>不符合以上三项内容中任意一项要求，经评委会评审可以按无效标处理。</w:t>
            </w:r>
          </w:p>
        </w:tc>
      </w:tr>
      <w:tr w14:paraId="0E9A3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0EADCB56">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23</w:t>
            </w:r>
          </w:p>
        </w:tc>
        <w:tc>
          <w:tcPr>
            <w:tcW w:w="1345" w:type="pct"/>
            <w:vAlign w:val="center"/>
          </w:tcPr>
          <w:p w14:paraId="290390CA">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b/>
                <w:bCs/>
                <w:snapToGrid w:val="0"/>
                <w:color w:val="auto"/>
                <w:kern w:val="0"/>
                <w:sz w:val="22"/>
                <w:highlight w:val="none"/>
              </w:rPr>
              <w:t>注意事项</w:t>
            </w:r>
          </w:p>
        </w:tc>
        <w:tc>
          <w:tcPr>
            <w:tcW w:w="3279" w:type="pct"/>
            <w:gridSpan w:val="2"/>
            <w:vAlign w:val="center"/>
          </w:tcPr>
          <w:p w14:paraId="472BDF57">
            <w:pPr>
              <w:pStyle w:val="28"/>
              <w:kinsoku w:val="0"/>
              <w:autoSpaceDE w:val="0"/>
              <w:autoSpaceDN w:val="0"/>
              <w:adjustRightInd w:val="0"/>
              <w:snapToGrid w:val="0"/>
              <w:spacing w:line="360" w:lineRule="auto"/>
              <w:ind w:firstLine="0" w:firstLineChars="0"/>
              <w:rPr>
                <w:color w:val="auto"/>
                <w:sz w:val="22"/>
                <w:szCs w:val="22"/>
                <w:highlight w:val="none"/>
                <w:lang w:val="en-US"/>
              </w:rPr>
            </w:pPr>
            <w:r>
              <w:rPr>
                <w:rFonts w:hint="eastAsia"/>
                <w:color w:val="auto"/>
                <w:sz w:val="22"/>
                <w:szCs w:val="22"/>
                <w:highlight w:val="none"/>
                <w:lang w:val="en-US"/>
              </w:rPr>
              <w:t>开标方式：</w:t>
            </w:r>
          </w:p>
          <w:p w14:paraId="0B2FD0A0">
            <w:pPr>
              <w:pStyle w:val="28"/>
              <w:kinsoku w:val="0"/>
              <w:autoSpaceDE w:val="0"/>
              <w:autoSpaceDN w:val="0"/>
              <w:adjustRightInd w:val="0"/>
              <w:snapToGrid w:val="0"/>
              <w:spacing w:line="360" w:lineRule="auto"/>
              <w:ind w:left="440" w:hanging="440" w:hangingChars="200"/>
              <w:rPr>
                <w:rFonts w:hint="eastAsia"/>
                <w:color w:val="auto"/>
                <w:sz w:val="22"/>
                <w:szCs w:val="22"/>
                <w:highlight w:val="none"/>
                <w:lang w:val="en-US"/>
              </w:rPr>
            </w:pPr>
            <w:r>
              <w:rPr>
                <w:rFonts w:hint="eastAsia"/>
                <w:color w:val="auto"/>
                <w:sz w:val="22"/>
                <w:szCs w:val="22"/>
                <w:highlight w:val="none"/>
                <w:lang w:val="en-US"/>
              </w:rPr>
              <w:t>1、本项目不要求投标人到达开标现场，本次招标采用邮箱</w:t>
            </w:r>
          </w:p>
          <w:p w14:paraId="240E9EF7">
            <w:pPr>
              <w:pStyle w:val="28"/>
              <w:kinsoku w:val="0"/>
              <w:autoSpaceDE w:val="0"/>
              <w:autoSpaceDN w:val="0"/>
              <w:adjustRightInd w:val="0"/>
              <w:snapToGrid w:val="0"/>
              <w:spacing w:line="360" w:lineRule="auto"/>
              <w:ind w:left="440" w:hanging="440" w:hangingChars="200"/>
              <w:rPr>
                <w:rFonts w:hint="eastAsia"/>
                <w:color w:val="auto"/>
                <w:sz w:val="22"/>
                <w:szCs w:val="22"/>
                <w:highlight w:val="none"/>
                <w:lang w:val="en-US"/>
              </w:rPr>
            </w:pPr>
            <w:r>
              <w:rPr>
                <w:rFonts w:hint="eastAsia"/>
                <w:color w:val="auto"/>
                <w:sz w:val="22"/>
                <w:szCs w:val="22"/>
                <w:highlight w:val="none"/>
                <w:lang w:val="en-US"/>
              </w:rPr>
              <w:t>递交投标文件。投标人的投标文件须按招标文件要求进行编</w:t>
            </w:r>
          </w:p>
          <w:p w14:paraId="392FE717">
            <w:pPr>
              <w:pStyle w:val="28"/>
              <w:kinsoku w:val="0"/>
              <w:autoSpaceDE w:val="0"/>
              <w:autoSpaceDN w:val="0"/>
              <w:adjustRightInd w:val="0"/>
              <w:snapToGrid w:val="0"/>
              <w:spacing w:line="360" w:lineRule="auto"/>
              <w:ind w:left="440" w:hanging="440" w:hangingChars="200"/>
              <w:rPr>
                <w:rFonts w:hint="eastAsia"/>
                <w:color w:val="auto"/>
                <w:sz w:val="22"/>
                <w:szCs w:val="22"/>
                <w:highlight w:val="none"/>
                <w:lang w:val="en-US"/>
              </w:rPr>
            </w:pPr>
            <w:r>
              <w:rPr>
                <w:rFonts w:hint="eastAsia"/>
                <w:color w:val="auto"/>
                <w:sz w:val="22"/>
                <w:szCs w:val="22"/>
                <w:highlight w:val="none"/>
                <w:lang w:val="en-US"/>
              </w:rPr>
              <w:t>制并签字盖章，将签字盖章后的投标文件彩色扫描生成一个</w:t>
            </w:r>
          </w:p>
          <w:p w14:paraId="79E49BA4">
            <w:pPr>
              <w:pStyle w:val="28"/>
              <w:kinsoku w:val="0"/>
              <w:autoSpaceDE w:val="0"/>
              <w:autoSpaceDN w:val="0"/>
              <w:adjustRightInd w:val="0"/>
              <w:snapToGrid w:val="0"/>
              <w:spacing w:line="360" w:lineRule="auto"/>
              <w:ind w:left="440" w:hanging="440" w:hangingChars="200"/>
              <w:rPr>
                <w:color w:val="auto"/>
                <w:sz w:val="22"/>
                <w:szCs w:val="22"/>
                <w:highlight w:val="none"/>
                <w:lang w:val="en-US"/>
              </w:rPr>
            </w:pPr>
            <w:r>
              <w:rPr>
                <w:rFonts w:hint="eastAsia"/>
                <w:color w:val="auto"/>
                <w:sz w:val="22"/>
                <w:szCs w:val="22"/>
                <w:highlight w:val="none"/>
                <w:lang w:val="en-US"/>
              </w:rPr>
              <w:t>加密PDF文档，投标文件提交截止时间前发送至邮箱</w:t>
            </w:r>
            <w:r>
              <w:rPr>
                <w:rFonts w:hint="eastAsia"/>
                <w:color w:val="auto"/>
                <w:sz w:val="22"/>
                <w:szCs w:val="22"/>
                <w:highlight w:val="none"/>
                <w:lang w:val="en-US" w:eastAsia="zh-CN"/>
              </w:rPr>
              <w:t>408519600</w:t>
            </w:r>
            <w:r>
              <w:rPr>
                <w:rFonts w:hint="eastAsia"/>
                <w:color w:val="auto"/>
                <w:sz w:val="22"/>
                <w:szCs w:val="22"/>
                <w:highlight w:val="none"/>
                <w:lang w:val="en-US"/>
              </w:rPr>
              <w:t>@qq.com。</w:t>
            </w:r>
          </w:p>
          <w:p w14:paraId="6E37EDCE">
            <w:pPr>
              <w:pStyle w:val="28"/>
              <w:kinsoku w:val="0"/>
              <w:autoSpaceDE w:val="0"/>
              <w:autoSpaceDN w:val="0"/>
              <w:adjustRightInd w:val="0"/>
              <w:snapToGrid w:val="0"/>
              <w:spacing w:line="360" w:lineRule="auto"/>
              <w:ind w:firstLine="0" w:firstLineChars="0"/>
              <w:rPr>
                <w:color w:val="auto"/>
                <w:sz w:val="22"/>
                <w:szCs w:val="22"/>
                <w:highlight w:val="none"/>
                <w:lang w:val="en-US"/>
              </w:rPr>
            </w:pPr>
            <w:r>
              <w:rPr>
                <w:rFonts w:hint="eastAsia"/>
                <w:color w:val="auto"/>
                <w:sz w:val="22"/>
                <w:szCs w:val="22"/>
                <w:highlight w:val="none"/>
                <w:lang w:val="en-US"/>
              </w:rPr>
              <w:t>2、本次招标签到以在线验证方式进行。于202</w:t>
            </w:r>
            <w:r>
              <w:rPr>
                <w:rFonts w:hint="eastAsia"/>
                <w:color w:val="auto"/>
                <w:sz w:val="22"/>
                <w:szCs w:val="22"/>
                <w:highlight w:val="none"/>
                <w:lang w:val="en-US" w:eastAsia="zh-CN"/>
              </w:rPr>
              <w:t>4</w:t>
            </w:r>
            <w:r>
              <w:rPr>
                <w:rFonts w:hint="eastAsia"/>
                <w:color w:val="auto"/>
                <w:sz w:val="22"/>
                <w:szCs w:val="22"/>
                <w:highlight w:val="none"/>
                <w:lang w:val="en-US"/>
              </w:rPr>
              <w:t>年</w:t>
            </w:r>
            <w:r>
              <w:rPr>
                <w:rFonts w:hint="eastAsia"/>
                <w:color w:val="auto"/>
                <w:sz w:val="22"/>
                <w:szCs w:val="22"/>
                <w:highlight w:val="none"/>
                <w:lang w:val="en-US" w:eastAsia="zh-CN"/>
              </w:rPr>
              <w:t>8</w:t>
            </w:r>
            <w:r>
              <w:rPr>
                <w:rFonts w:hint="eastAsia"/>
                <w:color w:val="auto"/>
                <w:sz w:val="22"/>
                <w:szCs w:val="22"/>
                <w:highlight w:val="none"/>
                <w:lang w:val="en-US"/>
              </w:rPr>
              <w:t>月</w:t>
            </w:r>
            <w:r>
              <w:rPr>
                <w:rFonts w:hint="eastAsia"/>
                <w:color w:val="auto"/>
                <w:sz w:val="22"/>
                <w:szCs w:val="22"/>
                <w:highlight w:val="none"/>
                <w:lang w:val="en-US" w:eastAsia="zh-CN"/>
              </w:rPr>
              <w:t>17</w:t>
            </w:r>
            <w:r>
              <w:rPr>
                <w:rFonts w:hint="eastAsia"/>
                <w:color w:val="auto"/>
                <w:sz w:val="22"/>
                <w:szCs w:val="22"/>
                <w:highlight w:val="none"/>
                <w:lang w:val="en-US"/>
              </w:rPr>
              <w:t>日0</w:t>
            </w:r>
            <w:r>
              <w:rPr>
                <w:rFonts w:hint="eastAsia"/>
                <w:color w:val="auto"/>
                <w:sz w:val="22"/>
                <w:szCs w:val="22"/>
                <w:highlight w:val="none"/>
                <w:lang w:val="en-US" w:eastAsia="zh-CN"/>
              </w:rPr>
              <w:t>8</w:t>
            </w:r>
            <w:r>
              <w:rPr>
                <w:rFonts w:hint="eastAsia"/>
                <w:color w:val="auto"/>
                <w:sz w:val="22"/>
                <w:szCs w:val="22"/>
                <w:highlight w:val="none"/>
                <w:lang w:val="en-US"/>
              </w:rPr>
              <w:t>时</w:t>
            </w:r>
            <w:r>
              <w:rPr>
                <w:rFonts w:hint="eastAsia"/>
                <w:color w:val="auto"/>
                <w:sz w:val="22"/>
                <w:szCs w:val="22"/>
                <w:highlight w:val="none"/>
                <w:lang w:val="en-US" w:eastAsia="zh-CN"/>
              </w:rPr>
              <w:t>30</w:t>
            </w:r>
            <w:r>
              <w:rPr>
                <w:rFonts w:hint="eastAsia"/>
                <w:color w:val="auto"/>
                <w:sz w:val="22"/>
                <w:szCs w:val="22"/>
                <w:highlight w:val="none"/>
                <w:lang w:val="en-US"/>
              </w:rPr>
              <w:t>分开始申请加入QQ群</w:t>
            </w:r>
            <w:r>
              <w:rPr>
                <w:rFonts w:hint="eastAsia"/>
                <w:color w:val="auto"/>
                <w:sz w:val="22"/>
                <w:szCs w:val="22"/>
                <w:highlight w:val="none"/>
                <w:lang w:val="en-US" w:eastAsia="zh-CN"/>
              </w:rPr>
              <w:t>（</w:t>
            </w:r>
            <w:r>
              <w:rPr>
                <w:rFonts w:hint="eastAsia"/>
                <w:b/>
                <w:bCs/>
                <w:color w:val="auto"/>
                <w:sz w:val="22"/>
                <w:szCs w:val="22"/>
                <w:highlight w:val="none"/>
                <w:u w:val="single"/>
                <w:lang w:val="en-US" w:eastAsia="zh-CN"/>
              </w:rPr>
              <w:t>239523818</w:t>
            </w:r>
            <w:r>
              <w:rPr>
                <w:rFonts w:hint="eastAsia"/>
                <w:color w:val="auto"/>
                <w:sz w:val="22"/>
                <w:szCs w:val="22"/>
                <w:highlight w:val="none"/>
                <w:lang w:val="en-US" w:eastAsia="zh-CN"/>
              </w:rPr>
              <w:t>）</w:t>
            </w:r>
            <w:r>
              <w:rPr>
                <w:rFonts w:hint="eastAsia"/>
                <w:color w:val="auto"/>
                <w:sz w:val="22"/>
                <w:szCs w:val="22"/>
                <w:highlight w:val="none"/>
                <w:lang w:val="en-US"/>
              </w:rPr>
              <w:t>,加入群时备注“公司名称+法定代表人或其委托代理人姓名+联系电话”。</w:t>
            </w:r>
          </w:p>
          <w:p w14:paraId="50309B0B">
            <w:pPr>
              <w:pStyle w:val="28"/>
              <w:kinsoku w:val="0"/>
              <w:autoSpaceDE w:val="0"/>
              <w:autoSpaceDN w:val="0"/>
              <w:adjustRightInd w:val="0"/>
              <w:snapToGrid w:val="0"/>
              <w:spacing w:line="360" w:lineRule="auto"/>
              <w:ind w:firstLine="0" w:firstLineChars="0"/>
              <w:rPr>
                <w:color w:val="auto"/>
                <w:sz w:val="22"/>
                <w:szCs w:val="22"/>
                <w:highlight w:val="none"/>
                <w:lang w:val="en-US"/>
              </w:rPr>
            </w:pPr>
            <w:r>
              <w:rPr>
                <w:rFonts w:hint="eastAsia"/>
                <w:color w:val="auto"/>
                <w:sz w:val="22"/>
                <w:szCs w:val="22"/>
                <w:highlight w:val="none"/>
                <w:lang w:val="en-US"/>
              </w:rPr>
              <w:t>3、202</w:t>
            </w:r>
            <w:r>
              <w:rPr>
                <w:rFonts w:hint="eastAsia"/>
                <w:color w:val="auto"/>
                <w:sz w:val="22"/>
                <w:szCs w:val="22"/>
                <w:highlight w:val="none"/>
                <w:lang w:val="en-US" w:eastAsia="zh-CN"/>
              </w:rPr>
              <w:t>4</w:t>
            </w:r>
            <w:r>
              <w:rPr>
                <w:rFonts w:hint="eastAsia"/>
                <w:color w:val="auto"/>
                <w:sz w:val="22"/>
                <w:szCs w:val="22"/>
                <w:highlight w:val="none"/>
                <w:lang w:val="en-US"/>
              </w:rPr>
              <w:t>年</w:t>
            </w:r>
            <w:r>
              <w:rPr>
                <w:rFonts w:hint="eastAsia"/>
                <w:color w:val="auto"/>
                <w:sz w:val="22"/>
                <w:szCs w:val="22"/>
                <w:highlight w:val="none"/>
                <w:lang w:val="en-US" w:eastAsia="zh-CN"/>
              </w:rPr>
              <w:t>8</w:t>
            </w:r>
            <w:r>
              <w:rPr>
                <w:rFonts w:hint="eastAsia"/>
                <w:color w:val="auto"/>
                <w:sz w:val="22"/>
                <w:szCs w:val="22"/>
                <w:highlight w:val="none"/>
                <w:lang w:val="en-US"/>
              </w:rPr>
              <w:t>月</w:t>
            </w:r>
            <w:r>
              <w:rPr>
                <w:rFonts w:hint="eastAsia"/>
                <w:color w:val="auto"/>
                <w:sz w:val="22"/>
                <w:szCs w:val="22"/>
                <w:highlight w:val="none"/>
                <w:lang w:val="en-US" w:eastAsia="zh-CN"/>
              </w:rPr>
              <w:t>17</w:t>
            </w:r>
            <w:r>
              <w:rPr>
                <w:rFonts w:hint="eastAsia"/>
                <w:color w:val="auto"/>
                <w:sz w:val="22"/>
                <w:szCs w:val="22"/>
                <w:highlight w:val="none"/>
                <w:lang w:val="en-US"/>
              </w:rPr>
              <w:t>日</w:t>
            </w:r>
            <w:r>
              <w:rPr>
                <w:rFonts w:hint="eastAsia"/>
                <w:color w:val="auto"/>
                <w:sz w:val="22"/>
                <w:szCs w:val="22"/>
                <w:highlight w:val="none"/>
                <w:lang w:val="en-US" w:eastAsia="zh-CN"/>
              </w:rPr>
              <w:t>09</w:t>
            </w:r>
            <w:r>
              <w:rPr>
                <w:rFonts w:hint="eastAsia"/>
                <w:color w:val="auto"/>
                <w:sz w:val="22"/>
                <w:szCs w:val="22"/>
                <w:highlight w:val="none"/>
                <w:lang w:val="en-US"/>
              </w:rPr>
              <w:t>时00分开启视频直播并开标。</w:t>
            </w:r>
          </w:p>
          <w:p w14:paraId="6C793E6D">
            <w:pPr>
              <w:pStyle w:val="28"/>
              <w:kinsoku w:val="0"/>
              <w:autoSpaceDE w:val="0"/>
              <w:autoSpaceDN w:val="0"/>
              <w:adjustRightInd w:val="0"/>
              <w:snapToGrid w:val="0"/>
              <w:spacing w:line="360" w:lineRule="auto"/>
              <w:ind w:firstLine="0" w:firstLineChars="0"/>
              <w:rPr>
                <w:color w:val="auto"/>
                <w:sz w:val="22"/>
                <w:szCs w:val="22"/>
                <w:highlight w:val="none"/>
                <w:lang w:val="en-US"/>
              </w:rPr>
            </w:pPr>
            <w:r>
              <w:rPr>
                <w:rFonts w:hint="eastAsia"/>
                <w:color w:val="auto"/>
                <w:sz w:val="22"/>
                <w:szCs w:val="22"/>
                <w:highlight w:val="none"/>
                <w:lang w:val="en-US"/>
              </w:rPr>
              <w:t>4、在宣布发送解密密码后30分钟内将解密密码（并注明单位名称+联系人姓名+手机号码）发送至邮箱：</w:t>
            </w:r>
            <w:r>
              <w:rPr>
                <w:rFonts w:hint="eastAsia"/>
                <w:color w:val="auto"/>
                <w:sz w:val="22"/>
                <w:szCs w:val="22"/>
                <w:highlight w:val="none"/>
                <w:u w:val="single"/>
                <w:lang w:val="en-US" w:eastAsia="zh-CN"/>
              </w:rPr>
              <w:t xml:space="preserve"> 408519600 </w:t>
            </w:r>
            <w:r>
              <w:rPr>
                <w:rFonts w:hint="eastAsia"/>
                <w:color w:val="auto"/>
                <w:sz w:val="22"/>
                <w:szCs w:val="22"/>
                <w:highlight w:val="none"/>
                <w:lang w:val="en-US"/>
              </w:rPr>
              <w:t>@qq.com。（未能及时发送“密码”的或密码错误的无法进行解密的，按无效标处理）。</w:t>
            </w:r>
          </w:p>
          <w:p w14:paraId="7B565842">
            <w:pPr>
              <w:pStyle w:val="28"/>
              <w:kinsoku w:val="0"/>
              <w:autoSpaceDE w:val="0"/>
              <w:autoSpaceDN w:val="0"/>
              <w:adjustRightInd w:val="0"/>
              <w:snapToGrid w:val="0"/>
              <w:spacing w:line="360" w:lineRule="auto"/>
              <w:ind w:firstLine="0" w:firstLineChars="0"/>
              <w:rPr>
                <w:color w:val="auto"/>
                <w:sz w:val="22"/>
                <w:szCs w:val="22"/>
                <w:highlight w:val="none"/>
                <w:lang w:val="en-US"/>
              </w:rPr>
            </w:pPr>
            <w:r>
              <w:rPr>
                <w:rFonts w:hint="eastAsia"/>
                <w:color w:val="auto"/>
                <w:sz w:val="22"/>
                <w:szCs w:val="22"/>
                <w:highlight w:val="none"/>
                <w:lang w:val="en-US"/>
              </w:rPr>
              <w:t>5、本项目开评标过程中的询标、澄清等程序均采用邮箱发送方式进行，开标会议结束后，请各投标人及时查看邮箱（投标文件递交时邮箱），询标、澄清等响应时间</w:t>
            </w:r>
            <w:r>
              <w:rPr>
                <w:rFonts w:hint="eastAsia"/>
                <w:color w:val="auto"/>
                <w:sz w:val="22"/>
                <w:szCs w:val="22"/>
                <w:highlight w:val="none"/>
                <w:lang w:val="en-US" w:eastAsia="zh-CN"/>
              </w:rPr>
              <w:t>不多于</w:t>
            </w:r>
            <w:r>
              <w:rPr>
                <w:rFonts w:hint="eastAsia"/>
                <w:color w:val="auto"/>
                <w:sz w:val="22"/>
                <w:szCs w:val="22"/>
                <w:highlight w:val="none"/>
                <w:lang w:val="en-US"/>
              </w:rPr>
              <w:t>询标、澄清等发起后15分钟，若超过15分钟，视为放弃解释权力，评标小组按不利于投标人解释处理。</w:t>
            </w:r>
          </w:p>
          <w:p w14:paraId="139FE0D4">
            <w:pPr>
              <w:tabs>
                <w:tab w:val="left" w:pos="2213"/>
              </w:tabs>
              <w:kinsoku w:val="0"/>
              <w:autoSpaceDE w:val="0"/>
              <w:autoSpaceDN w:val="0"/>
              <w:adjustRightInd w:val="0"/>
              <w:snapToGrid w:val="0"/>
              <w:spacing w:line="360" w:lineRule="auto"/>
              <w:rPr>
                <w:rFonts w:ascii="宋体" w:hAnsi="宋体" w:cs="宋体"/>
                <w:bCs/>
                <w:snapToGrid w:val="0"/>
                <w:color w:val="auto"/>
                <w:kern w:val="0"/>
                <w:sz w:val="22"/>
                <w:highlight w:val="none"/>
              </w:rPr>
            </w:pPr>
            <w:r>
              <w:rPr>
                <w:rFonts w:hint="eastAsia"/>
                <w:color w:val="auto"/>
                <w:sz w:val="22"/>
                <w:highlight w:val="none"/>
              </w:rPr>
              <w:t>6、投标人自身原因导致解密失败，风险由投标人自行承担。因投标人没有及时登录直播间、密码发送、询标、澄清等等环节导致的一切后果，由投标人自行承担。</w:t>
            </w:r>
          </w:p>
        </w:tc>
      </w:tr>
      <w:tr w14:paraId="21353F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49D58AB2">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24</w:t>
            </w:r>
          </w:p>
        </w:tc>
        <w:tc>
          <w:tcPr>
            <w:tcW w:w="1345" w:type="pct"/>
            <w:vAlign w:val="center"/>
          </w:tcPr>
          <w:p w14:paraId="27D6F10A">
            <w:pPr>
              <w:kinsoku w:val="0"/>
              <w:autoSpaceDE w:val="0"/>
              <w:autoSpaceDN w:val="0"/>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其它</w:t>
            </w:r>
          </w:p>
        </w:tc>
        <w:tc>
          <w:tcPr>
            <w:tcW w:w="3279" w:type="pct"/>
            <w:gridSpan w:val="2"/>
            <w:vAlign w:val="center"/>
          </w:tcPr>
          <w:p w14:paraId="13BCC237">
            <w:pPr>
              <w:kinsoku w:val="0"/>
              <w:autoSpaceDE w:val="0"/>
              <w:autoSpaceDN w:val="0"/>
              <w:adjustRightInd w:val="0"/>
              <w:snapToGrid w:val="0"/>
              <w:spacing w:line="360" w:lineRule="auto"/>
              <w:jc w:val="left"/>
              <w:rPr>
                <w:rFonts w:ascii="宋体" w:hAnsi="宋体"/>
                <w:b/>
                <w:color w:val="auto"/>
                <w:kern w:val="0"/>
                <w:sz w:val="22"/>
                <w:highlight w:val="none"/>
              </w:rPr>
            </w:pPr>
            <w:r>
              <w:rPr>
                <w:rFonts w:hint="eastAsia" w:ascii="宋体" w:hAnsi="宋体"/>
                <w:b/>
                <w:color w:val="auto"/>
                <w:kern w:val="0"/>
                <w:sz w:val="22"/>
                <w:highlight w:val="none"/>
              </w:rPr>
              <w:t>（一）招标代理费：</w:t>
            </w:r>
          </w:p>
          <w:p w14:paraId="703FFD8D">
            <w:pPr>
              <w:kinsoku w:val="0"/>
              <w:autoSpaceDE w:val="0"/>
              <w:autoSpaceDN w:val="0"/>
              <w:adjustRightInd w:val="0"/>
              <w:snapToGrid w:val="0"/>
              <w:spacing w:line="360" w:lineRule="auto"/>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招标代理费：中标人参照原国家计委计价﹝2002﹞1980号文件的60%收取</w:t>
            </w:r>
            <w:r>
              <w:rPr>
                <w:rFonts w:hint="eastAsia" w:ascii="宋体" w:hAnsi="宋体" w:cs="宋体"/>
                <w:b/>
                <w:bCs/>
                <w:color w:val="auto"/>
                <w:sz w:val="22"/>
                <w:highlight w:val="none"/>
                <w:lang w:eastAsia="zh-CN"/>
              </w:rPr>
              <w:t>，</w:t>
            </w:r>
            <w:r>
              <w:rPr>
                <w:rFonts w:hint="eastAsia" w:ascii="宋体" w:hAnsi="宋体" w:cs="宋体"/>
                <w:b/>
                <w:bCs/>
                <w:color w:val="auto"/>
                <w:sz w:val="22"/>
                <w:highlight w:val="none"/>
                <w:lang w:val="en-US" w:eastAsia="zh-CN"/>
              </w:rPr>
              <w:t>专家评审费据实结算</w:t>
            </w:r>
            <w:r>
              <w:rPr>
                <w:rFonts w:hint="eastAsia" w:ascii="宋体" w:hAnsi="宋体" w:cs="宋体"/>
                <w:b/>
                <w:bCs/>
                <w:color w:val="auto"/>
                <w:sz w:val="22"/>
                <w:highlight w:val="none"/>
              </w:rPr>
              <w:t>。</w:t>
            </w:r>
          </w:p>
          <w:p w14:paraId="6ACD7EC4">
            <w:pPr>
              <w:kinsoku w:val="0"/>
              <w:autoSpaceDE w:val="0"/>
              <w:autoSpaceDN w:val="0"/>
              <w:adjustRightInd w:val="0"/>
              <w:snapToGrid w:val="0"/>
              <w:spacing w:line="360" w:lineRule="auto"/>
              <w:ind w:firstLine="442" w:firstLineChars="200"/>
              <w:rPr>
                <w:color w:val="auto"/>
                <w:sz w:val="22"/>
                <w:highlight w:val="none"/>
              </w:rPr>
            </w:pPr>
            <w:r>
              <w:rPr>
                <w:rFonts w:hint="eastAsia" w:ascii="宋体" w:hAnsi="宋体" w:cs="宋体"/>
                <w:b/>
                <w:bCs/>
                <w:color w:val="auto"/>
                <w:sz w:val="22"/>
                <w:highlight w:val="none"/>
              </w:rPr>
              <w:t>以上费用，不单独列出，投标人自行考虑，在领取中标通知书前支付给招标代理机构。</w:t>
            </w:r>
          </w:p>
          <w:p w14:paraId="7EDCDDFF">
            <w:pPr>
              <w:tabs>
                <w:tab w:val="left" w:pos="2213"/>
              </w:tabs>
              <w:kinsoku w:val="0"/>
              <w:autoSpaceDE w:val="0"/>
              <w:autoSpaceDN w:val="0"/>
              <w:adjustRightInd w:val="0"/>
              <w:snapToGrid w:val="0"/>
              <w:spacing w:line="360" w:lineRule="auto"/>
              <w:ind w:firstLine="440" w:firstLineChars="200"/>
              <w:rPr>
                <w:rFonts w:ascii="宋体" w:hAnsi="宋体" w:cs="宋体"/>
                <w:bCs/>
                <w:snapToGrid w:val="0"/>
                <w:color w:val="auto"/>
                <w:kern w:val="0"/>
                <w:sz w:val="22"/>
                <w:highlight w:val="none"/>
              </w:rPr>
            </w:pPr>
            <w:r>
              <w:rPr>
                <w:rFonts w:hint="eastAsia" w:ascii="宋体" w:hAnsi="宋体" w:cs="宋体"/>
                <w:bCs/>
                <w:snapToGrid w:val="0"/>
                <w:color w:val="auto"/>
                <w:kern w:val="0"/>
                <w:sz w:val="22"/>
                <w:highlight w:val="none"/>
              </w:rPr>
              <w:t>3、中标供应商在办理中标通知书时，需提供彩色打印</w:t>
            </w:r>
            <w:r>
              <w:rPr>
                <w:rFonts w:hint="eastAsia" w:ascii="宋体" w:hAnsi="宋体" w:cs="宋体"/>
                <w:bCs/>
                <w:snapToGrid w:val="0"/>
                <w:color w:val="auto"/>
                <w:kern w:val="0"/>
                <w:sz w:val="22"/>
                <w:highlight w:val="none"/>
                <w:lang w:val="en-US" w:eastAsia="zh-CN"/>
              </w:rPr>
              <w:t>壹正叁副</w:t>
            </w:r>
            <w:r>
              <w:rPr>
                <w:rFonts w:hint="eastAsia" w:ascii="宋体" w:hAnsi="宋体" w:cs="宋体"/>
                <w:bCs/>
                <w:snapToGrid w:val="0"/>
                <w:color w:val="auto"/>
                <w:kern w:val="0"/>
                <w:sz w:val="22"/>
                <w:highlight w:val="none"/>
              </w:rPr>
              <w:t>纸质投标文件（文件内容与投标电子文件一致）。</w:t>
            </w:r>
          </w:p>
        </w:tc>
      </w:tr>
    </w:tbl>
    <w:p w14:paraId="57843AF7">
      <w:pPr>
        <w:pStyle w:val="7"/>
        <w:spacing w:line="360" w:lineRule="auto"/>
        <w:outlineLvl w:val="0"/>
        <w:rPr>
          <w:snapToGrid w:val="0"/>
          <w:color w:val="auto"/>
          <w:kern w:val="0"/>
          <w:highlight w:val="none"/>
        </w:rPr>
      </w:pPr>
      <w:r>
        <w:rPr>
          <w:rFonts w:hint="eastAsia"/>
          <w:snapToGrid w:val="0"/>
          <w:color w:val="auto"/>
          <w:kern w:val="0"/>
          <w:sz w:val="28"/>
          <w:highlight w:val="none"/>
        </w:rPr>
        <w:br w:type="page"/>
      </w:r>
      <w:bookmarkStart w:id="74" w:name="_Hlt516969057"/>
      <w:bookmarkEnd w:id="74"/>
      <w:bookmarkStart w:id="75" w:name="_Toc16866"/>
      <w:bookmarkStart w:id="76" w:name="_Toc482084457"/>
      <w:bookmarkStart w:id="77" w:name="_Toc31402"/>
      <w:bookmarkStart w:id="78" w:name="_Toc19096"/>
      <w:bookmarkStart w:id="79" w:name="_Toc14416"/>
      <w:bookmarkStart w:id="80" w:name="_Toc220232390"/>
      <w:r>
        <w:rPr>
          <w:rFonts w:hint="eastAsia"/>
          <w:snapToGrid w:val="0"/>
          <w:color w:val="auto"/>
          <w:kern w:val="0"/>
          <w:highlight w:val="none"/>
        </w:rPr>
        <w:t>第三章 货物服务需求一览表</w:t>
      </w:r>
      <w:bookmarkEnd w:id="75"/>
      <w:bookmarkEnd w:id="76"/>
      <w:bookmarkEnd w:id="77"/>
      <w:bookmarkEnd w:id="78"/>
      <w:bookmarkEnd w:id="79"/>
      <w:bookmarkEnd w:id="80"/>
    </w:p>
    <w:p w14:paraId="2DD139C9">
      <w:pPr>
        <w:pStyle w:val="8"/>
        <w:ind w:firstLine="0" w:firstLineChars="0"/>
        <w:jc w:val="center"/>
        <w:outlineLvl w:val="1"/>
        <w:rPr>
          <w:color w:val="auto"/>
          <w:kern w:val="0"/>
          <w:highlight w:val="none"/>
        </w:rPr>
      </w:pPr>
      <w:bookmarkStart w:id="81" w:name="_Toc26212"/>
      <w:bookmarkStart w:id="82" w:name="_Toc27229"/>
      <w:bookmarkStart w:id="83" w:name="_Toc14943"/>
      <w:bookmarkStart w:id="84" w:name="_Toc462234312"/>
      <w:bookmarkStart w:id="85" w:name="_Toc23845"/>
      <w:bookmarkStart w:id="86" w:name="_Toc482084459"/>
      <w:bookmarkStart w:id="87" w:name="_Toc30135"/>
      <w:bookmarkStart w:id="88" w:name="_Toc28940"/>
      <w:r>
        <w:rPr>
          <w:rFonts w:hint="eastAsia"/>
          <w:color w:val="auto"/>
          <w:kern w:val="0"/>
          <w:highlight w:val="none"/>
        </w:rPr>
        <w:t>一、服务需求</w:t>
      </w:r>
      <w:bookmarkEnd w:id="81"/>
      <w:bookmarkEnd w:id="82"/>
      <w:bookmarkEnd w:id="83"/>
    </w:p>
    <w:p w14:paraId="53A6A180">
      <w:pPr>
        <w:spacing w:line="360" w:lineRule="auto"/>
        <w:rPr>
          <w:rFonts w:ascii="宋体" w:hAnsi="宋体" w:cs="宋体"/>
          <w:color w:val="auto"/>
          <w:sz w:val="24"/>
          <w:highlight w:val="none"/>
        </w:rPr>
      </w:pPr>
      <w:r>
        <w:rPr>
          <w:rFonts w:hint="eastAsia" w:ascii="宋体" w:hAnsi="宋体" w:cs="宋体"/>
          <w:b/>
          <w:bCs/>
          <w:color w:val="auto"/>
          <w:sz w:val="24"/>
          <w:highlight w:val="none"/>
        </w:rPr>
        <w:t>一、项目简介</w:t>
      </w:r>
      <w:r>
        <w:rPr>
          <w:rFonts w:hint="eastAsia" w:ascii="宋体" w:hAnsi="宋体" w:cs="宋体"/>
          <w:color w:val="auto"/>
          <w:sz w:val="24"/>
          <w:highlight w:val="none"/>
        </w:rPr>
        <w:t>：</w:t>
      </w:r>
    </w:p>
    <w:p w14:paraId="1DC3D6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皖北卫生职业学院现有在校生约9970余人，教职工440余人（人数仅供参考）。目前校内</w:t>
      </w:r>
      <w:r>
        <w:rPr>
          <w:rFonts w:hint="eastAsia" w:ascii="宋体" w:hAnsi="宋体" w:cs="宋体"/>
          <w:color w:val="auto"/>
          <w:sz w:val="24"/>
          <w:highlight w:val="none"/>
          <w:lang w:val="en-US" w:eastAsia="zh-CN"/>
        </w:rPr>
        <w:t>已</w:t>
      </w:r>
      <w:r>
        <w:rPr>
          <w:rFonts w:hint="eastAsia" w:ascii="宋体" w:hAnsi="宋体" w:cs="宋体"/>
          <w:color w:val="auto"/>
          <w:sz w:val="24"/>
          <w:highlight w:val="none"/>
        </w:rPr>
        <w:t>有</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家食堂。为进一步提高学校餐饮管理水平和服务质量，经学院研究，根据《高等学校引入社会餐饮企业承办食堂管理规范》，结合学校实际情况，决定将学院</w:t>
      </w:r>
      <w:r>
        <w:rPr>
          <w:rFonts w:hint="eastAsia" w:ascii="宋体" w:hAnsi="宋体" w:cs="宋体"/>
          <w:color w:val="auto"/>
          <w:sz w:val="24"/>
          <w:highlight w:val="none"/>
          <w:lang w:val="en-US" w:eastAsia="zh-CN"/>
        </w:rPr>
        <w:t>礼堂下方第一</w:t>
      </w:r>
      <w:r>
        <w:rPr>
          <w:rFonts w:hint="eastAsia" w:ascii="宋体" w:hAnsi="宋体" w:cs="宋体"/>
          <w:color w:val="auto"/>
          <w:sz w:val="24"/>
          <w:highlight w:val="none"/>
        </w:rPr>
        <w:t>学生食堂（以下均简称</w:t>
      </w:r>
      <w:r>
        <w:rPr>
          <w:rFonts w:hint="eastAsia" w:ascii="宋体" w:hAnsi="宋体" w:cs="宋体"/>
          <w:color w:val="auto"/>
          <w:sz w:val="24"/>
          <w:highlight w:val="none"/>
          <w:lang w:eastAsia="zh-CN"/>
        </w:rPr>
        <w:t>第一食堂</w:t>
      </w:r>
      <w:r>
        <w:rPr>
          <w:rFonts w:hint="eastAsia" w:ascii="宋体" w:hAnsi="宋体" w:cs="宋体"/>
          <w:color w:val="auto"/>
          <w:sz w:val="24"/>
          <w:highlight w:val="none"/>
        </w:rPr>
        <w:t>）餐饮服务通过公开招标方式委托第三方经营。</w:t>
      </w:r>
    </w:p>
    <w:p w14:paraId="7B78B50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第一</w:t>
      </w:r>
      <w:r>
        <w:rPr>
          <w:rFonts w:hint="eastAsia" w:ascii="宋体" w:hAnsi="宋体" w:cs="宋体"/>
          <w:color w:val="auto"/>
          <w:kern w:val="0"/>
          <w:sz w:val="24"/>
          <w:highlight w:val="none"/>
        </w:rPr>
        <w:t>食堂所在主体工程</w:t>
      </w:r>
      <w:r>
        <w:rPr>
          <w:rFonts w:hint="eastAsia" w:ascii="宋体" w:hAnsi="宋体" w:cs="宋体"/>
          <w:color w:val="auto"/>
          <w:kern w:val="0"/>
          <w:sz w:val="24"/>
          <w:highlight w:val="none"/>
          <w:lang w:val="en-US" w:eastAsia="zh-CN"/>
        </w:rPr>
        <w:t>一层</w:t>
      </w:r>
      <w:r>
        <w:rPr>
          <w:rFonts w:hint="eastAsia" w:ascii="宋体" w:hAnsi="宋体" w:cs="宋体"/>
          <w:color w:val="auto"/>
          <w:sz w:val="24"/>
          <w:highlight w:val="none"/>
        </w:rPr>
        <w:t>总建筑面积约</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000 </w:t>
      </w:r>
      <w:r>
        <w:rPr>
          <w:rFonts w:hint="eastAsia" w:ascii="宋体" w:hAnsi="宋体" w:cs="宋体"/>
          <w:color w:val="auto"/>
          <w:sz w:val="24"/>
          <w:highlight w:val="none"/>
        </w:rPr>
        <w:t>平方米（以实际勘查为准），其中</w:t>
      </w:r>
      <w:r>
        <w:rPr>
          <w:rFonts w:hint="eastAsia" w:ascii="宋体" w:hAnsi="宋体" w:cs="宋体"/>
          <w:color w:val="auto"/>
          <w:sz w:val="24"/>
          <w:highlight w:val="none"/>
          <w:lang w:val="en-US" w:eastAsia="zh-CN"/>
        </w:rPr>
        <w:t>二层为礼堂。</w:t>
      </w:r>
      <w:r>
        <w:rPr>
          <w:rFonts w:hint="eastAsia" w:ascii="宋体" w:hAnsi="宋体" w:cs="宋体"/>
          <w:color w:val="auto"/>
          <w:sz w:val="24"/>
          <w:highlight w:val="none"/>
        </w:rPr>
        <w:t>中标人必须依据《中华人民共和国食品安全法》（2021年修订本）、《学校食品安全与营养健康管理规定》《高等学校引入社会餐饮企业承办食堂管理规范》、《安徽省高等学校标准化学生食堂指标体系》、《安徽省高校文化餐厅建设指南》等文件要求，按照基本大伙，兼特色餐饮和文化餐厅进行装饰装修，</w:t>
      </w:r>
      <w:r>
        <w:rPr>
          <w:rFonts w:hint="eastAsia" w:ascii="宋体" w:hAnsi="宋体" w:cs="宋体"/>
          <w:color w:val="auto"/>
          <w:sz w:val="24"/>
          <w:highlight w:val="none"/>
          <w:lang w:val="en-US" w:eastAsia="zh-CN"/>
        </w:rPr>
        <w:t>装修前图纸必须通过宿州市和埇桥区市场监督管理局审核通过，</w:t>
      </w:r>
      <w:r>
        <w:rPr>
          <w:rFonts w:hint="eastAsia" w:ascii="宋体" w:hAnsi="宋体" w:cs="宋体"/>
          <w:color w:val="auto"/>
          <w:sz w:val="24"/>
          <w:highlight w:val="none"/>
        </w:rPr>
        <w:t>添置货架、水池、餐桌椅、工作台、自动洗碗机、智慧食堂及其它餐厨加工储藏、人员办公等设备，自主经营，自负盈亏。此处简介为概况，数据仅供参考，投标方应充分考虑到前述现状实情可能存在的误差与将来可能出现的变化，同时，提醒各投标单位认真察看学院周边情况，具体情况投标方可联系学校总务处到现场察看。</w:t>
      </w:r>
    </w:p>
    <w:p w14:paraId="64A972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各投标人务必于202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时前到我校现场勘察，逾期概不接待。</w:t>
      </w:r>
    </w:p>
    <w:p w14:paraId="41FEAA80">
      <w:pP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w:t>
      </w:r>
      <w:r>
        <w:rPr>
          <w:rFonts w:hint="eastAsia" w:ascii="宋体" w:hAnsi="宋体" w:cs="宋体"/>
          <w:b/>
          <w:color w:val="auto"/>
          <w:sz w:val="24"/>
          <w:highlight w:val="none"/>
        </w:rPr>
        <w:t>项目名称</w:t>
      </w:r>
      <w:r>
        <w:rPr>
          <w:rFonts w:hint="eastAsia" w:ascii="宋体" w:hAnsi="宋体" w:cs="宋体"/>
          <w:color w:val="auto"/>
          <w:sz w:val="24"/>
          <w:highlight w:val="none"/>
        </w:rPr>
        <w:t>：</w:t>
      </w:r>
    </w:p>
    <w:p w14:paraId="35BFDAC2">
      <w:pPr>
        <w:spacing w:line="360" w:lineRule="auto"/>
        <w:ind w:firstLine="468"/>
        <w:rPr>
          <w:rFonts w:hint="eastAsia" w:ascii="宋体" w:hAnsi="宋体" w:cs="宋体"/>
          <w:bCs/>
          <w:color w:val="auto"/>
          <w:kern w:val="0"/>
          <w:sz w:val="24"/>
          <w:highlight w:val="none"/>
        </w:rPr>
      </w:pPr>
      <w:r>
        <w:rPr>
          <w:rFonts w:hint="eastAsia" w:ascii="宋体" w:hAnsi="宋体" w:cs="宋体"/>
          <w:bCs/>
          <w:color w:val="auto"/>
          <w:kern w:val="0"/>
          <w:sz w:val="24"/>
          <w:highlight w:val="none"/>
        </w:rPr>
        <w:t>皖北卫生职业学院</w:t>
      </w:r>
      <w:r>
        <w:rPr>
          <w:rFonts w:hint="eastAsia" w:ascii="宋体" w:hAnsi="宋体" w:cs="宋体"/>
          <w:color w:val="auto"/>
          <w:kern w:val="0"/>
          <w:sz w:val="24"/>
          <w:highlight w:val="none"/>
          <w:lang w:eastAsia="zh-CN"/>
        </w:rPr>
        <w:t>第一食堂</w:t>
      </w:r>
      <w:r>
        <w:rPr>
          <w:rFonts w:hint="eastAsia" w:ascii="宋体" w:hAnsi="宋体" w:cs="宋体"/>
          <w:bCs/>
          <w:color w:val="auto"/>
          <w:kern w:val="0"/>
          <w:sz w:val="24"/>
          <w:highlight w:val="none"/>
        </w:rPr>
        <w:t>经营服务项目。</w:t>
      </w:r>
    </w:p>
    <w:p w14:paraId="60230F46">
      <w:pPr>
        <w:keepNext w:val="0"/>
        <w:keepLines w:val="0"/>
        <w:pageBreakBefore w:val="0"/>
        <w:kinsoku/>
        <w:wordWrap/>
        <w:overflowPunct/>
        <w:topLinePunct w:val="0"/>
        <w:autoSpaceDE/>
        <w:autoSpaceDN/>
        <w:bidi w:val="0"/>
        <w:adjustRightInd/>
        <w:snapToGrid/>
        <w:spacing w:line="360" w:lineRule="auto"/>
        <w:ind w:firstLine="468"/>
        <w:textAlignment w:val="auto"/>
        <w:rPr>
          <w:rFonts w:ascii="宋体" w:hAnsi="宋体" w:cs="宋体"/>
          <w:color w:val="auto"/>
          <w:sz w:val="24"/>
          <w:highlight w:val="none"/>
        </w:rPr>
      </w:pPr>
      <w:r>
        <w:rPr>
          <w:rFonts w:hint="eastAsia" w:ascii="宋体" w:hAnsi="宋体" w:cs="宋体"/>
          <w:b/>
          <w:bCs/>
          <w:color w:val="auto"/>
          <w:sz w:val="24"/>
          <w:highlight w:val="none"/>
        </w:rPr>
        <w:t>经营服务期限：3年（2+1），</w:t>
      </w:r>
      <w:r>
        <w:rPr>
          <w:rFonts w:hint="eastAsia" w:ascii="宋体" w:hAnsi="宋体" w:cs="宋体"/>
          <w:color w:val="auto"/>
          <w:sz w:val="24"/>
          <w:highlight w:val="none"/>
        </w:rPr>
        <w:t>中标后先签订2年经营服务合同，经营期间每年由学校总务处等相关部门进行师生满意度考核，对综合满意度达到80%以上（含80%），</w:t>
      </w:r>
      <w:r>
        <w:rPr>
          <w:rFonts w:hint="eastAsia" w:ascii="宋体" w:hAnsi="宋体" w:cs="宋体"/>
          <w:color w:val="auto"/>
          <w:sz w:val="24"/>
          <w:szCs w:val="24"/>
          <w:highlight w:val="none"/>
        </w:rPr>
        <w:t>且前2年合同期内无重大食品安全事件；</w:t>
      </w:r>
      <w:r>
        <w:rPr>
          <w:rFonts w:hint="eastAsia" w:asciiTheme="minorEastAsia" w:hAnsiTheme="minorEastAsia" w:eastAsiaTheme="minorEastAsia" w:cstheme="minorEastAsia"/>
          <w:snapToGrid w:val="0"/>
          <w:color w:val="auto"/>
          <w:kern w:val="0"/>
          <w:sz w:val="24"/>
          <w:szCs w:val="24"/>
          <w:highlight w:val="none"/>
        </w:rPr>
        <w:t>被校方因食品安全负面问题书面约谈整改</w:t>
      </w:r>
      <w:r>
        <w:rPr>
          <w:rFonts w:hint="eastAsia" w:asciiTheme="minorEastAsia" w:hAnsiTheme="minorEastAsia" w:eastAsiaTheme="minorEastAsia" w:cstheme="minorEastAsia"/>
          <w:snapToGrid w:val="0"/>
          <w:color w:val="auto"/>
          <w:kern w:val="0"/>
          <w:sz w:val="24"/>
          <w:szCs w:val="24"/>
          <w:highlight w:val="none"/>
          <w:lang w:eastAsia="zh-CN"/>
        </w:rPr>
        <w:t>不多于</w:t>
      </w:r>
      <w:r>
        <w:rPr>
          <w:rFonts w:hint="eastAsia" w:asciiTheme="minorEastAsia" w:hAnsiTheme="minorEastAsia" w:eastAsiaTheme="minorEastAsia" w:cstheme="minorEastAsia"/>
          <w:snapToGrid w:val="0"/>
          <w:color w:val="auto"/>
          <w:kern w:val="0"/>
          <w:sz w:val="24"/>
          <w:szCs w:val="24"/>
          <w:highlight w:val="none"/>
        </w:rPr>
        <w:t>3次；被省、市、区市场监管等部门立案查处不多于1次且及时整改落实的，</w:t>
      </w:r>
      <w:r>
        <w:rPr>
          <w:rFonts w:hint="eastAsia" w:ascii="宋体" w:hAnsi="宋体" w:cs="宋体"/>
          <w:color w:val="auto"/>
          <w:sz w:val="24"/>
          <w:highlight w:val="none"/>
        </w:rPr>
        <w:t>经学校研究同意可以续签第3年合同。</w:t>
      </w:r>
    </w:p>
    <w:p w14:paraId="22869ECE">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rPr>
        <w:t>项目管理要求</w:t>
      </w:r>
      <w:r>
        <w:rPr>
          <w:rFonts w:hint="eastAsia" w:ascii="宋体" w:hAnsi="宋体" w:cs="宋体"/>
          <w:b/>
          <w:color w:val="auto"/>
          <w:kern w:val="0"/>
          <w:sz w:val="24"/>
          <w:highlight w:val="none"/>
          <w:lang w:eastAsia="zh-CN"/>
        </w:rPr>
        <w:t>：</w:t>
      </w:r>
    </w:p>
    <w:p w14:paraId="585E7B94">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ascii="宋体" w:hAnsi="宋体" w:cs="宋体"/>
          <w:b/>
          <w:color w:val="auto"/>
          <w:sz w:val="24"/>
          <w:highlight w:val="none"/>
        </w:rPr>
      </w:pPr>
      <w:bookmarkStart w:id="89" w:name="_Hlt509716920"/>
      <w:bookmarkEnd w:id="89"/>
      <w:r>
        <w:rPr>
          <w:rFonts w:hint="eastAsia" w:ascii="宋体" w:hAnsi="宋体" w:cs="宋体"/>
          <w:b/>
          <w:color w:val="auto"/>
          <w:sz w:val="24"/>
          <w:highlight w:val="none"/>
        </w:rPr>
        <w:t>1.装饰装修与设备管理要求</w:t>
      </w:r>
    </w:p>
    <w:p w14:paraId="7AC0D99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sz w:val="24"/>
          <w:szCs w:val="24"/>
          <w:highlight w:val="none"/>
          <w:lang w:val="en-US" w:eastAsia="zh-CN"/>
        </w:rPr>
      </w:pPr>
      <w:r>
        <w:rPr>
          <w:rFonts w:hint="eastAsia" w:ascii="宋体" w:hAnsi="宋体" w:cs="宋体"/>
          <w:b/>
          <w:bCs/>
          <w:color w:val="auto"/>
          <w:sz w:val="24"/>
          <w:szCs w:val="24"/>
          <w:highlight w:val="none"/>
        </w:rPr>
        <w:t>（1）投</w:t>
      </w:r>
      <w:r>
        <w:rPr>
          <w:rFonts w:hint="eastAsia" w:ascii="宋体" w:hAnsi="宋体" w:cs="宋体"/>
          <w:b/>
          <w:color w:val="auto"/>
          <w:sz w:val="24"/>
          <w:szCs w:val="24"/>
          <w:highlight w:val="none"/>
        </w:rPr>
        <w:t>标人投标文件中</w:t>
      </w:r>
      <w:r>
        <w:rPr>
          <w:rFonts w:hint="eastAsia" w:ascii="宋体" w:hAnsi="宋体" w:cs="宋体"/>
          <w:b/>
          <w:color w:val="auto"/>
          <w:sz w:val="24"/>
          <w:szCs w:val="24"/>
          <w:highlight w:val="none"/>
          <w:lang w:val="en-US" w:eastAsia="zh-CN"/>
        </w:rPr>
        <w:t>“安徽省高等学校标准化学生食堂指标体系”</w:t>
      </w:r>
      <w:r>
        <w:rPr>
          <w:rFonts w:hint="eastAsia" w:ascii="宋体" w:hAnsi="宋体" w:cs="宋体"/>
          <w:b/>
          <w:color w:val="auto"/>
          <w:sz w:val="24"/>
          <w:szCs w:val="24"/>
          <w:highlight w:val="none"/>
        </w:rPr>
        <w:t>要提供具体详实的设计方案（至少包含装饰装修图纸、设计图、彩色效果图和工程量清单）</w:t>
      </w:r>
      <w:r>
        <w:rPr>
          <w:rFonts w:hint="eastAsia" w:ascii="宋体" w:hAnsi="宋体" w:cs="宋体"/>
          <w:b/>
          <w:color w:val="auto"/>
          <w:sz w:val="24"/>
          <w:szCs w:val="24"/>
          <w:highlight w:val="none"/>
          <w:lang w:val="en-US" w:eastAsia="zh-CN"/>
        </w:rPr>
        <w:t>，装修要求简约不奢华、节能环保、健康绿色、融入学校元素、彰显历史文化、打造校园文化美食餐厅，装饰装修水电费一并计入本食堂经营用水电费。 装修改造过程中涉及一卡通设备和线路的拆除，要进行恢复。</w:t>
      </w:r>
    </w:p>
    <w:p w14:paraId="0279B2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z w:val="24"/>
          <w:highlight w:val="none"/>
        </w:rPr>
      </w:pPr>
      <w:r>
        <w:rPr>
          <w:rFonts w:hint="eastAsia" w:ascii="宋体" w:hAnsi="宋体" w:cs="宋体"/>
          <w:bCs/>
          <w:color w:val="auto"/>
          <w:sz w:val="24"/>
          <w:highlight w:val="none"/>
        </w:rPr>
        <w:t>用于对食堂特别是加工与售卖分离、后堂、烟道等进行规范改造、装饰、空调设备添置等。</w:t>
      </w:r>
      <w:r>
        <w:rPr>
          <w:rFonts w:hint="eastAsia" w:ascii="宋体" w:hAnsi="宋体" w:cs="宋体"/>
          <w:b/>
          <w:color w:val="auto"/>
          <w:sz w:val="24"/>
          <w:highlight w:val="none"/>
        </w:rPr>
        <w:t>中标人必须配备智慧食堂、自动洗碗机等智能设备设施。其规划设置的食堂窗口的装修风格、售卖食材种类、档口设置等必须上报学院总务处审核批准，经总务处同意后方可实施；不得拆分档口违规分包转包，</w:t>
      </w:r>
      <w:r>
        <w:rPr>
          <w:rFonts w:hint="eastAsia" w:ascii="宋体" w:hAnsi="宋体" w:cs="宋体"/>
          <w:b/>
          <w:color w:val="auto"/>
          <w:sz w:val="24"/>
          <w:highlight w:val="none"/>
          <w:lang w:val="en-US" w:eastAsia="zh-CN"/>
        </w:rPr>
        <w:t>必须</w:t>
      </w:r>
      <w:r>
        <w:rPr>
          <w:rFonts w:hint="eastAsia" w:ascii="宋体" w:hAnsi="宋体" w:cs="宋体"/>
          <w:b/>
          <w:color w:val="auto"/>
          <w:sz w:val="24"/>
          <w:highlight w:val="none"/>
        </w:rPr>
        <w:t>按制售分离等要求改造加工场所，不</w:t>
      </w:r>
      <w:r>
        <w:rPr>
          <w:rFonts w:hint="eastAsia" w:ascii="宋体" w:hAnsi="宋体" w:cs="宋体"/>
          <w:b/>
          <w:color w:val="auto"/>
          <w:sz w:val="24"/>
          <w:highlight w:val="none"/>
          <w:lang w:val="en-US" w:eastAsia="zh-CN"/>
        </w:rPr>
        <w:t>得</w:t>
      </w:r>
      <w:r>
        <w:rPr>
          <w:rFonts w:hint="eastAsia" w:ascii="宋体" w:hAnsi="宋体" w:cs="宋体"/>
          <w:b/>
          <w:color w:val="auto"/>
          <w:sz w:val="24"/>
          <w:highlight w:val="none"/>
        </w:rPr>
        <w:t>进行超范围经营等。</w:t>
      </w:r>
      <w:r>
        <w:rPr>
          <w:rFonts w:hint="eastAsia" w:ascii="宋体" w:hAnsi="宋体" w:cs="宋体"/>
          <w:bCs/>
          <w:color w:val="auto"/>
          <w:sz w:val="24"/>
          <w:highlight w:val="none"/>
        </w:rPr>
        <w:t>同时中标人需积极配合学院完成明厨亮灶工程建设。</w:t>
      </w:r>
    </w:p>
    <w:p w14:paraId="75B6678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第一食堂</w:t>
      </w:r>
      <w:r>
        <w:rPr>
          <w:rFonts w:hint="eastAsia" w:ascii="宋体" w:hAnsi="宋体" w:cs="宋体"/>
          <w:b/>
          <w:color w:val="auto"/>
          <w:sz w:val="24"/>
          <w:highlight w:val="none"/>
        </w:rPr>
        <w:t>投资装饰装修与设备费用最低不少于100万，</w:t>
      </w:r>
      <w:r>
        <w:rPr>
          <w:rFonts w:hint="eastAsia" w:ascii="宋体" w:hAnsi="宋体" w:cs="宋体"/>
          <w:b/>
          <w:color w:val="auto"/>
          <w:sz w:val="24"/>
          <w:highlight w:val="none"/>
          <w:lang w:val="en-US" w:eastAsia="zh-CN"/>
        </w:rPr>
        <w:t>中标方签订合同前把升级改造资金打入学校指定的专门账户并接受采购人的监管，升级改造费用支出须经采购人同意后方能从专门账户支出。</w:t>
      </w:r>
      <w:r>
        <w:rPr>
          <w:rFonts w:hint="eastAsia" w:ascii="宋体" w:hAnsi="宋体" w:cs="宋体"/>
          <w:b/>
          <w:color w:val="auto"/>
          <w:sz w:val="24"/>
          <w:highlight w:val="none"/>
        </w:rPr>
        <w:t>具体费用以中标单位最终上浮报价为准，装修、投入完成后由学校抽取的第三方公司进行审计，低于最终报价的则视为违约，学校有权终止合同或要求中标单位按投标承诺进行投入费用差额部分补足，或从履约保证金中扣除。</w:t>
      </w:r>
    </w:p>
    <w:p w14:paraId="09FDF7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中标人装饰装修需按照最新的《食品安全法》、《消防法》、《安徽省高等学校标准化学生食堂指标体系》、《安徽省高校文化餐厅建设指南》等文件进行图纸设计和编制工程量清单，按时完成。装饰装修水电费一并计入本食堂经营用水电费，装饰装修水费按照每吨2.35元、电费按照每度0.7元收取。</w:t>
      </w:r>
    </w:p>
    <w:p w14:paraId="3A180B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中标人经营期间内，负责维修食堂内的水电、空调、桌椅等，确保周边下水道通畅（根据校方要求进行改造和维护、维修）。天气炎热或者寒冷时确保空调正常运转，营造适宜就餐环境。投标企业服务经营活动过程中不得私自改变食堂布局结构</w:t>
      </w:r>
      <w:r>
        <w:rPr>
          <w:rFonts w:hint="eastAsia" w:ascii="宋体" w:hAnsi="宋体" w:cs="宋体"/>
          <w:color w:val="auto"/>
          <w:sz w:val="24"/>
          <w:highlight w:val="none"/>
          <w:lang w:eastAsia="zh-CN"/>
        </w:rPr>
        <w:t>，</w:t>
      </w:r>
      <w:r>
        <w:rPr>
          <w:rFonts w:hint="eastAsia" w:ascii="宋体" w:hAnsi="宋体" w:cs="宋体"/>
          <w:color w:val="auto"/>
          <w:sz w:val="24"/>
          <w:highlight w:val="none"/>
        </w:rPr>
        <w:t>经营方在合同期内不得将经营的场所、设备、设施以任何形式分包、转包、转租、转让、分租。如发现有任何分包、转包、转租、转让、分租的形式，学校将立即停止相应窗口的营业并处以2000元罚款，学校有权终止合同，在经营期满后不再考虑继续经营，经营方将被列入学校招投标工作中的黑名单。</w:t>
      </w:r>
    </w:p>
    <w:p w14:paraId="5D12C6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期满或因经营方的责任而导致合同终止后，经营方自备物资（指库存物资、自行添置的设备等）由经营方自行处理，学校不承担任何处理的义务。学校所提供或投入的设施、设备等固定资产存放地点如需调整须征得总务处同意并报学校备案。经营方经营期满必须确保院方所投入的设施、设备正常、完好，保质保量如数交回学校，如有缺损或丢失照价赔偿。</w:t>
      </w:r>
    </w:p>
    <w:p w14:paraId="4571A45F">
      <w:pPr>
        <w:spacing w:line="360" w:lineRule="auto"/>
        <w:ind w:firstLine="465"/>
        <w:rPr>
          <w:rFonts w:ascii="宋体" w:hAnsi="宋体" w:cs="宋体"/>
          <w:b/>
          <w:bCs/>
          <w:color w:val="auto"/>
          <w:sz w:val="24"/>
          <w:highlight w:val="none"/>
        </w:rPr>
      </w:pPr>
      <w:r>
        <w:rPr>
          <w:rFonts w:hint="eastAsia" w:ascii="宋体" w:hAnsi="宋体" w:cs="宋体"/>
          <w:color w:val="auto"/>
          <w:sz w:val="24"/>
          <w:highlight w:val="none"/>
        </w:rPr>
        <w:t>（4）餐厅、各操作间、室内外楼梯等环境卫生清洁、承包区域周围10米内均属于经营方的管理范围。经营过程中</w:t>
      </w:r>
      <w:r>
        <w:rPr>
          <w:rFonts w:hint="eastAsia" w:ascii="宋体" w:hAnsi="宋体" w:cs="宋体"/>
          <w:color w:val="auto"/>
          <w:sz w:val="24"/>
          <w:highlight w:val="none"/>
          <w:lang w:eastAsia="zh-CN"/>
        </w:rPr>
        <w:t>，</w:t>
      </w:r>
      <w:r>
        <w:rPr>
          <w:rFonts w:hint="eastAsia" w:ascii="宋体" w:hAnsi="宋体" w:cs="宋体"/>
          <w:color w:val="auto"/>
          <w:sz w:val="24"/>
          <w:highlight w:val="none"/>
        </w:rPr>
        <w:t>学校的房屋建筑的维修工作及维修费用，由学校负责；原有学校提供的设备（含明厨亮灶设施设备）、设施维修工作及维修费用，由经营方负责，确因设备设施老化非人为因素造成的损耗及损坏，经总务处确认，维修及更换费用由学校负责。经营方自备的餐具设备、设施维修及更换费用由经营方自行承担。经营方必须每学期至少一次对厨房油烟设备及其管道的清洗，确保厨房油烟设备及其管道畅通，无消防隐患，并提供对其设备清洗的协议和验收报告，费用由经营方自行承担。</w:t>
      </w:r>
    </w:p>
    <w:p w14:paraId="4942F313">
      <w:pPr>
        <w:spacing w:line="360" w:lineRule="auto"/>
        <w:ind w:firstLine="465"/>
        <w:outlineLvl w:val="2"/>
        <w:rPr>
          <w:rFonts w:ascii="宋体" w:hAnsi="宋体" w:cs="宋体"/>
          <w:b/>
          <w:color w:val="auto"/>
          <w:sz w:val="24"/>
          <w:highlight w:val="none"/>
        </w:rPr>
      </w:pPr>
      <w:r>
        <w:rPr>
          <w:rFonts w:hint="eastAsia" w:ascii="宋体" w:hAnsi="宋体" w:cs="宋体"/>
          <w:b/>
          <w:bCs/>
          <w:color w:val="auto"/>
          <w:sz w:val="24"/>
          <w:highlight w:val="none"/>
        </w:rPr>
        <w:t>2.安全</w:t>
      </w:r>
      <w:r>
        <w:rPr>
          <w:rFonts w:hint="eastAsia" w:ascii="宋体" w:hAnsi="宋体" w:cs="宋体"/>
          <w:b/>
          <w:color w:val="auto"/>
          <w:sz w:val="24"/>
          <w:highlight w:val="none"/>
        </w:rPr>
        <w:t>管理要求</w:t>
      </w:r>
    </w:p>
    <w:p w14:paraId="19EDB2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中标人为食品安全、防火、防盗等直接责任人，对相应工作负有直接管理义务。</w:t>
      </w:r>
    </w:p>
    <w:p w14:paraId="3DCEA0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严格执行《食品安全法》（2021年修订）、《学校食品安全与营养健康管理规定》、《消防法》及其他国家、省市和皖北卫生职业学院相关文件和管理制度，所有员工都要经过培训、办理健康证才能上岗；严格执行清洁消毒规定，有防鼠、灭蝇、防虫、防毒等措施；及时办理餐饮服务许可证或食品经营许可证的年检手续，接受卫生、市场监管部门的检查。其体检、检查和年检等费用自理。</w:t>
      </w:r>
    </w:p>
    <w:p w14:paraId="463688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（2）中标人必须自行做好安全、防盗、防火和食品卫生等工作，如发生失窃、火灾、食物中毒等事故，造成的一切损失均由中标人自行负责。</w:t>
      </w:r>
    </w:p>
    <w:p w14:paraId="13C42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（3）严格控制各种食品的进货渠道，规范食品及原料采购管理制度，所有原料供应必须证照齐全，建立索票索证制度，并将所有资料上报学校总务处。</w:t>
      </w:r>
    </w:p>
    <w:p w14:paraId="1378B0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（4）负责落实食堂托管范围内及学校指定区域的卫生工作，建立和健全一整套生产管理、卫生管理和消防及安全管理制度。</w:t>
      </w:r>
    </w:p>
    <w:p w14:paraId="41530C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（5）中标人必须接受学校和上级有关部门的监督与管理，自觉接受对财务管理、食品采购、生产流程、卫生消毒、供应价格、服务规范等方面的全方位监控。</w:t>
      </w:r>
    </w:p>
    <w:p w14:paraId="08E72424">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4.用工管理要求</w:t>
      </w:r>
    </w:p>
    <w:p w14:paraId="70F790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由中标人自行招聘和管理员工，依法用工，用工责任和风险由中标人自负。学校有权对食堂用工情况进行监督和检查。</w:t>
      </w:r>
    </w:p>
    <w:p w14:paraId="138DD15C">
      <w:pPr>
        <w:spacing w:line="360" w:lineRule="auto"/>
        <w:ind w:firstLine="480" w:firstLineChars="200"/>
        <w:rPr>
          <w:rFonts w:ascii="宋体" w:hAnsi="宋体" w:cs="宋体"/>
          <w:color w:val="auto"/>
          <w:spacing w:val="8"/>
          <w:sz w:val="24"/>
          <w:highlight w:val="none"/>
        </w:rPr>
      </w:pPr>
      <w:r>
        <w:rPr>
          <w:rFonts w:hint="eastAsia" w:ascii="宋体" w:hAnsi="宋体" w:cs="宋体"/>
          <w:color w:val="auto"/>
          <w:sz w:val="24"/>
          <w:highlight w:val="none"/>
        </w:rPr>
        <w:t>（1）中标人要科学合理地配备餐饮操作和餐厅服务人员，要选聘高水平的厨师及服务团队。</w:t>
      </w:r>
      <w:r>
        <w:rPr>
          <w:rFonts w:hint="eastAsia" w:ascii="宋体" w:hAnsi="宋体" w:cs="宋体"/>
          <w:color w:val="auto"/>
          <w:sz w:val="24"/>
          <w:highlight w:val="none"/>
          <w:lang w:val="en-US" w:eastAsia="zh-CN"/>
        </w:rPr>
        <w:t>项目经理必须相对固定，且每月出勤率不低于22天，并提供近12个月及以上社保部门出具的本单位为其缴纳社保的证明，如每学年度出现3个月及以上达不到考勤要求的，甲方有权终止合同。</w:t>
      </w:r>
      <w:r>
        <w:rPr>
          <w:rFonts w:hint="eastAsia" w:ascii="宋体" w:hAnsi="宋体" w:cs="宋体"/>
          <w:color w:val="auto"/>
          <w:sz w:val="24"/>
          <w:highlight w:val="none"/>
        </w:rPr>
        <w:t>项目经理必须相对固定，如需调整项目经理必须经学校认可且新项目经理的资质、条件不得低于</w:t>
      </w:r>
      <w:r>
        <w:rPr>
          <w:rFonts w:hint="eastAsia" w:ascii="宋体" w:hAnsi="宋体" w:cs="宋体"/>
          <w:color w:val="auto"/>
          <w:spacing w:val="8"/>
          <w:sz w:val="24"/>
          <w:highlight w:val="none"/>
        </w:rPr>
        <w:t>投标时承诺的条件。如中途随意调整一次，学校有权扣除履约保证金</w:t>
      </w:r>
      <w:r>
        <w:rPr>
          <w:rFonts w:hint="eastAsia" w:ascii="宋体" w:hAnsi="宋体" w:cs="宋体"/>
          <w:b/>
          <w:bCs/>
          <w:color w:val="auto"/>
          <w:spacing w:val="8"/>
          <w:sz w:val="24"/>
          <w:highlight w:val="none"/>
          <w:lang w:val="en-US" w:eastAsia="zh-CN"/>
        </w:rPr>
        <w:t>5000</w:t>
      </w:r>
      <w:r>
        <w:rPr>
          <w:rFonts w:hint="eastAsia" w:ascii="宋体" w:hAnsi="宋体" w:cs="宋体"/>
          <w:color w:val="auto"/>
          <w:spacing w:val="8"/>
          <w:sz w:val="24"/>
          <w:highlight w:val="none"/>
        </w:rPr>
        <w:t>元。因经营管理不善，学校要求经营方调整项目经理的，经营方应无条件安排，并在5个工作日内完成调整。逾期则按每人每天</w:t>
      </w:r>
      <w:r>
        <w:rPr>
          <w:rFonts w:hint="eastAsia" w:ascii="宋体" w:hAnsi="宋体" w:cs="宋体"/>
          <w:b/>
          <w:bCs/>
          <w:color w:val="auto"/>
          <w:spacing w:val="8"/>
          <w:sz w:val="24"/>
          <w:highlight w:val="none"/>
        </w:rPr>
        <w:t>500</w:t>
      </w:r>
      <w:r>
        <w:rPr>
          <w:rFonts w:hint="eastAsia" w:ascii="宋体" w:hAnsi="宋体" w:cs="宋体"/>
          <w:color w:val="auto"/>
          <w:spacing w:val="8"/>
          <w:sz w:val="24"/>
          <w:highlight w:val="none"/>
        </w:rPr>
        <w:t>元从履约保证金中扣除。</w:t>
      </w:r>
    </w:p>
    <w:p w14:paraId="0D8DE888">
      <w:pPr>
        <w:spacing w:line="360" w:lineRule="auto"/>
        <w:ind w:firstLine="512" w:firstLineChars="200"/>
        <w:rPr>
          <w:rFonts w:ascii="宋体" w:hAnsi="宋体" w:cs="宋体"/>
          <w:color w:val="auto"/>
          <w:sz w:val="24"/>
          <w:highlight w:val="none"/>
        </w:rPr>
      </w:pPr>
      <w:r>
        <w:rPr>
          <w:rFonts w:hint="eastAsia" w:ascii="宋体" w:hAnsi="宋体" w:cs="宋体"/>
          <w:color w:val="auto"/>
          <w:spacing w:val="8"/>
          <w:sz w:val="24"/>
          <w:highlight w:val="none"/>
        </w:rPr>
        <w:t>（2）经营方须严格按照国家《劳动法》、《劳动合同》等规定合法用工，经营方的员工，与学校不存在任何雇佣、委托等劳动关系，同时经营方员工在工作过程中非学校直接原因造成的事故，安全责任由经营方负责。经营过程中，食堂所有员工必须持有合法、有效的健康证，办证费用由经营方自行承担。</w:t>
      </w:r>
    </w:p>
    <w:p w14:paraId="40244E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（3）中标人要对食堂员工的思想道德、业务素质、安全健康等进行全面管理，所有人员应规范服务操作程序，做到文明用语、礼貌服务。</w:t>
      </w:r>
    </w:p>
    <w:p w14:paraId="11229B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（4）按照国家《工会法》等相关文件依法成立相关组织并举办相应活动。</w:t>
      </w:r>
    </w:p>
    <w:p w14:paraId="2995EB7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经营方在经营期间自觉接受学校和市场监督管理局及相关政府部门的监督检查，学校将定期对经营食堂的服务、价格等情况进行综合测评，若经营期间发生食物中毒事故或其它重大事故，学校可对经营方作出相应处理直至终止经营合同，没收合同履约保证金及菜品质量、价格控制、优质服务保证金。由此造成的一切损失均由经营方承担，学校不承担任何赔偿义务或其他附加责任。</w:t>
      </w:r>
    </w:p>
    <w:p w14:paraId="6394E7F8">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5.日常经营管理</w:t>
      </w:r>
    </w:p>
    <w:p w14:paraId="247DCB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必须合法自主经营，严格执行《食品卫生法》及国家、地方政府制订的有关餐饮服务的法律、法规、规程、标准，遵守学校的相关制度，服从学校的管理和监督（如服从学校安排在节假日、寒暑假保质保量向师生提供服务等）。</w:t>
      </w:r>
    </w:p>
    <w:p w14:paraId="1E73EB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（2）创造文明就餐的食堂文化氛围，食堂就餐秩序良好。定期主动了解师生的</w:t>
      </w:r>
      <w:r>
        <w:rPr>
          <w:rFonts w:hint="eastAsia" w:ascii="宋体" w:hAnsi="宋体" w:cs="宋体"/>
          <w:color w:val="auto"/>
          <w:sz w:val="24"/>
          <w:highlight w:val="none"/>
          <w:lang w:val="en-US" w:eastAsia="zh-CN"/>
        </w:rPr>
        <w:t>就餐</w:t>
      </w:r>
      <w:r>
        <w:rPr>
          <w:rFonts w:hint="eastAsia" w:ascii="宋体" w:hAnsi="宋体" w:cs="宋体"/>
          <w:color w:val="auto"/>
          <w:sz w:val="24"/>
          <w:highlight w:val="none"/>
        </w:rPr>
        <w:t>要求，调查就餐人员满意度，对检查、测评、提出的意见和建议进行整改。</w:t>
      </w:r>
    </w:p>
    <w:p w14:paraId="4C3DDC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保证一日三餐正点，饭菜</w:t>
      </w:r>
      <w:r>
        <w:rPr>
          <w:rFonts w:hint="eastAsia" w:ascii="宋体" w:hAnsi="宋体" w:cs="宋体"/>
          <w:color w:val="auto"/>
          <w:sz w:val="24"/>
          <w:highlight w:val="none"/>
        </w:rPr>
        <w:t>销售明码标价，基本大伙要以相对稳定</w:t>
      </w:r>
      <w:r>
        <w:rPr>
          <w:rFonts w:hint="eastAsia" w:ascii="宋体" w:hAnsi="宋体" w:cs="宋体"/>
          <w:b/>
          <w:bCs/>
          <w:color w:val="auto"/>
          <w:sz w:val="24"/>
          <w:highlight w:val="none"/>
        </w:rPr>
        <w:t>且较为低廉</w:t>
      </w:r>
      <w:r>
        <w:rPr>
          <w:rFonts w:hint="eastAsia" w:ascii="宋体" w:hAnsi="宋体" w:cs="宋体"/>
          <w:color w:val="auto"/>
          <w:sz w:val="24"/>
          <w:highlight w:val="none"/>
        </w:rPr>
        <w:t>的价格供应米饭、馒头、荤素包子、鸡蛋、白米粥、杂粮粥、豆浆、面条、水饺、鸡蛋汤、各种素菜、荤素混炒、猪肉、鸡肉、鱼肉等家常菜肴，并且保证主副食花色品种不断翻新和多样化。</w:t>
      </w:r>
      <w:r>
        <w:rPr>
          <w:rFonts w:hint="eastAsia" w:ascii="宋体" w:hAnsi="宋体" w:cs="宋体"/>
          <w:bCs/>
          <w:color w:val="auto"/>
          <w:sz w:val="24"/>
          <w:highlight w:val="none"/>
        </w:rPr>
        <w:t>为了能适应不同地区、风俗、口味、经济状况的师生就餐，必须承诺履行菜肴品种丰富，价格有高、中、低搭配（比例原则上为2：5：3）；</w:t>
      </w:r>
      <w:r>
        <w:rPr>
          <w:rFonts w:hint="eastAsia" w:ascii="宋体" w:hAnsi="宋体" w:cs="宋体"/>
          <w:b/>
          <w:color w:val="auto"/>
          <w:sz w:val="24"/>
          <w:highlight w:val="none"/>
        </w:rPr>
        <w:t>价格为2元及以下菜品普通餐销售窗口每餐不少于2个品种，保证不脱销，中、晚餐师生就餐期间必须有足量免费汤供应，且随季节合理更换汤的种类。</w:t>
      </w:r>
      <w:r>
        <w:rPr>
          <w:rFonts w:hint="eastAsia" w:ascii="宋体" w:hAnsi="宋体" w:cs="宋体"/>
          <w:bCs/>
          <w:color w:val="auto"/>
          <w:sz w:val="24"/>
          <w:highlight w:val="none"/>
        </w:rPr>
        <w:t>学生食堂禁止制售国家明令禁止销售的品种和凉菜。不准出售变质、变味、剩饭菜。学校将不定期在师生中调查饭菜质量、数量、价格以及服务情况并将有关信息通知经营者，经营者应虚心听取意见，采取措施及时解决存在的问题。</w:t>
      </w:r>
    </w:p>
    <w:p w14:paraId="7D8E3C8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（4）基本大伙要按投标报价（食堂基本大伙品目参考报价单）为基准，价格相对稳定</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毛利率控制在26%范围内；且基本大伙售饭档口占比全部档口比例不低于60%；不得未经学校同意，减少大伙档口和饭菜花色品种，改为特色档口，而导致学生就餐困难和饭菜价格隐形增加，否则视为违约，学院有权解除合同并扣除履约保证金作为处罚；各种特色餐饮，同类情况下，价格要低于当地市场价的10%以上。</w:t>
      </w:r>
    </w:p>
    <w:p w14:paraId="4093FB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val="0"/>
          <w:bCs w:val="0"/>
          <w:color w:val="auto"/>
          <w:sz w:val="24"/>
          <w:highlight w:val="none"/>
        </w:rPr>
        <w:t>学生</w:t>
      </w:r>
      <w:r>
        <w:rPr>
          <w:rFonts w:hint="eastAsia" w:ascii="宋体" w:hAnsi="宋体" w:cs="宋体"/>
          <w:color w:val="auto"/>
          <w:sz w:val="24"/>
          <w:highlight w:val="none"/>
        </w:rPr>
        <w:t>餐厅要制定详细的特色经营方案，要聘请高水平的厨师和服务团队，创建安徽省一流的文化餐厅品牌。</w:t>
      </w:r>
    </w:p>
    <w:p w14:paraId="7DA758B5">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（6）经营方</w:t>
      </w:r>
      <w:r>
        <w:rPr>
          <w:rFonts w:hint="eastAsia" w:ascii="宋体" w:hAnsi="宋体" w:cs="宋体"/>
          <w:bCs/>
          <w:color w:val="auto"/>
          <w:sz w:val="24"/>
          <w:highlight w:val="none"/>
        </w:rPr>
        <w:t>从事的经营服务范围只限于餐饮服务，不得从事瓶装矿泉水、水果、方便面、袋装零食等校园超市售卖物品类其它非加工制作餐饮品项目的销售服务。每发现一次扣除履约金</w:t>
      </w:r>
      <w:r>
        <w:rPr>
          <w:rFonts w:hint="eastAsia" w:ascii="宋体" w:hAnsi="宋体" w:cs="宋体"/>
          <w:b/>
          <w:color w:val="auto"/>
          <w:sz w:val="24"/>
          <w:highlight w:val="none"/>
        </w:rPr>
        <w:t>500</w:t>
      </w:r>
      <w:r>
        <w:rPr>
          <w:rFonts w:hint="eastAsia" w:ascii="宋体" w:hAnsi="宋体" w:cs="宋体"/>
          <w:bCs/>
          <w:color w:val="auto"/>
          <w:sz w:val="24"/>
          <w:highlight w:val="none"/>
        </w:rPr>
        <w:t>元，情况严重屡犯不改者学校有权解除合同。</w:t>
      </w:r>
    </w:p>
    <w:p w14:paraId="097023E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经营方负责承包食厨废弃物（泔水）的清运，按相关要求招请有资质的单位专门承担此项任务，所发生的费用由经营方承担。食厨废弃物（泔水）按规定投放专用容器中，严禁混入生活垃圾收集桶内，做到日产日清，清除后的容器应及时清洗消毒。若发现食厨废弃物（泔水）混入生活垃圾收集桶内，每发现一次扣除履约金</w:t>
      </w:r>
      <w:r>
        <w:rPr>
          <w:rFonts w:hint="eastAsia" w:ascii="宋体" w:hAnsi="宋体" w:cs="宋体"/>
          <w:b/>
          <w:color w:val="auto"/>
          <w:sz w:val="24"/>
          <w:highlight w:val="none"/>
        </w:rPr>
        <w:t>500</w:t>
      </w:r>
      <w:r>
        <w:rPr>
          <w:rFonts w:hint="eastAsia" w:ascii="宋体" w:hAnsi="宋体" w:cs="宋体"/>
          <w:bCs/>
          <w:color w:val="auto"/>
          <w:sz w:val="24"/>
          <w:highlight w:val="none"/>
        </w:rPr>
        <w:t>元。</w:t>
      </w:r>
    </w:p>
    <w:p w14:paraId="7DA16F38">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6.财务管理要求</w:t>
      </w:r>
    </w:p>
    <w:p w14:paraId="41A3B797">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（1）学校严格按照国家文件规定实行“零租赁”。</w:t>
      </w:r>
    </w:p>
    <w:p w14:paraId="39FB8E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“校园一卡通”（浙江正元为一卡通服务方）、农行智慧食堂扫脸支付</w:t>
      </w:r>
      <w:r>
        <w:rPr>
          <w:rFonts w:hint="eastAsia" w:ascii="宋体" w:hAnsi="宋体" w:cs="宋体"/>
          <w:bCs/>
          <w:color w:val="auto"/>
          <w:sz w:val="24"/>
          <w:highlight w:val="none"/>
          <w:lang w:val="en-US" w:eastAsia="zh-CN"/>
        </w:rPr>
        <w:t>等</w:t>
      </w:r>
      <w:r>
        <w:rPr>
          <w:rFonts w:hint="eastAsia" w:ascii="宋体" w:hAnsi="宋体" w:cs="宋体"/>
          <w:b/>
          <w:bCs/>
          <w:color w:val="auto"/>
          <w:sz w:val="24"/>
          <w:highlight w:val="none"/>
        </w:rPr>
        <w:t>为食堂消费的指定支付方式。</w:t>
      </w:r>
      <w:r>
        <w:rPr>
          <w:rFonts w:hint="eastAsia" w:ascii="宋体" w:hAnsi="宋体" w:cs="宋体"/>
          <w:bCs/>
          <w:color w:val="auto"/>
          <w:sz w:val="24"/>
          <w:highlight w:val="none"/>
        </w:rPr>
        <w:t>学校</w:t>
      </w:r>
      <w:r>
        <w:rPr>
          <w:rFonts w:hint="eastAsia" w:ascii="宋体" w:hAnsi="宋体" w:cs="宋体"/>
          <w:bCs/>
          <w:color w:val="auto"/>
          <w:sz w:val="24"/>
          <w:highlight w:val="none"/>
          <w:lang w:val="en-US" w:eastAsia="zh-CN"/>
        </w:rPr>
        <w:t>已经根据原食堂</w:t>
      </w:r>
      <w:r>
        <w:rPr>
          <w:rFonts w:hint="eastAsia" w:ascii="宋体" w:hAnsi="宋体" w:cs="宋体"/>
          <w:bCs/>
          <w:color w:val="auto"/>
          <w:sz w:val="24"/>
          <w:highlight w:val="none"/>
        </w:rPr>
        <w:t>开设售饭窗口数量布设卡机等支付设施，</w:t>
      </w:r>
      <w:r>
        <w:rPr>
          <w:rFonts w:hint="eastAsia" w:ascii="宋体" w:hAnsi="宋体" w:cs="宋体"/>
          <w:bCs/>
          <w:color w:val="auto"/>
          <w:sz w:val="24"/>
          <w:highlight w:val="none"/>
          <w:lang w:val="en-US" w:eastAsia="zh-CN"/>
        </w:rPr>
        <w:t>中标方</w:t>
      </w:r>
      <w:r>
        <w:rPr>
          <w:rFonts w:hint="eastAsia" w:ascii="宋体" w:hAnsi="宋体" w:cs="宋体"/>
          <w:b/>
          <w:color w:val="auto"/>
          <w:sz w:val="24"/>
          <w:szCs w:val="24"/>
          <w:highlight w:val="none"/>
          <w:lang w:val="en-US" w:eastAsia="zh-CN"/>
        </w:rPr>
        <w:t>在装修改造过程中涉及一卡通设备和线路的拆除，要进行恢复。在合理设置窗口的过程中</w:t>
      </w:r>
      <w:r>
        <w:rPr>
          <w:rFonts w:hint="eastAsia" w:ascii="宋体" w:hAnsi="宋体" w:cs="宋体"/>
          <w:color w:val="auto"/>
          <w:sz w:val="24"/>
          <w:highlight w:val="none"/>
        </w:rPr>
        <w:t>如卡机不够，</w:t>
      </w:r>
      <w:r>
        <w:rPr>
          <w:rFonts w:hint="eastAsia" w:ascii="宋体" w:hAnsi="宋体" w:cs="宋体"/>
          <w:color w:val="auto"/>
          <w:sz w:val="24"/>
          <w:highlight w:val="none"/>
          <w:lang w:val="en-US" w:eastAsia="zh-CN"/>
        </w:rPr>
        <w:t>中标方应</w:t>
      </w:r>
      <w:r>
        <w:rPr>
          <w:rFonts w:hint="eastAsia" w:ascii="宋体" w:hAnsi="宋体" w:cs="宋体"/>
          <w:bCs/>
          <w:color w:val="auto"/>
          <w:sz w:val="24"/>
          <w:highlight w:val="none"/>
        </w:rPr>
        <w:t>提前联系校园一卡通</w:t>
      </w:r>
      <w:r>
        <w:rPr>
          <w:rFonts w:hint="eastAsia" w:ascii="宋体" w:hAnsi="宋体" w:cs="宋体"/>
          <w:bCs/>
          <w:color w:val="auto"/>
          <w:sz w:val="24"/>
          <w:highlight w:val="none"/>
          <w:lang w:eastAsia="zh-CN"/>
        </w:rPr>
        <w:t>，</w:t>
      </w:r>
      <w:r>
        <w:rPr>
          <w:rFonts w:hint="eastAsia" w:ascii="宋体" w:hAnsi="宋体" w:cs="宋体"/>
          <w:color w:val="auto"/>
          <w:sz w:val="24"/>
          <w:highlight w:val="none"/>
        </w:rPr>
        <w:t>自行</w:t>
      </w:r>
      <w:r>
        <w:rPr>
          <w:rFonts w:hint="eastAsia" w:ascii="宋体" w:hAnsi="宋体" w:cs="宋体"/>
          <w:color w:val="auto"/>
          <w:sz w:val="24"/>
          <w:highlight w:val="none"/>
          <w:lang w:val="en-US" w:eastAsia="zh-CN"/>
        </w:rPr>
        <w:t>铺设线路及</w:t>
      </w:r>
      <w:r>
        <w:rPr>
          <w:rFonts w:hint="eastAsia" w:ascii="宋体" w:hAnsi="宋体" w:cs="宋体"/>
          <w:color w:val="auto"/>
          <w:sz w:val="24"/>
          <w:highlight w:val="none"/>
        </w:rPr>
        <w:t>添置卡机</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严禁使用微信、支付宝及现金收费，</w:t>
      </w:r>
      <w:r>
        <w:rPr>
          <w:rFonts w:hint="eastAsia" w:ascii="宋体" w:hAnsi="宋体" w:cs="宋体"/>
          <w:color w:val="auto"/>
          <w:sz w:val="24"/>
          <w:highlight w:val="none"/>
        </w:rPr>
        <w:t>违反规定每次</w:t>
      </w:r>
      <w:r>
        <w:rPr>
          <w:rFonts w:hint="eastAsia" w:ascii="宋体" w:hAnsi="宋体" w:cs="宋体"/>
          <w:b/>
          <w:bCs/>
          <w:color w:val="auto"/>
          <w:sz w:val="24"/>
          <w:highlight w:val="none"/>
        </w:rPr>
        <w:t>每例</w:t>
      </w:r>
      <w:r>
        <w:rPr>
          <w:rFonts w:hint="eastAsia" w:ascii="宋体" w:hAnsi="宋体" w:cs="宋体"/>
          <w:color w:val="auto"/>
          <w:sz w:val="24"/>
          <w:highlight w:val="none"/>
        </w:rPr>
        <w:t>扣除履约保证金500元。</w:t>
      </w:r>
    </w:p>
    <w:p w14:paraId="49ABF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（3）与中标人每月按合同约定结算营业款，水电费按宿州市水电费统一标准收取（目前水按照2.35元/吨、电0.7元/度</w:t>
      </w:r>
      <w:r>
        <w:rPr>
          <w:rFonts w:hint="eastAsia" w:ascii="宋体" w:hAnsi="宋体" w:cs="宋体"/>
          <w:b/>
          <w:bCs/>
          <w:color w:val="auto"/>
          <w:sz w:val="24"/>
          <w:highlight w:val="none"/>
        </w:rPr>
        <w:t>，如有政策调整双方再行协商）</w:t>
      </w:r>
      <w:r>
        <w:rPr>
          <w:rFonts w:hint="eastAsia" w:ascii="宋体" w:hAnsi="宋体" w:cs="宋体"/>
          <w:color w:val="auto"/>
          <w:sz w:val="24"/>
          <w:highlight w:val="none"/>
        </w:rPr>
        <w:t>实行代缴代扣，每月扣除水电费及履约保证金扣除金额后将剩余经营款打入中标人账户。如开通燃气后，燃气费</w:t>
      </w:r>
      <w:r>
        <w:rPr>
          <w:rFonts w:hint="eastAsia" w:ascii="宋体" w:hAnsi="宋体" w:cs="宋体"/>
          <w:b/>
          <w:bCs/>
          <w:color w:val="auto"/>
          <w:sz w:val="24"/>
          <w:highlight w:val="none"/>
        </w:rPr>
        <w:t>由</w:t>
      </w:r>
      <w:r>
        <w:rPr>
          <w:rFonts w:hint="eastAsia" w:ascii="宋体" w:hAnsi="宋体" w:cs="宋体"/>
          <w:color w:val="auto"/>
          <w:sz w:val="24"/>
          <w:highlight w:val="none"/>
        </w:rPr>
        <w:t>中标人自行缴纳。如预留燃气接口不够，中标人自行联系燃气公司按规范添置，费用自理。</w:t>
      </w:r>
    </w:p>
    <w:p w14:paraId="57E2BD6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中标人签订合同后按半年或年度缴纳投标报价的水资源管理费、污水处理费、垃圾清运及垃圾处理费等费用，由中标单位转账到学校财务处指定账户或从经营款中扣除。</w:t>
      </w:r>
    </w:p>
    <w:p w14:paraId="67E996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（4）中标人要注重公益性，建立成本核算机制，严格控制毛利润。</w:t>
      </w:r>
    </w:p>
    <w:p w14:paraId="06B97C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（5）签订风险责任承诺。</w:t>
      </w:r>
    </w:p>
    <w:p w14:paraId="54C16A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中标人必须对自身经营风险承担全部的责任，与校方签订《食品与消防安全责任书》并对卫生与安全责任做出明确承诺。</w:t>
      </w:r>
    </w:p>
    <w:p w14:paraId="0EDFC2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①中标人要按投标书中的条款和双方签订的合同规定，承担全部的安全、卫生、质量、价格、效益、风险等责任。</w:t>
      </w:r>
    </w:p>
    <w:p w14:paraId="5A33F9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②中标人在经营过程中与外界发生的一切债权、债务等纠纷均与学校无关。</w:t>
      </w:r>
    </w:p>
    <w:p w14:paraId="2BF2F8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③中标人不得以任何理由不按时或不充足供应</w:t>
      </w:r>
      <w:r>
        <w:rPr>
          <w:rFonts w:hint="eastAsia" w:ascii="宋体" w:hAnsi="宋体" w:cs="宋体"/>
          <w:b/>
          <w:bCs/>
          <w:color w:val="auto"/>
          <w:sz w:val="24"/>
          <w:highlight w:val="none"/>
        </w:rPr>
        <w:t>师生餐饮服务</w:t>
      </w:r>
      <w:r>
        <w:rPr>
          <w:rFonts w:hint="eastAsia" w:ascii="宋体" w:hAnsi="宋体" w:cs="宋体"/>
          <w:color w:val="auto"/>
          <w:sz w:val="24"/>
          <w:highlight w:val="none"/>
        </w:rPr>
        <w:t>，否则视为违反合同。</w:t>
      </w:r>
    </w:p>
    <w:p w14:paraId="6112226C">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7.日常考核及退出机制</w:t>
      </w:r>
    </w:p>
    <w:p w14:paraId="4FCF6EA0">
      <w:pPr>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（1）严格执行《食品安全法》（</w:t>
      </w:r>
      <w:r>
        <w:rPr>
          <w:rFonts w:hint="eastAsia" w:ascii="宋体" w:hAnsi="宋体" w:cs="宋体"/>
          <w:b/>
          <w:bCs/>
          <w:color w:val="auto"/>
          <w:sz w:val="24"/>
          <w:highlight w:val="none"/>
        </w:rPr>
        <w:t>2021年修订</w:t>
      </w:r>
      <w:r>
        <w:rPr>
          <w:rFonts w:hint="eastAsia" w:ascii="宋体" w:hAnsi="宋体" w:cs="宋体"/>
          <w:color w:val="auto"/>
          <w:sz w:val="24"/>
          <w:highlight w:val="none"/>
        </w:rPr>
        <w:t>）、《学校食品安全与营养健康管理规定》、《消防法》、《皖北卫生职业学院托管食堂管理办法》和其他国家、省厅相关文件、管理制度和A级食堂考核等要求。</w:t>
      </w:r>
      <w:r>
        <w:rPr>
          <w:rFonts w:hint="eastAsia" w:ascii="宋体" w:hAnsi="宋体"/>
          <w:b/>
          <w:bCs/>
          <w:color w:val="auto"/>
          <w:sz w:val="24"/>
          <w:highlight w:val="none"/>
        </w:rPr>
        <w:t>合同期内因食堂提档升级或学校发展需要，学校可能会对食堂进行改造，经营方须无条件服从。</w:t>
      </w:r>
    </w:p>
    <w:p w14:paraId="24DAC066">
      <w:pPr>
        <w:spacing w:line="360" w:lineRule="auto"/>
        <w:ind w:firstLine="480"/>
        <w:outlineLvl w:val="3"/>
        <w:rPr>
          <w:rFonts w:ascii="宋体" w:hAnsi="宋体" w:cs="宋体"/>
          <w:color w:val="auto"/>
          <w:sz w:val="24"/>
          <w:highlight w:val="none"/>
        </w:rPr>
      </w:pPr>
      <w:r>
        <w:rPr>
          <w:rFonts w:hint="eastAsia" w:ascii="宋体" w:hAnsi="宋体" w:cs="宋体"/>
          <w:color w:val="auto"/>
          <w:sz w:val="24"/>
          <w:highlight w:val="none"/>
        </w:rPr>
        <w:t>（2）日常考核</w:t>
      </w:r>
    </w:p>
    <w:p w14:paraId="212A893F">
      <w:pPr>
        <w:spacing w:line="360" w:lineRule="auto"/>
        <w:ind w:firstLine="468"/>
        <w:rPr>
          <w:color w:val="auto"/>
          <w:highlight w:val="none"/>
        </w:rPr>
      </w:pPr>
      <w:r>
        <w:rPr>
          <w:rFonts w:hint="eastAsia" w:ascii="宋体" w:hAnsi="宋体" w:cs="宋体"/>
          <w:b/>
          <w:bCs/>
          <w:color w:val="auto"/>
          <w:sz w:val="24"/>
          <w:highlight w:val="none"/>
        </w:rPr>
        <w:t>经营服务期限：3年（2+1），中标后先签订2年经营服务合同，经营期间每年由学校总务处等相关部门进行师生满意度考核，对综合满意度达到80%以上（含80%），</w:t>
      </w:r>
      <w:r>
        <w:rPr>
          <w:rFonts w:hint="eastAsia" w:ascii="宋体" w:hAnsi="宋体" w:cs="宋体"/>
          <w:b/>
          <w:bCs/>
          <w:color w:val="auto"/>
          <w:sz w:val="24"/>
          <w:szCs w:val="24"/>
          <w:highlight w:val="none"/>
        </w:rPr>
        <w:t>且前2年合同期内无重大食品安全事件；</w:t>
      </w:r>
      <w:r>
        <w:rPr>
          <w:rFonts w:hint="eastAsia" w:asciiTheme="minorEastAsia" w:hAnsiTheme="minorEastAsia" w:eastAsiaTheme="minorEastAsia" w:cstheme="minorEastAsia"/>
          <w:b/>
          <w:bCs/>
          <w:snapToGrid w:val="0"/>
          <w:color w:val="auto"/>
          <w:kern w:val="0"/>
          <w:sz w:val="24"/>
          <w:szCs w:val="24"/>
          <w:highlight w:val="none"/>
        </w:rPr>
        <w:t>被校方因食品安全负面问题书面约谈整改</w:t>
      </w:r>
      <w:r>
        <w:rPr>
          <w:rFonts w:hint="eastAsia" w:asciiTheme="minorEastAsia" w:hAnsiTheme="minorEastAsia" w:eastAsiaTheme="minorEastAsia" w:cstheme="minorEastAsia"/>
          <w:b/>
          <w:bCs/>
          <w:snapToGrid w:val="0"/>
          <w:color w:val="auto"/>
          <w:kern w:val="0"/>
          <w:sz w:val="24"/>
          <w:szCs w:val="24"/>
          <w:highlight w:val="none"/>
          <w:lang w:eastAsia="zh-CN"/>
        </w:rPr>
        <w:t>不多于</w:t>
      </w:r>
      <w:r>
        <w:rPr>
          <w:rFonts w:hint="eastAsia" w:asciiTheme="minorEastAsia" w:hAnsiTheme="minorEastAsia" w:eastAsiaTheme="minorEastAsia" w:cstheme="minorEastAsia"/>
          <w:b/>
          <w:bCs/>
          <w:snapToGrid w:val="0"/>
          <w:color w:val="auto"/>
          <w:kern w:val="0"/>
          <w:sz w:val="24"/>
          <w:szCs w:val="24"/>
          <w:highlight w:val="none"/>
        </w:rPr>
        <w:t>3次；被省、市、区市场监管等部门立案查处不多于1次且及时整改落实的，</w:t>
      </w:r>
      <w:r>
        <w:rPr>
          <w:rFonts w:hint="eastAsia" w:ascii="宋体" w:hAnsi="宋体" w:cs="宋体"/>
          <w:b/>
          <w:bCs/>
          <w:color w:val="auto"/>
          <w:sz w:val="24"/>
          <w:highlight w:val="none"/>
        </w:rPr>
        <w:t>经学校研究同意可以续签第3年合同。</w:t>
      </w:r>
    </w:p>
    <w:p w14:paraId="48366A1E">
      <w:pPr>
        <w:spacing w:line="360" w:lineRule="auto"/>
        <w:ind w:firstLine="470" w:firstLineChars="195"/>
        <w:rPr>
          <w:rFonts w:ascii="宋体" w:hAnsi="宋体" w:cs="宋体"/>
          <w:b/>
          <w:bCs/>
          <w:color w:val="auto"/>
          <w:sz w:val="24"/>
          <w:highlight w:val="none"/>
        </w:rPr>
      </w:pPr>
      <w:r>
        <w:rPr>
          <w:rFonts w:hint="eastAsia" w:ascii="宋体" w:hAnsi="宋体" w:cs="宋体"/>
          <w:b/>
          <w:bCs/>
          <w:color w:val="auto"/>
          <w:sz w:val="24"/>
          <w:highlight w:val="none"/>
        </w:rPr>
        <w:t>合同期满，食堂内学校提供设施设备完好无损，同时中标单位已完全承担全部经济与法律责任（如经济、劳工、合约纠纷、赔偿责任等）并妥善处理后，学校无息退还剩余履约保证金。</w:t>
      </w:r>
    </w:p>
    <w:p w14:paraId="020D567F">
      <w:pPr>
        <w:spacing w:line="360" w:lineRule="auto"/>
        <w:ind w:firstLine="468" w:firstLineChars="195"/>
        <w:outlineLvl w:val="3"/>
        <w:rPr>
          <w:rFonts w:ascii="宋体" w:hAnsi="宋体" w:cs="宋体"/>
          <w:bCs/>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退出机制</w:t>
      </w:r>
    </w:p>
    <w:p w14:paraId="635D77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①正常退出。合同到期自动终止，正常退出。合同到期后，根据合同约定，双方结清相关费用，办理移交手续后，经营者自行退出，合同自动终止。</w:t>
      </w:r>
    </w:p>
    <w:p w14:paraId="0EA33D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②提前退出。出现不可抗拒因素，经营者可提前退出，未尽事宜双方协商解决；因特殊原因经营者无法继续经营，</w:t>
      </w:r>
      <w:r>
        <w:rPr>
          <w:rFonts w:hint="eastAsia" w:ascii="宋体" w:hAnsi="宋体" w:cs="宋体"/>
          <w:b/>
          <w:bCs/>
          <w:color w:val="auto"/>
          <w:sz w:val="24"/>
          <w:highlight w:val="none"/>
        </w:rPr>
        <w:t>可提前6个月书面申请，</w:t>
      </w:r>
      <w:r>
        <w:rPr>
          <w:rFonts w:hint="eastAsia" w:ascii="宋体" w:hAnsi="宋体" w:cs="宋体"/>
          <w:color w:val="auto"/>
          <w:sz w:val="24"/>
          <w:highlight w:val="none"/>
        </w:rPr>
        <w:t>经学校研究批准后，按协议约定办理相关手续后，终止协议。</w:t>
      </w:r>
    </w:p>
    <w:p w14:paraId="00502942">
      <w:pPr>
        <w:spacing w:line="360" w:lineRule="auto"/>
        <w:outlineLvl w:val="4"/>
        <w:rPr>
          <w:rFonts w:ascii="宋体" w:hAnsi="宋体" w:cs="宋体"/>
          <w:color w:val="auto"/>
          <w:sz w:val="24"/>
          <w:highlight w:val="none"/>
        </w:rPr>
      </w:pPr>
      <w:r>
        <w:rPr>
          <w:rFonts w:hint="eastAsia" w:ascii="宋体" w:hAnsi="宋体" w:cs="宋体"/>
          <w:color w:val="auto"/>
          <w:sz w:val="24"/>
          <w:highlight w:val="none"/>
        </w:rPr>
        <w:t xml:space="preserve">    ③强制退出</w:t>
      </w:r>
    </w:p>
    <w:p w14:paraId="10B980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对引进的中标人，在经营期内出现下列情况之一，学校有权取消其经营资格，责令退出食堂经营，投入的装修、设备等全部归校方所有。</w:t>
      </w:r>
    </w:p>
    <w:p w14:paraId="41D1AB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A.发生食物中毒、火灾及违反规定给学校造成重大不良影响的；</w:t>
      </w:r>
    </w:p>
    <w:p w14:paraId="6E0475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B.引进的中标人在学校经营过程中违法而受到司法部门处理的；</w:t>
      </w:r>
    </w:p>
    <w:p w14:paraId="75C6A5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C.因擅自提高价格，或因食品卫生安全和服务质量存在问题等引发群体事件影响恶劣的；</w:t>
      </w:r>
    </w:p>
    <w:p w14:paraId="1F500BB0">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D.考核符合退出条件的；</w:t>
      </w:r>
    </w:p>
    <w:p w14:paraId="2C86B514">
      <w:pPr>
        <w:spacing w:line="360" w:lineRule="auto"/>
        <w:ind w:firstLine="495"/>
        <w:rPr>
          <w:rFonts w:ascii="宋体" w:hAnsi="宋体" w:cs="宋体"/>
          <w:bCs/>
          <w:color w:val="auto"/>
          <w:sz w:val="24"/>
          <w:highlight w:val="none"/>
        </w:rPr>
      </w:pPr>
      <w:r>
        <w:rPr>
          <w:rFonts w:hint="eastAsia" w:ascii="宋体" w:hAnsi="宋体" w:cs="宋体"/>
          <w:color w:val="auto"/>
          <w:sz w:val="24"/>
          <w:highlight w:val="none"/>
        </w:rPr>
        <w:t>E.</w:t>
      </w:r>
      <w:r>
        <w:rPr>
          <w:rFonts w:hint="eastAsia" w:ascii="宋体" w:hAnsi="宋体" w:cs="宋体"/>
          <w:bCs/>
          <w:color w:val="auto"/>
          <w:sz w:val="24"/>
          <w:highlight w:val="none"/>
        </w:rPr>
        <w:t>有转包和分包的；</w:t>
      </w:r>
    </w:p>
    <w:p w14:paraId="6C39496F">
      <w:pPr>
        <w:spacing w:line="360" w:lineRule="auto"/>
        <w:ind w:firstLine="495"/>
        <w:rPr>
          <w:color w:val="auto"/>
          <w:highlight w:val="none"/>
        </w:rPr>
      </w:pPr>
      <w:r>
        <w:rPr>
          <w:rFonts w:hint="eastAsia" w:ascii="宋体" w:hAnsi="宋体" w:cs="宋体"/>
          <w:bCs/>
          <w:color w:val="auto"/>
          <w:sz w:val="24"/>
          <w:highlight w:val="none"/>
        </w:rPr>
        <w:t>F.没有认真落实省教育厅下达学校“面向采购”消费帮扶乡村振兴任务的。</w:t>
      </w:r>
    </w:p>
    <w:p w14:paraId="635C467C">
      <w:pPr>
        <w:pStyle w:val="2"/>
        <w:spacing w:line="360" w:lineRule="auto"/>
        <w:ind w:firstLine="640"/>
        <w:rPr>
          <w:color w:val="auto"/>
          <w:highlight w:val="none"/>
        </w:rPr>
      </w:pPr>
    </w:p>
    <w:p w14:paraId="19DA3EB6">
      <w:pPr>
        <w:spacing w:line="360" w:lineRule="auto"/>
        <w:jc w:val="center"/>
        <w:outlineLvl w:val="2"/>
        <w:rPr>
          <w:rFonts w:ascii="宋体" w:hAnsi="宋体" w:cs="宋体"/>
          <w:b/>
          <w:color w:val="auto"/>
          <w:sz w:val="24"/>
          <w:highlight w:val="none"/>
          <w:u w:val="single"/>
        </w:rPr>
      </w:pPr>
      <w:r>
        <w:rPr>
          <w:rFonts w:hint="eastAsia" w:ascii="宋体" w:hAnsi="宋体" w:cs="宋体"/>
          <w:b/>
          <w:color w:val="auto"/>
          <w:sz w:val="24"/>
          <w:highlight w:val="none"/>
          <w:u w:val="single"/>
        </w:rPr>
        <w:t>食堂基本大伙品目参考报价单</w:t>
      </w:r>
    </w:p>
    <w:tbl>
      <w:tblPr>
        <w:tblStyle w:val="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058"/>
        <w:gridCol w:w="823"/>
        <w:gridCol w:w="1061"/>
        <w:gridCol w:w="4020"/>
      </w:tblGrid>
      <w:tr w14:paraId="4B64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vMerge w:val="restart"/>
            <w:tcBorders>
              <w:top w:val="single" w:color="auto" w:sz="4" w:space="0"/>
              <w:left w:val="single" w:color="auto" w:sz="4" w:space="0"/>
              <w:bottom w:val="single" w:color="auto" w:sz="4" w:space="0"/>
              <w:right w:val="single" w:color="auto" w:sz="4" w:space="0"/>
            </w:tcBorders>
            <w:vAlign w:val="center"/>
          </w:tcPr>
          <w:p w14:paraId="04589AE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菜品名称</w:t>
            </w:r>
          </w:p>
        </w:tc>
        <w:tc>
          <w:tcPr>
            <w:tcW w:w="1881" w:type="dxa"/>
            <w:gridSpan w:val="2"/>
            <w:tcBorders>
              <w:top w:val="single" w:color="auto" w:sz="4" w:space="0"/>
              <w:left w:val="single" w:color="auto" w:sz="4" w:space="0"/>
              <w:bottom w:val="single" w:color="auto" w:sz="4" w:space="0"/>
              <w:right w:val="single" w:color="auto" w:sz="4" w:space="0"/>
            </w:tcBorders>
            <w:vAlign w:val="center"/>
          </w:tcPr>
          <w:p w14:paraId="1FD320AC">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份量</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14:paraId="1125E14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报价</w:t>
            </w:r>
          </w:p>
          <w:p w14:paraId="0F1F6EC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（元）</w:t>
            </w:r>
          </w:p>
        </w:tc>
        <w:tc>
          <w:tcPr>
            <w:tcW w:w="4020" w:type="dxa"/>
            <w:vMerge w:val="restart"/>
            <w:tcBorders>
              <w:top w:val="single" w:color="auto" w:sz="4" w:space="0"/>
              <w:left w:val="single" w:color="auto" w:sz="4" w:space="0"/>
              <w:bottom w:val="single" w:color="auto" w:sz="4" w:space="0"/>
              <w:right w:val="single" w:color="auto" w:sz="4" w:space="0"/>
            </w:tcBorders>
            <w:vAlign w:val="center"/>
          </w:tcPr>
          <w:p w14:paraId="708E9470">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E3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vMerge w:val="continue"/>
            <w:tcBorders>
              <w:top w:val="single" w:color="auto" w:sz="4" w:space="0"/>
              <w:left w:val="single" w:color="auto" w:sz="4" w:space="0"/>
              <w:bottom w:val="single" w:color="auto" w:sz="4" w:space="0"/>
              <w:right w:val="single" w:color="auto" w:sz="4" w:space="0"/>
            </w:tcBorders>
            <w:vAlign w:val="center"/>
          </w:tcPr>
          <w:p w14:paraId="0DC5392F">
            <w:pPr>
              <w:spacing w:line="360" w:lineRule="auto"/>
              <w:jc w:val="center"/>
              <w:rPr>
                <w:rFonts w:ascii="宋体" w:hAnsi="宋体" w:cs="宋体"/>
                <w:color w:val="auto"/>
                <w:sz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3E7F0B9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823" w:type="dxa"/>
            <w:tcBorders>
              <w:top w:val="single" w:color="auto" w:sz="4" w:space="0"/>
              <w:left w:val="single" w:color="auto" w:sz="4" w:space="0"/>
              <w:bottom w:val="single" w:color="auto" w:sz="4" w:space="0"/>
              <w:right w:val="single" w:color="auto" w:sz="4" w:space="0"/>
            </w:tcBorders>
            <w:vAlign w:val="center"/>
          </w:tcPr>
          <w:p w14:paraId="516CAF1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14:paraId="6783FB90">
            <w:pPr>
              <w:spacing w:line="360" w:lineRule="auto"/>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14:paraId="70095DDC">
            <w:pPr>
              <w:spacing w:line="360" w:lineRule="auto"/>
              <w:jc w:val="center"/>
              <w:rPr>
                <w:rFonts w:ascii="宋体" w:hAnsi="宋体" w:cs="宋体"/>
                <w:color w:val="auto"/>
                <w:sz w:val="24"/>
                <w:highlight w:val="none"/>
              </w:rPr>
            </w:pPr>
          </w:p>
        </w:tc>
      </w:tr>
      <w:tr w14:paraId="499C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105249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白米饭</w:t>
            </w:r>
          </w:p>
        </w:tc>
        <w:tc>
          <w:tcPr>
            <w:tcW w:w="1058" w:type="dxa"/>
            <w:tcBorders>
              <w:top w:val="single" w:color="auto" w:sz="4" w:space="0"/>
              <w:left w:val="single" w:color="auto" w:sz="4" w:space="0"/>
              <w:bottom w:val="single" w:color="auto" w:sz="4" w:space="0"/>
              <w:right w:val="single" w:color="auto" w:sz="4" w:space="0"/>
            </w:tcBorders>
            <w:vAlign w:val="center"/>
          </w:tcPr>
          <w:p w14:paraId="67269F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2B3C4F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w:t>
            </w:r>
          </w:p>
        </w:tc>
        <w:tc>
          <w:tcPr>
            <w:tcW w:w="1061" w:type="dxa"/>
            <w:tcBorders>
              <w:top w:val="single" w:color="auto" w:sz="4" w:space="0"/>
              <w:left w:val="single" w:color="auto" w:sz="4" w:space="0"/>
              <w:bottom w:val="single" w:color="auto" w:sz="4" w:space="0"/>
              <w:right w:val="single" w:color="auto" w:sz="4" w:space="0"/>
            </w:tcBorders>
            <w:vAlign w:val="center"/>
          </w:tcPr>
          <w:p w14:paraId="079A3B82">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437252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中、晚餐必提供</w:t>
            </w:r>
          </w:p>
        </w:tc>
      </w:tr>
      <w:tr w14:paraId="6E19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5D904A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精面馒头</w:t>
            </w:r>
          </w:p>
        </w:tc>
        <w:tc>
          <w:tcPr>
            <w:tcW w:w="1058" w:type="dxa"/>
            <w:tcBorders>
              <w:top w:val="single" w:color="auto" w:sz="4" w:space="0"/>
              <w:left w:val="single" w:color="auto" w:sz="4" w:space="0"/>
              <w:bottom w:val="single" w:color="auto" w:sz="4" w:space="0"/>
              <w:right w:val="single" w:color="auto" w:sz="4" w:space="0"/>
            </w:tcBorders>
            <w:vAlign w:val="center"/>
          </w:tcPr>
          <w:p w14:paraId="2CA44A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480106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14:paraId="4FA5C0AB">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5FDBDD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早、中、晚三餐必提供</w:t>
            </w:r>
          </w:p>
        </w:tc>
      </w:tr>
      <w:tr w14:paraId="1869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6F5DE3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鲜肉包子</w:t>
            </w:r>
          </w:p>
        </w:tc>
        <w:tc>
          <w:tcPr>
            <w:tcW w:w="1058" w:type="dxa"/>
            <w:tcBorders>
              <w:top w:val="single" w:color="auto" w:sz="4" w:space="0"/>
              <w:left w:val="single" w:color="auto" w:sz="4" w:space="0"/>
              <w:bottom w:val="single" w:color="auto" w:sz="4" w:space="0"/>
              <w:right w:val="single" w:color="auto" w:sz="4" w:space="0"/>
            </w:tcBorders>
            <w:vAlign w:val="center"/>
          </w:tcPr>
          <w:p w14:paraId="5B22CB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747179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14:paraId="7F4272E9">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3E1F7F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早、晚餐必提供</w:t>
            </w:r>
          </w:p>
        </w:tc>
      </w:tr>
      <w:tr w14:paraId="3EB2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788E68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素馅包子</w:t>
            </w:r>
          </w:p>
        </w:tc>
        <w:tc>
          <w:tcPr>
            <w:tcW w:w="1058" w:type="dxa"/>
            <w:tcBorders>
              <w:top w:val="single" w:color="auto" w:sz="4" w:space="0"/>
              <w:left w:val="single" w:color="auto" w:sz="4" w:space="0"/>
              <w:bottom w:val="single" w:color="auto" w:sz="4" w:space="0"/>
              <w:right w:val="single" w:color="auto" w:sz="4" w:space="0"/>
            </w:tcBorders>
            <w:vAlign w:val="center"/>
          </w:tcPr>
          <w:p w14:paraId="611BDD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442DCB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110</w:t>
            </w:r>
          </w:p>
        </w:tc>
        <w:tc>
          <w:tcPr>
            <w:tcW w:w="1061" w:type="dxa"/>
            <w:tcBorders>
              <w:top w:val="single" w:color="auto" w:sz="4" w:space="0"/>
              <w:left w:val="single" w:color="auto" w:sz="4" w:space="0"/>
              <w:bottom w:val="single" w:color="auto" w:sz="4" w:space="0"/>
              <w:right w:val="single" w:color="auto" w:sz="4" w:space="0"/>
            </w:tcBorders>
            <w:vAlign w:val="center"/>
          </w:tcPr>
          <w:p w14:paraId="5A5801C6">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48203E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早、晚餐必提供</w:t>
            </w:r>
          </w:p>
        </w:tc>
      </w:tr>
      <w:tr w14:paraId="6E1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6AB447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茶叶蛋</w:t>
            </w:r>
          </w:p>
        </w:tc>
        <w:tc>
          <w:tcPr>
            <w:tcW w:w="1058" w:type="dxa"/>
            <w:tcBorders>
              <w:top w:val="single" w:color="auto" w:sz="4" w:space="0"/>
              <w:left w:val="single" w:color="auto" w:sz="4" w:space="0"/>
              <w:bottom w:val="single" w:color="auto" w:sz="4" w:space="0"/>
              <w:right w:val="single" w:color="auto" w:sz="4" w:space="0"/>
            </w:tcBorders>
            <w:vAlign w:val="center"/>
          </w:tcPr>
          <w:p w14:paraId="22C02BC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个</w:t>
            </w:r>
          </w:p>
        </w:tc>
        <w:tc>
          <w:tcPr>
            <w:tcW w:w="823" w:type="dxa"/>
            <w:tcBorders>
              <w:top w:val="single" w:color="auto" w:sz="4" w:space="0"/>
              <w:left w:val="single" w:color="auto" w:sz="4" w:space="0"/>
              <w:bottom w:val="single" w:color="auto" w:sz="4" w:space="0"/>
              <w:right w:val="single" w:color="auto" w:sz="4" w:space="0"/>
            </w:tcBorders>
            <w:vAlign w:val="center"/>
          </w:tcPr>
          <w:p w14:paraId="333A8C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14:paraId="56503C20">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10349E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早餐必提供</w:t>
            </w:r>
          </w:p>
        </w:tc>
      </w:tr>
      <w:tr w14:paraId="7F76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1442A3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白米粥</w:t>
            </w:r>
          </w:p>
        </w:tc>
        <w:tc>
          <w:tcPr>
            <w:tcW w:w="1058" w:type="dxa"/>
            <w:tcBorders>
              <w:top w:val="single" w:color="auto" w:sz="4" w:space="0"/>
              <w:left w:val="single" w:color="auto" w:sz="4" w:space="0"/>
              <w:bottom w:val="single" w:color="auto" w:sz="4" w:space="0"/>
              <w:right w:val="single" w:color="auto" w:sz="4" w:space="0"/>
            </w:tcBorders>
            <w:vAlign w:val="center"/>
          </w:tcPr>
          <w:p w14:paraId="76D5C4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14:paraId="60FC93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14:paraId="528AC599">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603637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碗口直径15cm,早、晚餐必提供</w:t>
            </w:r>
          </w:p>
        </w:tc>
      </w:tr>
      <w:tr w14:paraId="3DD8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19D0D9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杂粮粥</w:t>
            </w:r>
          </w:p>
        </w:tc>
        <w:tc>
          <w:tcPr>
            <w:tcW w:w="1058" w:type="dxa"/>
            <w:tcBorders>
              <w:top w:val="single" w:color="auto" w:sz="4" w:space="0"/>
              <w:left w:val="single" w:color="auto" w:sz="4" w:space="0"/>
              <w:bottom w:val="single" w:color="auto" w:sz="4" w:space="0"/>
              <w:right w:val="single" w:color="auto" w:sz="4" w:space="0"/>
            </w:tcBorders>
            <w:vAlign w:val="center"/>
          </w:tcPr>
          <w:p w14:paraId="447344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14:paraId="525057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14:paraId="62A32B47">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66AC93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碗口直径15cm,早、晚餐必提供</w:t>
            </w:r>
          </w:p>
        </w:tc>
      </w:tr>
      <w:tr w14:paraId="21F0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5FCC2B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豆浆</w:t>
            </w:r>
          </w:p>
        </w:tc>
        <w:tc>
          <w:tcPr>
            <w:tcW w:w="1058" w:type="dxa"/>
            <w:tcBorders>
              <w:top w:val="single" w:color="auto" w:sz="4" w:space="0"/>
              <w:left w:val="single" w:color="auto" w:sz="4" w:space="0"/>
              <w:bottom w:val="single" w:color="auto" w:sz="4" w:space="0"/>
              <w:right w:val="single" w:color="auto" w:sz="4" w:space="0"/>
            </w:tcBorders>
            <w:vAlign w:val="center"/>
          </w:tcPr>
          <w:p w14:paraId="68E570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14:paraId="40542B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14:paraId="0016B053">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2F9B63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碗口直径15cm, 早餐必提供</w:t>
            </w:r>
          </w:p>
        </w:tc>
      </w:tr>
      <w:tr w14:paraId="0A8E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7" w:type="dxa"/>
            <w:tcBorders>
              <w:top w:val="single" w:color="auto" w:sz="4" w:space="0"/>
              <w:left w:val="single" w:color="auto" w:sz="4" w:space="0"/>
              <w:bottom w:val="single" w:color="auto" w:sz="4" w:space="0"/>
              <w:right w:val="single" w:color="auto" w:sz="4" w:space="0"/>
            </w:tcBorders>
            <w:vAlign w:val="center"/>
          </w:tcPr>
          <w:p w14:paraId="778BC6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素菜面条</w:t>
            </w:r>
          </w:p>
          <w:p w14:paraId="302AA1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（挂面）</w:t>
            </w:r>
          </w:p>
        </w:tc>
        <w:tc>
          <w:tcPr>
            <w:tcW w:w="1058" w:type="dxa"/>
            <w:tcBorders>
              <w:top w:val="single" w:color="auto" w:sz="4" w:space="0"/>
              <w:left w:val="single" w:color="auto" w:sz="4" w:space="0"/>
              <w:bottom w:val="single" w:color="auto" w:sz="4" w:space="0"/>
              <w:right w:val="single" w:color="auto" w:sz="4" w:space="0"/>
            </w:tcBorders>
            <w:vAlign w:val="center"/>
          </w:tcPr>
          <w:p w14:paraId="66A470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14:paraId="41D4C6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14:paraId="733C4313">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3E1C83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碗口直径17cm, 晚餐必提供</w:t>
            </w:r>
          </w:p>
        </w:tc>
      </w:tr>
      <w:tr w14:paraId="6FAB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6FF03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肉丝汤面条</w:t>
            </w:r>
          </w:p>
          <w:p w14:paraId="3AEFEB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（挂面）</w:t>
            </w:r>
          </w:p>
        </w:tc>
        <w:tc>
          <w:tcPr>
            <w:tcW w:w="1058" w:type="dxa"/>
            <w:tcBorders>
              <w:top w:val="single" w:color="auto" w:sz="4" w:space="0"/>
              <w:left w:val="single" w:color="auto" w:sz="4" w:space="0"/>
              <w:bottom w:val="single" w:color="auto" w:sz="4" w:space="0"/>
              <w:right w:val="single" w:color="auto" w:sz="4" w:space="0"/>
            </w:tcBorders>
            <w:vAlign w:val="center"/>
          </w:tcPr>
          <w:p w14:paraId="7BB39E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14:paraId="465FD9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１</w:t>
            </w:r>
          </w:p>
        </w:tc>
        <w:tc>
          <w:tcPr>
            <w:tcW w:w="1061" w:type="dxa"/>
            <w:tcBorders>
              <w:top w:val="single" w:color="auto" w:sz="4" w:space="0"/>
              <w:left w:val="single" w:color="auto" w:sz="4" w:space="0"/>
              <w:bottom w:val="single" w:color="auto" w:sz="4" w:space="0"/>
              <w:right w:val="single" w:color="auto" w:sz="4" w:space="0"/>
            </w:tcBorders>
            <w:vAlign w:val="center"/>
          </w:tcPr>
          <w:p w14:paraId="44E36C93">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7081F1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碗口直径17cm, 晚餐必提供</w:t>
            </w:r>
          </w:p>
        </w:tc>
      </w:tr>
      <w:tr w14:paraId="2B4B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2551A9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现冲鸡蛋高汤</w:t>
            </w:r>
          </w:p>
        </w:tc>
        <w:tc>
          <w:tcPr>
            <w:tcW w:w="1058" w:type="dxa"/>
            <w:tcBorders>
              <w:top w:val="single" w:color="auto" w:sz="4" w:space="0"/>
              <w:left w:val="single" w:color="auto" w:sz="4" w:space="0"/>
              <w:bottom w:val="single" w:color="auto" w:sz="4" w:space="0"/>
              <w:right w:val="single" w:color="auto" w:sz="4" w:space="0"/>
            </w:tcBorders>
            <w:vAlign w:val="center"/>
          </w:tcPr>
          <w:p w14:paraId="5E52027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碗</w:t>
            </w:r>
          </w:p>
        </w:tc>
        <w:tc>
          <w:tcPr>
            <w:tcW w:w="823" w:type="dxa"/>
            <w:tcBorders>
              <w:top w:val="single" w:color="auto" w:sz="4" w:space="0"/>
              <w:left w:val="single" w:color="auto" w:sz="4" w:space="0"/>
              <w:bottom w:val="single" w:color="auto" w:sz="4" w:space="0"/>
              <w:right w:val="single" w:color="auto" w:sz="4" w:space="0"/>
            </w:tcBorders>
            <w:vAlign w:val="center"/>
          </w:tcPr>
          <w:p w14:paraId="55000C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１</w:t>
            </w:r>
          </w:p>
        </w:tc>
        <w:tc>
          <w:tcPr>
            <w:tcW w:w="1061" w:type="dxa"/>
            <w:tcBorders>
              <w:top w:val="single" w:color="auto" w:sz="4" w:space="0"/>
              <w:left w:val="single" w:color="auto" w:sz="4" w:space="0"/>
              <w:bottom w:val="single" w:color="auto" w:sz="4" w:space="0"/>
              <w:right w:val="single" w:color="auto" w:sz="4" w:space="0"/>
            </w:tcBorders>
            <w:vAlign w:val="center"/>
          </w:tcPr>
          <w:p w14:paraId="5C6CBEEB">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742866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汤质必须为大骨汤或鸡汤类高汤，碗口直径15cm, 早餐必提供</w:t>
            </w:r>
          </w:p>
        </w:tc>
      </w:tr>
      <w:tr w14:paraId="5A9A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77" w:type="dxa"/>
            <w:tcBorders>
              <w:top w:val="single" w:color="auto" w:sz="4" w:space="0"/>
              <w:left w:val="single" w:color="auto" w:sz="4" w:space="0"/>
              <w:bottom w:val="single" w:color="auto" w:sz="4" w:space="0"/>
              <w:right w:val="single" w:color="auto" w:sz="4" w:space="0"/>
            </w:tcBorders>
            <w:vAlign w:val="center"/>
          </w:tcPr>
          <w:p w14:paraId="3F6BEF8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低价素菜</w:t>
            </w:r>
          </w:p>
        </w:tc>
        <w:tc>
          <w:tcPr>
            <w:tcW w:w="1058" w:type="dxa"/>
            <w:tcBorders>
              <w:top w:val="single" w:color="auto" w:sz="4" w:space="0"/>
              <w:left w:val="single" w:color="auto" w:sz="4" w:space="0"/>
              <w:bottom w:val="single" w:color="auto" w:sz="4" w:space="0"/>
              <w:right w:val="single" w:color="auto" w:sz="4" w:space="0"/>
            </w:tcBorders>
            <w:vAlign w:val="center"/>
          </w:tcPr>
          <w:p w14:paraId="6B48392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33B02E10">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14:paraId="617473C5">
            <w:pPr>
              <w:spacing w:line="360" w:lineRule="auto"/>
              <w:jc w:val="center"/>
              <w:rPr>
                <w:rFonts w:ascii="宋体" w:hAnsi="宋体" w:cs="宋体"/>
                <w:b/>
                <w:bCs/>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5A423FB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如土豆丝类，中、晚餐必提供，每餐不少于2个</w:t>
            </w:r>
          </w:p>
        </w:tc>
      </w:tr>
      <w:tr w14:paraId="77B5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59985A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时令叶类素菜</w:t>
            </w:r>
          </w:p>
        </w:tc>
        <w:tc>
          <w:tcPr>
            <w:tcW w:w="1058" w:type="dxa"/>
            <w:tcBorders>
              <w:top w:val="single" w:color="auto" w:sz="4" w:space="0"/>
              <w:left w:val="single" w:color="auto" w:sz="4" w:space="0"/>
              <w:bottom w:val="single" w:color="auto" w:sz="4" w:space="0"/>
              <w:right w:val="single" w:color="auto" w:sz="4" w:space="0"/>
            </w:tcBorders>
            <w:vAlign w:val="center"/>
          </w:tcPr>
          <w:p w14:paraId="663B77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3E173C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14:paraId="25A9D3F7">
            <w:pPr>
              <w:spacing w:line="360" w:lineRule="auto"/>
              <w:jc w:val="center"/>
              <w:rPr>
                <w:rFonts w:ascii="宋体" w:hAnsi="宋体" w:cs="宋体"/>
                <w:color w:val="auto"/>
                <w:sz w:val="24"/>
                <w:highlight w:val="none"/>
              </w:rPr>
            </w:pPr>
          </w:p>
        </w:tc>
        <w:tc>
          <w:tcPr>
            <w:tcW w:w="4020" w:type="dxa"/>
            <w:vMerge w:val="restart"/>
            <w:tcBorders>
              <w:top w:val="single" w:color="auto" w:sz="4" w:space="0"/>
              <w:left w:val="single" w:color="auto" w:sz="4" w:space="0"/>
              <w:bottom w:val="single" w:color="auto" w:sz="4" w:space="0"/>
              <w:right w:val="single" w:color="auto" w:sz="4" w:space="0"/>
            </w:tcBorders>
            <w:vAlign w:val="center"/>
          </w:tcPr>
          <w:p w14:paraId="0F32AD3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中、晚餐必提供，所有菜品每餐不少于15个。其中，“荤素混炒”中的荤菜以猪肉丝、肉片报价，荤素比为4:6</w:t>
            </w:r>
          </w:p>
        </w:tc>
      </w:tr>
      <w:tr w14:paraId="4066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0ABD73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时令瓜果类素菜</w:t>
            </w:r>
          </w:p>
        </w:tc>
        <w:tc>
          <w:tcPr>
            <w:tcW w:w="1058" w:type="dxa"/>
            <w:tcBorders>
              <w:top w:val="single" w:color="auto" w:sz="4" w:space="0"/>
              <w:left w:val="single" w:color="auto" w:sz="4" w:space="0"/>
              <w:bottom w:val="single" w:color="auto" w:sz="4" w:space="0"/>
              <w:right w:val="single" w:color="auto" w:sz="4" w:space="0"/>
            </w:tcBorders>
            <w:vAlign w:val="center"/>
          </w:tcPr>
          <w:p w14:paraId="0F7DD5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563578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14:paraId="4ED9F83B">
            <w:pPr>
              <w:spacing w:line="360" w:lineRule="auto"/>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14:paraId="7F1F9CED">
            <w:pPr>
              <w:spacing w:line="360" w:lineRule="auto"/>
              <w:jc w:val="center"/>
              <w:rPr>
                <w:rFonts w:ascii="宋体" w:hAnsi="宋体" w:cs="宋体"/>
                <w:color w:val="auto"/>
                <w:sz w:val="24"/>
                <w:highlight w:val="none"/>
              </w:rPr>
            </w:pPr>
          </w:p>
        </w:tc>
      </w:tr>
      <w:tr w14:paraId="5446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7" w:type="dxa"/>
            <w:tcBorders>
              <w:top w:val="single" w:color="auto" w:sz="4" w:space="0"/>
              <w:left w:val="single" w:color="auto" w:sz="4" w:space="0"/>
              <w:bottom w:val="single" w:color="auto" w:sz="4" w:space="0"/>
              <w:right w:val="single" w:color="auto" w:sz="4" w:space="0"/>
            </w:tcBorders>
            <w:vAlign w:val="center"/>
          </w:tcPr>
          <w:p w14:paraId="5AD96A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荤素混炒</w:t>
            </w:r>
          </w:p>
        </w:tc>
        <w:tc>
          <w:tcPr>
            <w:tcW w:w="1058" w:type="dxa"/>
            <w:tcBorders>
              <w:top w:val="single" w:color="auto" w:sz="4" w:space="0"/>
              <w:left w:val="single" w:color="auto" w:sz="4" w:space="0"/>
              <w:bottom w:val="single" w:color="auto" w:sz="4" w:space="0"/>
              <w:right w:val="single" w:color="auto" w:sz="4" w:space="0"/>
            </w:tcBorders>
            <w:vAlign w:val="center"/>
          </w:tcPr>
          <w:p w14:paraId="713DE9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3E4EC1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14:paraId="72B0657E">
            <w:pPr>
              <w:spacing w:line="360" w:lineRule="auto"/>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14:paraId="2342365F">
            <w:pPr>
              <w:spacing w:line="360" w:lineRule="auto"/>
              <w:jc w:val="center"/>
              <w:rPr>
                <w:rFonts w:ascii="宋体" w:hAnsi="宋体" w:cs="宋体"/>
                <w:color w:val="auto"/>
                <w:sz w:val="24"/>
                <w:highlight w:val="none"/>
              </w:rPr>
            </w:pPr>
          </w:p>
        </w:tc>
      </w:tr>
      <w:tr w14:paraId="5888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78486F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荤素混烧</w:t>
            </w:r>
          </w:p>
        </w:tc>
        <w:tc>
          <w:tcPr>
            <w:tcW w:w="1058" w:type="dxa"/>
            <w:tcBorders>
              <w:top w:val="single" w:color="auto" w:sz="4" w:space="0"/>
              <w:left w:val="single" w:color="auto" w:sz="4" w:space="0"/>
              <w:bottom w:val="single" w:color="auto" w:sz="4" w:space="0"/>
              <w:right w:val="single" w:color="auto" w:sz="4" w:space="0"/>
            </w:tcBorders>
            <w:vAlign w:val="center"/>
          </w:tcPr>
          <w:p w14:paraId="0AA34F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24941C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120</w:t>
            </w:r>
          </w:p>
        </w:tc>
        <w:tc>
          <w:tcPr>
            <w:tcW w:w="1061" w:type="dxa"/>
            <w:tcBorders>
              <w:top w:val="single" w:color="auto" w:sz="4" w:space="0"/>
              <w:left w:val="single" w:color="auto" w:sz="4" w:space="0"/>
              <w:bottom w:val="single" w:color="auto" w:sz="4" w:space="0"/>
              <w:right w:val="single" w:color="auto" w:sz="4" w:space="0"/>
            </w:tcBorders>
            <w:vAlign w:val="center"/>
          </w:tcPr>
          <w:p w14:paraId="1374A384">
            <w:pPr>
              <w:spacing w:line="360" w:lineRule="auto"/>
              <w:jc w:val="center"/>
              <w:rPr>
                <w:rFonts w:ascii="宋体" w:hAnsi="宋体" w:cs="宋体"/>
                <w:color w:val="auto"/>
                <w:sz w:val="24"/>
                <w:highlight w:val="none"/>
              </w:rPr>
            </w:pPr>
          </w:p>
        </w:tc>
        <w:tc>
          <w:tcPr>
            <w:tcW w:w="4020" w:type="dxa"/>
            <w:vMerge w:val="restart"/>
            <w:tcBorders>
              <w:top w:val="single" w:color="auto" w:sz="4" w:space="0"/>
              <w:left w:val="single" w:color="auto" w:sz="4" w:space="0"/>
              <w:bottom w:val="single" w:color="auto" w:sz="4" w:space="0"/>
              <w:right w:val="single" w:color="auto" w:sz="4" w:space="0"/>
            </w:tcBorders>
            <w:vAlign w:val="center"/>
          </w:tcPr>
          <w:p w14:paraId="131ED8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中、晚餐必提供，所有菜品每餐不少于10个。其中，“荤素混烧”中的荤菜以猪肉报价，荤素比为5:5</w:t>
            </w:r>
          </w:p>
        </w:tc>
      </w:tr>
      <w:tr w14:paraId="3B02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5131C5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纯烧猪肉</w:t>
            </w:r>
          </w:p>
        </w:tc>
        <w:tc>
          <w:tcPr>
            <w:tcW w:w="1058" w:type="dxa"/>
            <w:tcBorders>
              <w:top w:val="single" w:color="auto" w:sz="4" w:space="0"/>
              <w:left w:val="single" w:color="auto" w:sz="4" w:space="0"/>
              <w:bottom w:val="single" w:color="auto" w:sz="4" w:space="0"/>
              <w:right w:val="single" w:color="auto" w:sz="4" w:space="0"/>
            </w:tcBorders>
            <w:vAlign w:val="center"/>
          </w:tcPr>
          <w:p w14:paraId="3AFAFB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29F18F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14:paraId="33F2F705">
            <w:pPr>
              <w:spacing w:line="360" w:lineRule="auto"/>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14:paraId="72687705">
            <w:pPr>
              <w:spacing w:line="360" w:lineRule="auto"/>
              <w:jc w:val="center"/>
              <w:rPr>
                <w:rFonts w:ascii="宋体" w:hAnsi="宋体" w:cs="宋体"/>
                <w:color w:val="auto"/>
                <w:sz w:val="24"/>
                <w:highlight w:val="none"/>
              </w:rPr>
            </w:pPr>
          </w:p>
        </w:tc>
      </w:tr>
      <w:tr w14:paraId="2E28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7BC4B7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纯烧鸡肉</w:t>
            </w:r>
          </w:p>
        </w:tc>
        <w:tc>
          <w:tcPr>
            <w:tcW w:w="1058" w:type="dxa"/>
            <w:tcBorders>
              <w:top w:val="single" w:color="auto" w:sz="4" w:space="0"/>
              <w:left w:val="single" w:color="auto" w:sz="4" w:space="0"/>
              <w:bottom w:val="single" w:color="auto" w:sz="4" w:space="0"/>
              <w:right w:val="single" w:color="auto" w:sz="4" w:space="0"/>
            </w:tcBorders>
            <w:vAlign w:val="center"/>
          </w:tcPr>
          <w:p w14:paraId="740AC7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17F51C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14:paraId="672549D8">
            <w:pPr>
              <w:spacing w:line="360" w:lineRule="auto"/>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14:paraId="622BCA4E">
            <w:pPr>
              <w:spacing w:line="360" w:lineRule="auto"/>
              <w:jc w:val="center"/>
              <w:rPr>
                <w:rFonts w:ascii="宋体" w:hAnsi="宋体" w:cs="宋体"/>
                <w:color w:val="auto"/>
                <w:sz w:val="24"/>
                <w:highlight w:val="none"/>
              </w:rPr>
            </w:pPr>
          </w:p>
        </w:tc>
      </w:tr>
      <w:tr w14:paraId="5876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7124C2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纯烧鱼肉</w:t>
            </w:r>
          </w:p>
        </w:tc>
        <w:tc>
          <w:tcPr>
            <w:tcW w:w="1058" w:type="dxa"/>
            <w:tcBorders>
              <w:top w:val="single" w:color="auto" w:sz="4" w:space="0"/>
              <w:left w:val="single" w:color="auto" w:sz="4" w:space="0"/>
              <w:bottom w:val="single" w:color="auto" w:sz="4" w:space="0"/>
              <w:right w:val="single" w:color="auto" w:sz="4" w:space="0"/>
            </w:tcBorders>
            <w:vAlign w:val="center"/>
          </w:tcPr>
          <w:p w14:paraId="65C9F9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700C0C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w:t>
            </w:r>
          </w:p>
        </w:tc>
        <w:tc>
          <w:tcPr>
            <w:tcW w:w="1061" w:type="dxa"/>
            <w:tcBorders>
              <w:top w:val="single" w:color="auto" w:sz="4" w:space="0"/>
              <w:left w:val="single" w:color="auto" w:sz="4" w:space="0"/>
              <w:bottom w:val="single" w:color="auto" w:sz="4" w:space="0"/>
              <w:right w:val="single" w:color="auto" w:sz="4" w:space="0"/>
            </w:tcBorders>
            <w:vAlign w:val="center"/>
          </w:tcPr>
          <w:p w14:paraId="18714D3E">
            <w:pPr>
              <w:spacing w:line="360" w:lineRule="auto"/>
              <w:jc w:val="center"/>
              <w:rPr>
                <w:rFonts w:ascii="宋体" w:hAnsi="宋体" w:cs="宋体"/>
                <w:color w:val="auto"/>
                <w:sz w:val="24"/>
                <w:highlight w:val="none"/>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14:paraId="71501E3B">
            <w:pPr>
              <w:spacing w:line="360" w:lineRule="auto"/>
              <w:jc w:val="center"/>
              <w:rPr>
                <w:rFonts w:ascii="宋体" w:hAnsi="宋体" w:cs="宋体"/>
                <w:color w:val="auto"/>
                <w:sz w:val="24"/>
                <w:highlight w:val="none"/>
              </w:rPr>
            </w:pPr>
          </w:p>
        </w:tc>
      </w:tr>
      <w:tr w14:paraId="63D9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3D14DA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蛋炒饭</w:t>
            </w:r>
          </w:p>
        </w:tc>
        <w:tc>
          <w:tcPr>
            <w:tcW w:w="1058" w:type="dxa"/>
            <w:tcBorders>
              <w:top w:val="single" w:color="auto" w:sz="4" w:space="0"/>
              <w:left w:val="single" w:color="auto" w:sz="4" w:space="0"/>
              <w:bottom w:val="single" w:color="auto" w:sz="4" w:space="0"/>
              <w:right w:val="single" w:color="auto" w:sz="4" w:space="0"/>
            </w:tcBorders>
            <w:vAlign w:val="center"/>
          </w:tcPr>
          <w:p w14:paraId="2DF425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235F70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420</w:t>
            </w:r>
          </w:p>
        </w:tc>
        <w:tc>
          <w:tcPr>
            <w:tcW w:w="1061" w:type="dxa"/>
            <w:tcBorders>
              <w:top w:val="single" w:color="auto" w:sz="4" w:space="0"/>
              <w:left w:val="single" w:color="auto" w:sz="4" w:space="0"/>
              <w:bottom w:val="single" w:color="auto" w:sz="4" w:space="0"/>
              <w:right w:val="single" w:color="auto" w:sz="4" w:space="0"/>
            </w:tcBorders>
            <w:vAlign w:val="center"/>
          </w:tcPr>
          <w:p w14:paraId="7C682503">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5ECC06EC">
            <w:pPr>
              <w:spacing w:line="360" w:lineRule="auto"/>
              <w:jc w:val="center"/>
              <w:rPr>
                <w:rFonts w:ascii="宋体" w:hAnsi="宋体" w:cs="宋体"/>
                <w:color w:val="auto"/>
                <w:sz w:val="24"/>
                <w:highlight w:val="none"/>
              </w:rPr>
            </w:pPr>
          </w:p>
        </w:tc>
      </w:tr>
      <w:tr w14:paraId="286E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14:paraId="02C242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炒面</w:t>
            </w:r>
          </w:p>
        </w:tc>
        <w:tc>
          <w:tcPr>
            <w:tcW w:w="1058" w:type="dxa"/>
            <w:tcBorders>
              <w:top w:val="single" w:color="auto" w:sz="4" w:space="0"/>
              <w:left w:val="single" w:color="auto" w:sz="4" w:space="0"/>
              <w:bottom w:val="single" w:color="auto" w:sz="4" w:space="0"/>
              <w:right w:val="single" w:color="auto" w:sz="4" w:space="0"/>
            </w:tcBorders>
            <w:vAlign w:val="center"/>
          </w:tcPr>
          <w:p w14:paraId="21FF64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克</w:t>
            </w:r>
          </w:p>
        </w:tc>
        <w:tc>
          <w:tcPr>
            <w:tcW w:w="823" w:type="dxa"/>
            <w:tcBorders>
              <w:top w:val="single" w:color="auto" w:sz="4" w:space="0"/>
              <w:left w:val="single" w:color="auto" w:sz="4" w:space="0"/>
              <w:bottom w:val="single" w:color="auto" w:sz="4" w:space="0"/>
              <w:right w:val="single" w:color="auto" w:sz="4" w:space="0"/>
            </w:tcBorders>
            <w:vAlign w:val="center"/>
          </w:tcPr>
          <w:p w14:paraId="4FD867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420</w:t>
            </w:r>
          </w:p>
        </w:tc>
        <w:tc>
          <w:tcPr>
            <w:tcW w:w="1061" w:type="dxa"/>
            <w:tcBorders>
              <w:top w:val="single" w:color="auto" w:sz="4" w:space="0"/>
              <w:left w:val="single" w:color="auto" w:sz="4" w:space="0"/>
              <w:bottom w:val="single" w:color="auto" w:sz="4" w:space="0"/>
              <w:right w:val="single" w:color="auto" w:sz="4" w:space="0"/>
            </w:tcBorders>
            <w:vAlign w:val="center"/>
          </w:tcPr>
          <w:p w14:paraId="556B5EF3">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090927C7">
            <w:pPr>
              <w:spacing w:line="360" w:lineRule="auto"/>
              <w:jc w:val="center"/>
              <w:rPr>
                <w:rFonts w:ascii="宋体" w:hAnsi="宋体" w:cs="宋体"/>
                <w:color w:val="auto"/>
                <w:sz w:val="24"/>
                <w:highlight w:val="none"/>
              </w:rPr>
            </w:pPr>
          </w:p>
        </w:tc>
      </w:tr>
      <w:tr w14:paraId="1F8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77" w:type="dxa"/>
            <w:tcBorders>
              <w:top w:val="single" w:color="auto" w:sz="4" w:space="0"/>
              <w:left w:val="single" w:color="auto" w:sz="4" w:space="0"/>
              <w:bottom w:val="single" w:color="auto" w:sz="4" w:space="0"/>
              <w:right w:val="single" w:color="auto" w:sz="4" w:space="0"/>
            </w:tcBorders>
            <w:vAlign w:val="center"/>
          </w:tcPr>
          <w:p w14:paraId="2900A3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免费汤</w:t>
            </w:r>
          </w:p>
        </w:tc>
        <w:tc>
          <w:tcPr>
            <w:tcW w:w="1058" w:type="dxa"/>
            <w:tcBorders>
              <w:top w:val="single" w:color="auto" w:sz="4" w:space="0"/>
              <w:left w:val="single" w:color="auto" w:sz="4" w:space="0"/>
              <w:bottom w:val="single" w:color="auto" w:sz="4" w:space="0"/>
              <w:right w:val="single" w:color="auto" w:sz="4" w:space="0"/>
            </w:tcBorders>
            <w:vAlign w:val="center"/>
          </w:tcPr>
          <w:p w14:paraId="2D825D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823" w:type="dxa"/>
            <w:tcBorders>
              <w:top w:val="single" w:color="auto" w:sz="4" w:space="0"/>
              <w:left w:val="single" w:color="auto" w:sz="4" w:space="0"/>
              <w:bottom w:val="single" w:color="auto" w:sz="4" w:space="0"/>
              <w:right w:val="single" w:color="auto" w:sz="4" w:space="0"/>
            </w:tcBorders>
            <w:vAlign w:val="center"/>
          </w:tcPr>
          <w:p w14:paraId="18AB4F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061" w:type="dxa"/>
            <w:tcBorders>
              <w:top w:val="single" w:color="auto" w:sz="4" w:space="0"/>
              <w:left w:val="single" w:color="auto" w:sz="4" w:space="0"/>
              <w:bottom w:val="single" w:color="auto" w:sz="4" w:space="0"/>
              <w:right w:val="single" w:color="auto" w:sz="4" w:space="0"/>
            </w:tcBorders>
            <w:vAlign w:val="center"/>
          </w:tcPr>
          <w:p w14:paraId="66972C6B">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2026B80A">
            <w:pPr>
              <w:spacing w:line="360" w:lineRule="auto"/>
              <w:jc w:val="left"/>
              <w:rPr>
                <w:rFonts w:ascii="宋体" w:hAnsi="宋体" w:cs="宋体"/>
                <w:color w:val="auto"/>
                <w:sz w:val="24"/>
                <w:highlight w:val="none"/>
              </w:rPr>
            </w:pPr>
            <w:r>
              <w:rPr>
                <w:rFonts w:hint="eastAsia" w:ascii="宋体" w:hAnsi="宋体" w:cs="宋体"/>
                <w:color w:val="auto"/>
                <w:sz w:val="24"/>
                <w:highlight w:val="none"/>
              </w:rPr>
              <w:t>中午10:40-12:10</w:t>
            </w:r>
          </w:p>
          <w:p w14:paraId="21AA1E34">
            <w:pPr>
              <w:spacing w:line="360" w:lineRule="auto"/>
              <w:jc w:val="left"/>
              <w:rPr>
                <w:rFonts w:ascii="宋体" w:hAnsi="宋体" w:cs="宋体"/>
                <w:color w:val="auto"/>
                <w:sz w:val="24"/>
                <w:highlight w:val="none"/>
              </w:rPr>
            </w:pPr>
            <w:r>
              <w:rPr>
                <w:rFonts w:hint="eastAsia" w:ascii="宋体" w:hAnsi="宋体" w:cs="宋体"/>
                <w:color w:val="auto"/>
                <w:sz w:val="24"/>
                <w:highlight w:val="none"/>
              </w:rPr>
              <w:t>下午4:50-6:10必提供</w:t>
            </w:r>
          </w:p>
        </w:tc>
      </w:tr>
      <w:tr w14:paraId="4348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77" w:type="dxa"/>
            <w:tcBorders>
              <w:top w:val="single" w:color="auto" w:sz="4" w:space="0"/>
              <w:left w:val="single" w:color="auto" w:sz="4" w:space="0"/>
              <w:bottom w:val="single" w:color="auto" w:sz="4" w:space="0"/>
              <w:right w:val="single" w:color="auto" w:sz="4" w:space="0"/>
            </w:tcBorders>
            <w:vAlign w:val="center"/>
          </w:tcPr>
          <w:p w14:paraId="5BAA31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饮品</w:t>
            </w:r>
          </w:p>
        </w:tc>
        <w:tc>
          <w:tcPr>
            <w:tcW w:w="1058" w:type="dxa"/>
            <w:tcBorders>
              <w:top w:val="single" w:color="auto" w:sz="4" w:space="0"/>
              <w:left w:val="single" w:color="auto" w:sz="4" w:space="0"/>
              <w:bottom w:val="single" w:color="auto" w:sz="4" w:space="0"/>
              <w:right w:val="single" w:color="auto" w:sz="4" w:space="0"/>
            </w:tcBorders>
            <w:vAlign w:val="center"/>
          </w:tcPr>
          <w:p w14:paraId="7FE5FF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毫升</w:t>
            </w:r>
          </w:p>
        </w:tc>
        <w:tc>
          <w:tcPr>
            <w:tcW w:w="823" w:type="dxa"/>
            <w:tcBorders>
              <w:top w:val="single" w:color="auto" w:sz="4" w:space="0"/>
              <w:left w:val="single" w:color="auto" w:sz="4" w:space="0"/>
              <w:bottom w:val="single" w:color="auto" w:sz="4" w:space="0"/>
              <w:right w:val="single" w:color="auto" w:sz="4" w:space="0"/>
            </w:tcBorders>
            <w:vAlign w:val="center"/>
          </w:tcPr>
          <w:p w14:paraId="4DCA9B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350</w:t>
            </w:r>
          </w:p>
        </w:tc>
        <w:tc>
          <w:tcPr>
            <w:tcW w:w="1061" w:type="dxa"/>
            <w:tcBorders>
              <w:top w:val="single" w:color="auto" w:sz="4" w:space="0"/>
              <w:left w:val="single" w:color="auto" w:sz="4" w:space="0"/>
              <w:bottom w:val="single" w:color="auto" w:sz="4" w:space="0"/>
              <w:right w:val="single" w:color="auto" w:sz="4" w:space="0"/>
            </w:tcBorders>
            <w:vAlign w:val="center"/>
          </w:tcPr>
          <w:p w14:paraId="7EF3F27B">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7A3A17A6">
            <w:pPr>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严禁使用添加剂及调色剂等调制，可用果蔬等制作，中、晚餐必提供</w:t>
            </w:r>
          </w:p>
        </w:tc>
      </w:tr>
      <w:tr w14:paraId="5322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77" w:type="dxa"/>
            <w:tcBorders>
              <w:top w:val="single" w:color="auto" w:sz="4" w:space="0"/>
              <w:left w:val="single" w:color="auto" w:sz="4" w:space="0"/>
              <w:bottom w:val="single" w:color="auto" w:sz="4" w:space="0"/>
              <w:right w:val="single" w:color="auto" w:sz="4" w:space="0"/>
            </w:tcBorders>
            <w:vAlign w:val="center"/>
          </w:tcPr>
          <w:p w14:paraId="28DED667">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合计报价</w:t>
            </w:r>
          </w:p>
        </w:tc>
        <w:tc>
          <w:tcPr>
            <w:tcW w:w="1058" w:type="dxa"/>
            <w:tcBorders>
              <w:top w:val="single" w:color="auto" w:sz="4" w:space="0"/>
              <w:left w:val="single" w:color="auto" w:sz="4" w:space="0"/>
              <w:bottom w:val="single" w:color="auto" w:sz="4" w:space="0"/>
              <w:right w:val="single" w:color="auto" w:sz="4" w:space="0"/>
            </w:tcBorders>
            <w:vAlign w:val="center"/>
          </w:tcPr>
          <w:p w14:paraId="06D7D898">
            <w:pPr>
              <w:spacing w:line="360" w:lineRule="auto"/>
              <w:jc w:val="center"/>
              <w:rPr>
                <w:rFonts w:ascii="宋体" w:hAnsi="宋体" w:cs="宋体"/>
                <w:color w:val="auto"/>
                <w:sz w:val="24"/>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3D69653A">
            <w:pPr>
              <w:spacing w:line="360" w:lineRule="auto"/>
              <w:jc w:val="center"/>
              <w:rPr>
                <w:rFonts w:ascii="宋体" w:hAnsi="宋体" w:cs="宋体"/>
                <w:color w:val="auto"/>
                <w:sz w:val="24"/>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14:paraId="509C18E0">
            <w:pPr>
              <w:spacing w:line="360" w:lineRule="auto"/>
              <w:jc w:val="center"/>
              <w:rPr>
                <w:rFonts w:ascii="宋体" w:hAnsi="宋体" w:cs="宋体"/>
                <w:color w:val="auto"/>
                <w:sz w:val="24"/>
                <w:highlight w:val="none"/>
              </w:rPr>
            </w:pPr>
          </w:p>
        </w:tc>
        <w:tc>
          <w:tcPr>
            <w:tcW w:w="4020" w:type="dxa"/>
            <w:tcBorders>
              <w:top w:val="single" w:color="auto" w:sz="4" w:space="0"/>
              <w:left w:val="single" w:color="auto" w:sz="4" w:space="0"/>
              <w:bottom w:val="single" w:color="auto" w:sz="4" w:space="0"/>
              <w:right w:val="single" w:color="auto" w:sz="4" w:space="0"/>
            </w:tcBorders>
            <w:vAlign w:val="center"/>
          </w:tcPr>
          <w:p w14:paraId="314A62CB">
            <w:pPr>
              <w:spacing w:line="360" w:lineRule="auto"/>
              <w:jc w:val="center"/>
              <w:rPr>
                <w:rFonts w:ascii="宋体" w:hAnsi="宋体" w:cs="宋体"/>
                <w:color w:val="auto"/>
                <w:sz w:val="24"/>
                <w:highlight w:val="none"/>
              </w:rPr>
            </w:pPr>
          </w:p>
        </w:tc>
      </w:tr>
    </w:tbl>
    <w:p w14:paraId="279278DF">
      <w:pPr>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54DEB226">
      <w:pPr>
        <w:pStyle w:val="29"/>
        <w:widowControl/>
        <w:spacing w:line="360" w:lineRule="auto"/>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1.以上品目为本次评标的参考品目，该报价也作为实际运营时的考核价格，各投标人要注意谨慎合理报价。</w:t>
      </w:r>
    </w:p>
    <w:p w14:paraId="3283FF48">
      <w:pPr>
        <w:pStyle w:val="29"/>
        <w:widowControl/>
        <w:spacing w:line="360" w:lineRule="auto"/>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2.实际运营过程中，上述菜品每天在基本大伙中按备注要求必须提供，但不限于上述品种。</w:t>
      </w:r>
    </w:p>
    <w:p w14:paraId="1443BEAD">
      <w:pPr>
        <w:pStyle w:val="29"/>
        <w:widowControl/>
        <w:spacing w:line="360" w:lineRule="auto"/>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3.实际运营过程中，给学生所盛的份量不得低于上述参考份量，如份量明显高于上述参考份量，可等比例上浮价格。</w:t>
      </w:r>
    </w:p>
    <w:p w14:paraId="3BD13A4A">
      <w:pPr>
        <w:pStyle w:val="29"/>
        <w:widowControl/>
        <w:spacing w:line="360" w:lineRule="auto"/>
        <w:ind w:firstLine="660" w:firstLineChars="275"/>
        <w:outlineLvl w:val="2"/>
        <w:rPr>
          <w:rFonts w:ascii="宋体" w:hAnsi="宋体" w:cs="宋体"/>
          <w:color w:val="auto"/>
          <w:sz w:val="24"/>
          <w:szCs w:val="24"/>
          <w:highlight w:val="none"/>
        </w:rPr>
      </w:pPr>
      <w:r>
        <w:rPr>
          <w:rFonts w:hint="eastAsia" w:ascii="宋体" w:hAnsi="宋体" w:cs="宋体"/>
          <w:color w:val="auto"/>
          <w:sz w:val="24"/>
          <w:szCs w:val="24"/>
          <w:highlight w:val="none"/>
        </w:rPr>
        <w:t>4.所有按重量报价的菜品均要以去除汤质的重量为准。</w:t>
      </w:r>
    </w:p>
    <w:p w14:paraId="52E86784">
      <w:pPr>
        <w:pStyle w:val="29"/>
        <w:widowControl/>
        <w:spacing w:line="360" w:lineRule="auto"/>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5.为保持价格的相对稳定，实际运营过程中，同等质量、同等重量的菜品价格不得高于所报参考价格，并且一般均不予调价。对于由于市场波动幅度明显较大，可报餐饮中心，经学院总务处研究后予以调整，但上浮幅度不得高于原报价的30%。</w:t>
      </w:r>
    </w:p>
    <w:p w14:paraId="0C8CA65B">
      <w:pPr>
        <w:pStyle w:val="29"/>
        <w:widowControl/>
        <w:spacing w:line="360" w:lineRule="auto"/>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6.上述表格中未涉及到的品种参照上表中类似品目进行定价，并报总务处处备案。</w:t>
      </w:r>
    </w:p>
    <w:p w14:paraId="58187658">
      <w:pPr>
        <w:pStyle w:val="29"/>
        <w:widowControl/>
        <w:spacing w:line="360" w:lineRule="auto"/>
        <w:ind w:firstLine="419" w:firstLineChars="174"/>
        <w:outlineLvl w:val="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8.其他要求</w:t>
      </w:r>
    </w:p>
    <w:p w14:paraId="21479F15">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（1）中标人经营过程中出现安全、卫生等重大问题时，学校有权用履约保证金先行支付。</w:t>
      </w:r>
    </w:p>
    <w:p w14:paraId="610DDF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（2）中标人必须自主经营，严禁任何形式的转包和分包，否则，校方除立即解除合同外，没收全部履约保证金。</w:t>
      </w:r>
    </w:p>
    <w:p w14:paraId="0BB656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终止时，中标人必须保证食堂内设施设备（包含中标人投资）完好无损，以及在已完全承担全部经济与法律责任（如经济、劳工、合约纠纷、赔偿责任等）并妥善处理后，根据日常考核等情况退还履约保证金（不计利息）。</w:t>
      </w:r>
    </w:p>
    <w:p w14:paraId="373C9E43">
      <w:pPr>
        <w:spacing w:line="360" w:lineRule="auto"/>
        <w:ind w:firstLine="482" w:firstLineChars="200"/>
        <w:rPr>
          <w:rFonts w:ascii="宋体" w:hAnsi="宋体"/>
          <w:b/>
          <w:bCs/>
          <w:color w:val="auto"/>
          <w:sz w:val="24"/>
          <w:highlight w:val="none"/>
        </w:rPr>
      </w:pPr>
      <w:r>
        <w:rPr>
          <w:rFonts w:hint="eastAsia" w:ascii="宋体" w:hAnsi="宋体" w:cs="宋体"/>
          <w:b/>
          <w:bCs/>
          <w:color w:val="auto"/>
          <w:sz w:val="24"/>
          <w:highlight w:val="none"/>
        </w:rPr>
        <w:t>（4）投标人须在投标文件中承诺：如我公司中标，我公司将在202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日前完成装饰装修和设备人员配备，可以完全正常投入经营，如达不到经营条件，招标人可以扣除其10万元经营款作为违约金。</w:t>
      </w:r>
    </w:p>
    <w:p w14:paraId="1BECFB06">
      <w:pPr>
        <w:widowControl/>
        <w:spacing w:line="360" w:lineRule="auto"/>
        <w:jc w:val="left"/>
        <w:outlineLvl w:val="3"/>
        <w:rPr>
          <w:rFonts w:ascii="宋体" w:hAnsi="宋体"/>
          <w:b/>
          <w:color w:val="auto"/>
          <w:kern w:val="0"/>
          <w:sz w:val="24"/>
          <w:highlight w:val="none"/>
        </w:rPr>
      </w:pPr>
      <w:r>
        <w:rPr>
          <w:rFonts w:hint="eastAsia" w:ascii="宋体" w:hAnsi="宋体"/>
          <w:b/>
          <w:color w:val="auto"/>
          <w:kern w:val="0"/>
          <w:sz w:val="24"/>
          <w:highlight w:val="none"/>
        </w:rPr>
        <w:t>（四）下列情况之一者，投标书无效：</w:t>
      </w:r>
    </w:p>
    <w:p w14:paraId="758A4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1.标书未密封或逾期送达；</w:t>
      </w:r>
    </w:p>
    <w:p w14:paraId="4BAE85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2.未加盖本单位公章和法人代表（法人代表委托人）的签章；</w:t>
      </w:r>
    </w:p>
    <w:p w14:paraId="24E969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3.投标书书写潦草，字迹模糊难以辨认的；</w:t>
      </w:r>
    </w:p>
    <w:p w14:paraId="0A4C9D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4.投标书编制不符合招标文件要求的；</w:t>
      </w:r>
    </w:p>
    <w:p w14:paraId="0551BD89">
      <w:pPr>
        <w:spacing w:line="360" w:lineRule="auto"/>
        <w:ind w:firstLine="480" w:firstLineChars="200"/>
        <w:rPr>
          <w:color w:val="auto"/>
          <w:highlight w:val="none"/>
        </w:rPr>
      </w:pPr>
      <w:r>
        <w:rPr>
          <w:rFonts w:hint="eastAsia" w:ascii="宋体" w:hAnsi="宋体" w:cs="宋体"/>
          <w:color w:val="auto"/>
          <w:sz w:val="24"/>
          <w:highlight w:val="none"/>
        </w:rPr>
        <w:t>5.授权委托书中委托人非本人签字或盖章的。</w:t>
      </w:r>
    </w:p>
    <w:p w14:paraId="5D89C5C6">
      <w:pPr>
        <w:pStyle w:val="8"/>
        <w:ind w:firstLine="0" w:firstLineChars="0"/>
        <w:jc w:val="center"/>
        <w:outlineLvl w:val="9"/>
        <w:rPr>
          <w:snapToGrid w:val="0"/>
          <w:color w:val="auto"/>
          <w:kern w:val="0"/>
          <w:highlight w:val="none"/>
        </w:rPr>
      </w:pPr>
      <w:bookmarkStart w:id="90" w:name="_Toc1253"/>
    </w:p>
    <w:p w14:paraId="10CF0F94">
      <w:pPr>
        <w:rPr>
          <w:snapToGrid w:val="0"/>
          <w:color w:val="auto"/>
          <w:kern w:val="0"/>
          <w:highlight w:val="none"/>
        </w:rPr>
      </w:pPr>
    </w:p>
    <w:p w14:paraId="1C49F460">
      <w:pPr>
        <w:pStyle w:val="2"/>
      </w:pPr>
    </w:p>
    <w:p w14:paraId="29876387">
      <w:pPr>
        <w:pStyle w:val="8"/>
        <w:ind w:firstLine="0" w:firstLineChars="0"/>
        <w:jc w:val="center"/>
        <w:outlineLvl w:val="9"/>
        <w:rPr>
          <w:rFonts w:hint="eastAsia"/>
          <w:snapToGrid w:val="0"/>
          <w:color w:val="auto"/>
          <w:kern w:val="0"/>
          <w:highlight w:val="none"/>
        </w:rPr>
      </w:pPr>
    </w:p>
    <w:p w14:paraId="18EDD7E0">
      <w:pPr>
        <w:pStyle w:val="8"/>
        <w:ind w:firstLine="0" w:firstLineChars="0"/>
        <w:jc w:val="center"/>
        <w:outlineLvl w:val="9"/>
        <w:rPr>
          <w:rFonts w:hint="eastAsia"/>
          <w:snapToGrid w:val="0"/>
          <w:color w:val="auto"/>
          <w:kern w:val="0"/>
          <w:highlight w:val="none"/>
        </w:rPr>
      </w:pPr>
    </w:p>
    <w:p w14:paraId="7FAA67F8">
      <w:pPr>
        <w:pStyle w:val="8"/>
        <w:ind w:firstLine="0" w:firstLineChars="0"/>
        <w:jc w:val="center"/>
        <w:outlineLvl w:val="1"/>
        <w:rPr>
          <w:snapToGrid w:val="0"/>
          <w:color w:val="auto"/>
          <w:kern w:val="0"/>
          <w:highlight w:val="none"/>
        </w:rPr>
      </w:pPr>
      <w:r>
        <w:rPr>
          <w:rFonts w:hint="eastAsia"/>
          <w:snapToGrid w:val="0"/>
          <w:color w:val="auto"/>
          <w:kern w:val="0"/>
          <w:highlight w:val="none"/>
        </w:rPr>
        <w:t>二、商务要求</w:t>
      </w:r>
      <w:bookmarkEnd w:id="84"/>
      <w:bookmarkEnd w:id="85"/>
      <w:bookmarkEnd w:id="86"/>
      <w:bookmarkEnd w:id="87"/>
      <w:bookmarkEnd w:id="88"/>
      <w:bookmarkEnd w:id="90"/>
    </w:p>
    <w:tbl>
      <w:tblPr>
        <w:tblStyle w:val="1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92"/>
        <w:gridCol w:w="6978"/>
      </w:tblGrid>
      <w:tr w14:paraId="303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14:paraId="15EE5E77">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771" w:type="pct"/>
            <w:vAlign w:val="center"/>
          </w:tcPr>
          <w:p w14:paraId="4EF2B006">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内容</w:t>
            </w:r>
          </w:p>
        </w:tc>
        <w:tc>
          <w:tcPr>
            <w:tcW w:w="3865" w:type="pct"/>
            <w:vAlign w:val="center"/>
          </w:tcPr>
          <w:p w14:paraId="3FF1FA64">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要求</w:t>
            </w:r>
          </w:p>
        </w:tc>
      </w:tr>
      <w:tr w14:paraId="4EF3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14:paraId="6D6F37EE">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771" w:type="pct"/>
            <w:vAlign w:val="center"/>
          </w:tcPr>
          <w:p w14:paraId="15DCBF33">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服务期</w:t>
            </w:r>
          </w:p>
        </w:tc>
        <w:tc>
          <w:tcPr>
            <w:tcW w:w="3865" w:type="pct"/>
            <w:vAlign w:val="center"/>
          </w:tcPr>
          <w:p w14:paraId="24567B1F">
            <w:pPr>
              <w:spacing w:line="500" w:lineRule="exact"/>
              <w:ind w:firstLine="468"/>
              <w:rPr>
                <w:rFonts w:ascii="宋体" w:hAnsi="宋体" w:cs="宋体"/>
                <w:snapToGrid w:val="0"/>
                <w:color w:val="auto"/>
                <w:kern w:val="0"/>
                <w:sz w:val="24"/>
                <w:szCs w:val="24"/>
                <w:highlight w:val="none"/>
              </w:rPr>
            </w:pPr>
            <w:r>
              <w:rPr>
                <w:rFonts w:hint="eastAsia" w:ascii="宋体" w:hAnsi="宋体" w:cs="宋体"/>
                <w:b/>
                <w:bCs/>
                <w:color w:val="auto"/>
                <w:sz w:val="24"/>
                <w:highlight w:val="none"/>
              </w:rPr>
              <w:t>经营服务期限：3年（2+1），中标后先签订2年经营服务合同，经营期间每年由学校总务处等相关部门进行师生满意度考核，对综合满意度达到80%以上（含80%），</w:t>
            </w:r>
            <w:r>
              <w:rPr>
                <w:rFonts w:hint="eastAsia" w:ascii="宋体" w:hAnsi="宋体" w:cs="宋体"/>
                <w:b/>
                <w:bCs/>
                <w:color w:val="auto"/>
                <w:sz w:val="24"/>
                <w:szCs w:val="24"/>
                <w:highlight w:val="none"/>
              </w:rPr>
              <w:t>且前2年合同期内无重大食品安全事件；</w:t>
            </w:r>
            <w:r>
              <w:rPr>
                <w:rFonts w:hint="eastAsia" w:asciiTheme="minorEastAsia" w:hAnsiTheme="minorEastAsia" w:eastAsiaTheme="minorEastAsia" w:cstheme="minorEastAsia"/>
                <w:b/>
                <w:bCs/>
                <w:snapToGrid w:val="0"/>
                <w:color w:val="auto"/>
                <w:kern w:val="0"/>
                <w:sz w:val="24"/>
                <w:szCs w:val="24"/>
                <w:highlight w:val="none"/>
              </w:rPr>
              <w:t>被校方因食品安全负面问题书面约谈整改</w:t>
            </w:r>
            <w:r>
              <w:rPr>
                <w:rFonts w:hint="eastAsia" w:asciiTheme="minorEastAsia" w:hAnsiTheme="minorEastAsia" w:eastAsiaTheme="minorEastAsia" w:cstheme="minorEastAsia"/>
                <w:b/>
                <w:bCs/>
                <w:snapToGrid w:val="0"/>
                <w:color w:val="auto"/>
                <w:kern w:val="0"/>
                <w:sz w:val="24"/>
                <w:szCs w:val="24"/>
                <w:highlight w:val="none"/>
                <w:lang w:val="en-US" w:eastAsia="zh-CN"/>
              </w:rPr>
              <w:t>不多于</w:t>
            </w:r>
            <w:r>
              <w:rPr>
                <w:rFonts w:hint="eastAsia" w:asciiTheme="minorEastAsia" w:hAnsiTheme="minorEastAsia" w:eastAsiaTheme="minorEastAsia" w:cstheme="minorEastAsia"/>
                <w:b/>
                <w:bCs/>
                <w:snapToGrid w:val="0"/>
                <w:color w:val="auto"/>
                <w:kern w:val="0"/>
                <w:sz w:val="24"/>
                <w:szCs w:val="24"/>
                <w:highlight w:val="none"/>
              </w:rPr>
              <w:t>3次；被省、市、区市场监管等部门立案查处不多于1次且及时整改落实的，</w:t>
            </w:r>
            <w:r>
              <w:rPr>
                <w:rFonts w:hint="eastAsia" w:ascii="宋体" w:hAnsi="宋体" w:cs="宋体"/>
                <w:b/>
                <w:bCs/>
                <w:color w:val="auto"/>
                <w:sz w:val="24"/>
                <w:highlight w:val="none"/>
              </w:rPr>
              <w:t>经学校研究同意可以续签第3年合同。</w:t>
            </w:r>
          </w:p>
        </w:tc>
      </w:tr>
      <w:tr w14:paraId="5491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62" w:type="pct"/>
            <w:vAlign w:val="center"/>
          </w:tcPr>
          <w:p w14:paraId="362F6B48">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771" w:type="pct"/>
            <w:vAlign w:val="center"/>
          </w:tcPr>
          <w:p w14:paraId="7A86B126">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售后服务</w:t>
            </w:r>
          </w:p>
        </w:tc>
        <w:tc>
          <w:tcPr>
            <w:tcW w:w="3865" w:type="pct"/>
            <w:vAlign w:val="center"/>
          </w:tcPr>
          <w:p w14:paraId="0A2830DB">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满足采购人要求</w:t>
            </w:r>
          </w:p>
        </w:tc>
      </w:tr>
      <w:tr w14:paraId="7E31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62" w:type="pct"/>
            <w:vAlign w:val="center"/>
          </w:tcPr>
          <w:p w14:paraId="392DEF57">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771" w:type="pct"/>
            <w:vAlign w:val="center"/>
          </w:tcPr>
          <w:p w14:paraId="4A043ECD">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验收</w:t>
            </w:r>
          </w:p>
        </w:tc>
        <w:tc>
          <w:tcPr>
            <w:tcW w:w="3865" w:type="pct"/>
            <w:vAlign w:val="center"/>
          </w:tcPr>
          <w:p w14:paraId="76AE8C46">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由采购人按照制定的考评办法进行考评</w:t>
            </w:r>
          </w:p>
        </w:tc>
      </w:tr>
      <w:tr w14:paraId="7051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14:paraId="25A90872">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771" w:type="pct"/>
            <w:vAlign w:val="center"/>
          </w:tcPr>
          <w:p w14:paraId="30D78226">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付款</w:t>
            </w:r>
          </w:p>
        </w:tc>
        <w:tc>
          <w:tcPr>
            <w:tcW w:w="3865" w:type="pct"/>
            <w:vAlign w:val="center"/>
          </w:tcPr>
          <w:p w14:paraId="62553471">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付款人：皖北卫生职业学院</w:t>
            </w:r>
          </w:p>
          <w:p w14:paraId="277DB02B">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付款（结算）方式：</w:t>
            </w:r>
            <w:r>
              <w:rPr>
                <w:rFonts w:hint="eastAsia" w:ascii="宋体" w:hAnsi="宋体" w:cs="宋体"/>
                <w:color w:val="auto"/>
                <w:sz w:val="24"/>
                <w:highlight w:val="none"/>
              </w:rPr>
              <w:t>每月按合同约定结算营业款。</w:t>
            </w:r>
          </w:p>
        </w:tc>
      </w:tr>
      <w:tr w14:paraId="51B4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14:paraId="021A394F">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771" w:type="pct"/>
            <w:vAlign w:val="center"/>
          </w:tcPr>
          <w:p w14:paraId="401B43D4">
            <w:pPr>
              <w:wordWrap w:val="0"/>
              <w:spacing w:line="36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履约保证金</w:t>
            </w:r>
          </w:p>
        </w:tc>
        <w:tc>
          <w:tcPr>
            <w:tcW w:w="3865" w:type="pct"/>
            <w:vAlign w:val="center"/>
          </w:tcPr>
          <w:p w14:paraId="696684DA">
            <w:pPr>
              <w:wordWrap w:val="0"/>
              <w:spacing w:line="360" w:lineRule="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履约保证金形式：</w:t>
            </w:r>
            <w:r>
              <w:rPr>
                <w:rFonts w:hint="eastAsia" w:ascii="宋体" w:hAnsi="宋体" w:cs="宋体"/>
                <w:b/>
                <w:bCs/>
                <w:snapToGrid w:val="0"/>
                <w:color w:val="auto"/>
                <w:kern w:val="0"/>
                <w:sz w:val="24"/>
                <w:szCs w:val="24"/>
                <w:highlight w:val="none"/>
              </w:rPr>
              <w:t>现金缴纳</w:t>
            </w:r>
            <w:r>
              <w:rPr>
                <w:rFonts w:hint="eastAsia" w:ascii="宋体" w:hAnsi="宋体" w:cs="宋体"/>
                <w:b/>
                <w:bCs/>
                <w:snapToGrid w:val="0"/>
                <w:color w:val="auto"/>
                <w:kern w:val="0"/>
                <w:sz w:val="24"/>
                <w:szCs w:val="24"/>
                <w:highlight w:val="none"/>
                <w:lang w:val="en-US" w:eastAsia="zh-CN"/>
              </w:rPr>
              <w:t>44万</w:t>
            </w:r>
            <w:r>
              <w:rPr>
                <w:rFonts w:hint="eastAsia" w:ascii="宋体" w:hAnsi="宋体" w:cs="宋体"/>
                <w:b/>
                <w:bCs/>
                <w:snapToGrid w:val="0"/>
                <w:color w:val="auto"/>
                <w:kern w:val="0"/>
                <w:sz w:val="24"/>
                <w:szCs w:val="24"/>
                <w:highlight w:val="none"/>
              </w:rPr>
              <w:t>，</w:t>
            </w:r>
            <w:r>
              <w:rPr>
                <w:rFonts w:hint="eastAsia" w:ascii="宋体" w:hAnsi="宋体" w:cs="宋体"/>
                <w:b/>
                <w:bCs/>
                <w:snapToGrid w:val="0"/>
                <w:color w:val="auto"/>
                <w:kern w:val="0"/>
                <w:sz w:val="24"/>
                <w:szCs w:val="24"/>
                <w:highlight w:val="none"/>
                <w:lang w:val="en-US" w:eastAsia="zh-CN"/>
              </w:rPr>
              <w:t>合同签订签缴纳到学校指定的账户</w:t>
            </w:r>
            <w:r>
              <w:rPr>
                <w:rFonts w:hint="eastAsia" w:ascii="宋体" w:hAnsi="宋体" w:cs="宋体"/>
                <w:b/>
                <w:bCs/>
                <w:snapToGrid w:val="0"/>
                <w:color w:val="auto"/>
                <w:kern w:val="0"/>
                <w:sz w:val="24"/>
                <w:szCs w:val="24"/>
                <w:highlight w:val="none"/>
              </w:rPr>
              <w:t>。</w:t>
            </w:r>
          </w:p>
          <w:p w14:paraId="6B3530EA">
            <w:pPr>
              <w:wordWrap w:val="0"/>
              <w:spacing w:line="360" w:lineRule="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履约保证金退还时间：合同到期后15日内，履约保证金无息退还。</w:t>
            </w:r>
          </w:p>
        </w:tc>
      </w:tr>
    </w:tbl>
    <w:p w14:paraId="1B68FD81">
      <w:pPr>
        <w:wordWrap w:val="0"/>
        <w:spacing w:line="500" w:lineRule="exact"/>
        <w:rPr>
          <w:rFonts w:ascii="宋体" w:hAnsi="宋体" w:cs="宋体"/>
          <w:snapToGrid w:val="0"/>
          <w:color w:val="auto"/>
          <w:kern w:val="0"/>
          <w:szCs w:val="21"/>
          <w:highlight w:val="none"/>
        </w:rPr>
      </w:pPr>
    </w:p>
    <w:p w14:paraId="1A196539">
      <w:pPr>
        <w:pStyle w:val="7"/>
        <w:outlineLvl w:val="0"/>
        <w:rPr>
          <w:snapToGrid w:val="0"/>
          <w:color w:val="auto"/>
          <w:kern w:val="0"/>
          <w:highlight w:val="none"/>
        </w:rPr>
      </w:pPr>
      <w:bookmarkStart w:id="91" w:name="_Toc482084460"/>
      <w:r>
        <w:rPr>
          <w:rFonts w:hint="eastAsia"/>
          <w:snapToGrid w:val="0"/>
          <w:color w:val="auto"/>
          <w:kern w:val="0"/>
          <w:highlight w:val="none"/>
        </w:rPr>
        <w:br w:type="page"/>
      </w:r>
      <w:bookmarkStart w:id="92" w:name="_Toc32360"/>
      <w:bookmarkStart w:id="93" w:name="_Toc8327"/>
      <w:bookmarkStart w:id="94" w:name="_Toc5673"/>
      <w:bookmarkStart w:id="95" w:name="_Toc24398"/>
      <w:r>
        <w:rPr>
          <w:rFonts w:hint="eastAsia"/>
          <w:snapToGrid w:val="0"/>
          <w:color w:val="auto"/>
          <w:kern w:val="0"/>
          <w:highlight w:val="none"/>
        </w:rPr>
        <w:t>第四章 评标办法</w:t>
      </w:r>
      <w:bookmarkEnd w:id="91"/>
      <w:bookmarkEnd w:id="92"/>
      <w:bookmarkEnd w:id="93"/>
      <w:bookmarkEnd w:id="94"/>
      <w:bookmarkEnd w:id="95"/>
    </w:p>
    <w:p w14:paraId="0E43731A">
      <w:pPr>
        <w:pStyle w:val="8"/>
        <w:spacing w:line="520" w:lineRule="exact"/>
        <w:ind w:firstLine="482"/>
        <w:outlineLvl w:val="1"/>
        <w:rPr>
          <w:snapToGrid w:val="0"/>
          <w:color w:val="auto"/>
          <w:kern w:val="0"/>
          <w:highlight w:val="none"/>
        </w:rPr>
      </w:pPr>
      <w:bookmarkStart w:id="96" w:name="_Toc9979"/>
      <w:bookmarkStart w:id="97" w:name="_Toc29190"/>
      <w:bookmarkStart w:id="98" w:name="_Toc30276"/>
      <w:bookmarkStart w:id="99" w:name="_Toc24663"/>
      <w:r>
        <w:rPr>
          <w:rFonts w:hint="eastAsia"/>
          <w:snapToGrid w:val="0"/>
          <w:color w:val="auto"/>
          <w:kern w:val="0"/>
          <w:highlight w:val="none"/>
        </w:rPr>
        <w:t>一、评标原则</w:t>
      </w:r>
      <w:bookmarkEnd w:id="96"/>
      <w:bookmarkEnd w:id="97"/>
      <w:bookmarkEnd w:id="98"/>
      <w:bookmarkEnd w:id="99"/>
    </w:p>
    <w:p w14:paraId="6682B2C7">
      <w:pPr>
        <w:wordWrap w:val="0"/>
        <w:spacing w:line="520" w:lineRule="exact"/>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本项目为非依法必须招标项目，不适用于《中华人民共和国招标投标法》及《中华人民共和国政府采购法》，故由招标人本着公平、公正、科学、择优的原则自定义交易规则。</w:t>
      </w:r>
    </w:p>
    <w:p w14:paraId="29FA24BD">
      <w:pPr>
        <w:pStyle w:val="8"/>
        <w:spacing w:line="520" w:lineRule="exact"/>
        <w:ind w:firstLine="482"/>
        <w:jc w:val="both"/>
        <w:outlineLvl w:val="1"/>
        <w:rPr>
          <w:snapToGrid w:val="0"/>
          <w:color w:val="auto"/>
          <w:kern w:val="0"/>
          <w:szCs w:val="24"/>
          <w:highlight w:val="none"/>
        </w:rPr>
      </w:pPr>
      <w:bookmarkStart w:id="100" w:name="_Toc15073"/>
      <w:bookmarkStart w:id="101" w:name="_Toc32406"/>
      <w:bookmarkStart w:id="102" w:name="_Toc27872"/>
      <w:bookmarkStart w:id="103" w:name="_Toc12772"/>
      <w:r>
        <w:rPr>
          <w:rFonts w:hint="eastAsia"/>
          <w:snapToGrid w:val="0"/>
          <w:color w:val="auto"/>
          <w:kern w:val="0"/>
          <w:szCs w:val="24"/>
          <w:highlight w:val="none"/>
        </w:rPr>
        <w:t>二、评审办法</w:t>
      </w:r>
      <w:bookmarkEnd w:id="100"/>
      <w:bookmarkEnd w:id="101"/>
      <w:bookmarkEnd w:id="102"/>
      <w:bookmarkEnd w:id="103"/>
    </w:p>
    <w:p w14:paraId="6CC67865">
      <w:pPr>
        <w:wordWrap w:val="0"/>
        <w:spacing w:line="520" w:lineRule="exact"/>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评标委员会对满足招标文件实质性要求的投标文件，按照本章的评分标准进行打分，并将所有投标人按得分由高到低顺序排列，按排列顺序推荐中标候选人。投标文件满足招标文件全部实质性要求，且按照评审因素的量化指标评审得分最高的投标人为排名第一的中标候选人。 </w:t>
      </w:r>
    </w:p>
    <w:p w14:paraId="11D3C38D">
      <w:pPr>
        <w:spacing w:line="500" w:lineRule="exact"/>
        <w:ind w:firstLine="468"/>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评标委员会推荐</w:t>
      </w:r>
      <w:r>
        <w:rPr>
          <w:rFonts w:hint="eastAsia" w:ascii="宋体" w:hAnsi="宋体" w:cs="宋体"/>
          <w:b/>
          <w:bCs/>
          <w:snapToGrid w:val="0"/>
          <w:color w:val="auto"/>
          <w:kern w:val="0"/>
          <w:sz w:val="24"/>
          <w:szCs w:val="24"/>
          <w:highlight w:val="none"/>
          <w:lang w:eastAsia="zh-CN"/>
        </w:rPr>
        <w:t>不多于</w:t>
      </w:r>
      <w:r>
        <w:rPr>
          <w:rFonts w:hint="eastAsia" w:ascii="宋体" w:hAnsi="宋体" w:cs="宋体"/>
          <w:b/>
          <w:bCs/>
          <w:snapToGrid w:val="0"/>
          <w:color w:val="auto"/>
          <w:kern w:val="0"/>
          <w:sz w:val="24"/>
          <w:szCs w:val="24"/>
          <w:highlight w:val="none"/>
        </w:rPr>
        <w:t>3名中标候选人</w:t>
      </w:r>
      <w:r>
        <w:rPr>
          <w:rFonts w:hint="eastAsia" w:ascii="宋体" w:hAnsi="宋体" w:cs="宋体"/>
          <w:snapToGrid w:val="0"/>
          <w:color w:val="auto"/>
          <w:kern w:val="0"/>
          <w:sz w:val="24"/>
          <w:szCs w:val="24"/>
          <w:highlight w:val="none"/>
        </w:rPr>
        <w:t>。</w:t>
      </w:r>
    </w:p>
    <w:p w14:paraId="4DDDBC4E">
      <w:pPr>
        <w:pStyle w:val="8"/>
        <w:spacing w:line="520" w:lineRule="exact"/>
        <w:ind w:firstLine="482"/>
        <w:jc w:val="both"/>
        <w:outlineLvl w:val="1"/>
        <w:rPr>
          <w:snapToGrid w:val="0"/>
          <w:color w:val="auto"/>
          <w:kern w:val="0"/>
          <w:szCs w:val="24"/>
          <w:highlight w:val="none"/>
        </w:rPr>
      </w:pPr>
      <w:bookmarkStart w:id="104" w:name="_Toc28403"/>
      <w:bookmarkStart w:id="105" w:name="_Toc14190"/>
      <w:bookmarkStart w:id="106" w:name="_Toc1953"/>
      <w:bookmarkStart w:id="107" w:name="_Toc25820"/>
      <w:r>
        <w:rPr>
          <w:rFonts w:hint="eastAsia"/>
          <w:snapToGrid w:val="0"/>
          <w:color w:val="auto"/>
          <w:kern w:val="0"/>
          <w:szCs w:val="24"/>
          <w:highlight w:val="none"/>
        </w:rPr>
        <w:t>三、评审程序</w:t>
      </w:r>
      <w:bookmarkEnd w:id="104"/>
      <w:bookmarkEnd w:id="105"/>
      <w:bookmarkEnd w:id="106"/>
      <w:bookmarkEnd w:id="107"/>
    </w:p>
    <w:p w14:paraId="39926A33">
      <w:pPr>
        <w:spacing w:line="500" w:lineRule="exact"/>
        <w:ind w:firstLine="468"/>
        <w:rPr>
          <w:rFonts w:ascii="宋体" w:hAnsi="宋体" w:cs="宋体"/>
          <w:snapToGrid w:val="0"/>
          <w:color w:val="auto"/>
          <w:kern w:val="0"/>
          <w:sz w:val="24"/>
          <w:szCs w:val="24"/>
          <w:highlight w:val="none"/>
        </w:rPr>
      </w:pPr>
      <w:bookmarkStart w:id="108" w:name="_Toc18817"/>
      <w:bookmarkStart w:id="109" w:name="_Toc14108"/>
      <w:bookmarkStart w:id="110" w:name="_Toc1928"/>
      <w:r>
        <w:rPr>
          <w:rFonts w:hint="eastAsia" w:ascii="宋体" w:hAnsi="宋体" w:cs="宋体"/>
          <w:snapToGrid w:val="0"/>
          <w:color w:val="auto"/>
          <w:kern w:val="0"/>
          <w:sz w:val="24"/>
          <w:szCs w:val="24"/>
          <w:highlight w:val="none"/>
        </w:rPr>
        <w:t>3.1评审程序包括投标文件初审、澄清有关问题、比较与评价和推荐中标候选人名单几个步骤。</w:t>
      </w:r>
    </w:p>
    <w:p w14:paraId="5B71CEA5">
      <w:pPr>
        <w:spacing w:line="500" w:lineRule="exact"/>
        <w:ind w:firstLine="468"/>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3.2投标文件由评委独立评审后，评委会对投标人某项指标如有不同意见，按照少数服从多数的原则，确定该项指标是否通过（持不同意见的评标委员会成员应当在评标报告上签署不同意见及理由，否则视为同意评标报告）。符合审查指标的，为有效投标。</w:t>
      </w:r>
    </w:p>
    <w:p w14:paraId="71ED2749">
      <w:pPr>
        <w:spacing w:line="500" w:lineRule="exact"/>
        <w:ind w:firstLine="468"/>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3.3初审结束后，评标委员会可能会要求有关投标人就其投标书中含义不明确、同类问题表述不一致或者有明显文字和计算错误的内容进行澄清。投标人的澄清、说明或者补正应当加盖公章，但不得超出投标书的范围或者改变投标书的实质性内容。</w:t>
      </w:r>
    </w:p>
    <w:p w14:paraId="25F14ADB">
      <w:pPr>
        <w:spacing w:line="500" w:lineRule="exact"/>
        <w:ind w:firstLine="468"/>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3.4按照招标文件中规定的评标方法和标准，通过初审的投标人方可进入商务和技术评分、综合比较与评价。</w:t>
      </w:r>
    </w:p>
    <w:p w14:paraId="6FB1C4D4">
      <w:pPr>
        <w:wordWrap w:val="0"/>
        <w:spacing w:line="52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3.5评标结束时，评标委员会要按照规定的格式写出评标报告，说明评标过程中的主要情况，推荐中标候选人。</w:t>
      </w:r>
    </w:p>
    <w:p w14:paraId="761A8D9F">
      <w:pPr>
        <w:pStyle w:val="2"/>
        <w:rPr>
          <w:color w:val="auto"/>
          <w:highlight w:val="none"/>
        </w:rPr>
      </w:pPr>
    </w:p>
    <w:p w14:paraId="43E3C4DB">
      <w:pPr>
        <w:pStyle w:val="31"/>
        <w:ind w:firstLine="482"/>
        <w:outlineLvl w:val="1"/>
        <w:rPr>
          <w:color w:val="auto"/>
          <w:sz w:val="30"/>
          <w:szCs w:val="30"/>
          <w:highlight w:val="none"/>
        </w:rPr>
      </w:pPr>
      <w:bookmarkStart w:id="111" w:name="_Toc21393"/>
      <w:r>
        <w:rPr>
          <w:rFonts w:hint="eastAsia" w:cs="宋体"/>
          <w:snapToGrid w:val="0"/>
          <w:color w:val="auto"/>
          <w:kern w:val="0"/>
          <w:sz w:val="24"/>
          <w:szCs w:val="24"/>
          <w:highlight w:val="none"/>
        </w:rPr>
        <w:t>四、资格性审查表</w:t>
      </w:r>
      <w:bookmarkEnd w:id="108"/>
      <w:bookmarkEnd w:id="109"/>
      <w:bookmarkEnd w:id="110"/>
      <w:bookmarkEnd w:id="111"/>
      <w:bookmarkStart w:id="112" w:name="_Toc1833"/>
      <w:bookmarkStart w:id="113" w:name="_Toc10248"/>
      <w:bookmarkStart w:id="114" w:name="_Toc25975"/>
      <w:bookmarkStart w:id="115" w:name="_Toc32649"/>
    </w:p>
    <w:tbl>
      <w:tblPr>
        <w:tblStyle w:val="19"/>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14:paraId="5313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14:paraId="435C78FE">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序号</w:t>
            </w:r>
          </w:p>
        </w:tc>
        <w:tc>
          <w:tcPr>
            <w:tcW w:w="2310" w:type="dxa"/>
            <w:tcBorders>
              <w:top w:val="single" w:color="auto" w:sz="4" w:space="0"/>
              <w:left w:val="nil"/>
              <w:bottom w:val="single" w:color="auto" w:sz="4" w:space="0"/>
              <w:right w:val="single" w:color="auto" w:sz="4" w:space="0"/>
            </w:tcBorders>
            <w:vAlign w:val="center"/>
          </w:tcPr>
          <w:p w14:paraId="47BADD5C">
            <w:pPr>
              <w:spacing w:after="50" w:line="360" w:lineRule="auto"/>
              <w:ind w:right="-10"/>
              <w:jc w:val="center"/>
              <w:rPr>
                <w:rFonts w:ascii="宋体" w:hAnsi="宋体"/>
                <w:color w:val="auto"/>
                <w:highlight w:val="none"/>
              </w:rPr>
            </w:pPr>
            <w:r>
              <w:rPr>
                <w:rFonts w:hint="eastAsia" w:ascii="宋体" w:hAnsi="宋体"/>
                <w:color w:val="auto"/>
                <w:highlight w:val="none"/>
              </w:rPr>
              <w:t>指标名称</w:t>
            </w:r>
          </w:p>
        </w:tc>
        <w:tc>
          <w:tcPr>
            <w:tcW w:w="3900" w:type="dxa"/>
            <w:tcBorders>
              <w:top w:val="single" w:color="auto" w:sz="4" w:space="0"/>
              <w:left w:val="nil"/>
              <w:bottom w:val="single" w:color="auto" w:sz="4" w:space="0"/>
              <w:right w:val="single" w:color="auto" w:sz="4" w:space="0"/>
            </w:tcBorders>
            <w:vAlign w:val="center"/>
          </w:tcPr>
          <w:p w14:paraId="3E2CCFCD">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指标要求</w:t>
            </w:r>
          </w:p>
        </w:tc>
        <w:tc>
          <w:tcPr>
            <w:tcW w:w="2655" w:type="dxa"/>
            <w:tcBorders>
              <w:top w:val="single" w:color="auto" w:sz="4" w:space="0"/>
              <w:left w:val="nil"/>
              <w:bottom w:val="single" w:color="auto" w:sz="4" w:space="0"/>
              <w:right w:val="single" w:color="auto" w:sz="4" w:space="0"/>
            </w:tcBorders>
            <w:vAlign w:val="center"/>
          </w:tcPr>
          <w:p w14:paraId="132803D3">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备注(声明函可合并提供或单独提供）</w:t>
            </w:r>
          </w:p>
        </w:tc>
      </w:tr>
      <w:tr w14:paraId="76B0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vAlign w:val="center"/>
          </w:tcPr>
          <w:p w14:paraId="18EE7729">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w:t>
            </w:r>
          </w:p>
        </w:tc>
        <w:tc>
          <w:tcPr>
            <w:tcW w:w="2310" w:type="dxa"/>
            <w:tcBorders>
              <w:top w:val="single" w:color="auto" w:sz="4" w:space="0"/>
              <w:left w:val="nil"/>
              <w:bottom w:val="single" w:color="auto" w:sz="4" w:space="0"/>
              <w:right w:val="single" w:color="auto" w:sz="4" w:space="0"/>
            </w:tcBorders>
            <w:vAlign w:val="center"/>
          </w:tcPr>
          <w:p w14:paraId="6DC5E98D">
            <w:pPr>
              <w:spacing w:after="50" w:line="360" w:lineRule="auto"/>
              <w:ind w:right="-10"/>
              <w:jc w:val="center"/>
              <w:rPr>
                <w:rFonts w:ascii="宋体" w:hAnsi="宋体"/>
                <w:color w:val="auto"/>
                <w:highlight w:val="none"/>
              </w:rPr>
            </w:pPr>
            <w:r>
              <w:rPr>
                <w:rFonts w:hint="eastAsia" w:ascii="宋体" w:hAnsi="宋体"/>
                <w:color w:val="auto"/>
                <w:highlight w:val="none"/>
              </w:rPr>
              <w:t>营业执照</w:t>
            </w:r>
          </w:p>
        </w:tc>
        <w:tc>
          <w:tcPr>
            <w:tcW w:w="3900" w:type="dxa"/>
            <w:tcBorders>
              <w:top w:val="single" w:color="auto" w:sz="4" w:space="0"/>
              <w:left w:val="nil"/>
              <w:bottom w:val="single" w:color="auto" w:sz="4" w:space="0"/>
              <w:right w:val="single" w:color="auto" w:sz="4" w:space="0"/>
            </w:tcBorders>
            <w:vAlign w:val="center"/>
          </w:tcPr>
          <w:p w14:paraId="3DCDB975">
            <w:pPr>
              <w:spacing w:after="50" w:line="360" w:lineRule="auto"/>
              <w:ind w:right="-10"/>
              <w:jc w:val="center"/>
              <w:rPr>
                <w:rFonts w:ascii="宋体" w:hAnsi="宋体"/>
                <w:color w:val="auto"/>
                <w:highlight w:val="none"/>
              </w:rPr>
            </w:pPr>
            <w:r>
              <w:rPr>
                <w:rFonts w:hint="eastAsia" w:ascii="宋体" w:hAnsi="宋体"/>
                <w:color w:val="auto"/>
                <w:highlight w:val="none"/>
              </w:rPr>
              <w:t>企业营业执照合法有效</w:t>
            </w:r>
          </w:p>
        </w:tc>
        <w:tc>
          <w:tcPr>
            <w:tcW w:w="2655" w:type="dxa"/>
            <w:vMerge w:val="restart"/>
            <w:tcBorders>
              <w:left w:val="nil"/>
              <w:right w:val="single" w:color="auto" w:sz="4" w:space="0"/>
            </w:tcBorders>
            <w:vAlign w:val="center"/>
          </w:tcPr>
          <w:p w14:paraId="712F6729">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提供有效的营业执照和税务登记证的（接受合一的证书），应完整的体现出营业执照和税务登记证的全部内容。联合体磋商的，联合体各方均须提供。</w:t>
            </w:r>
          </w:p>
        </w:tc>
      </w:tr>
      <w:tr w14:paraId="3939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810" w:type="dxa"/>
            <w:tcBorders>
              <w:top w:val="single" w:color="auto" w:sz="4" w:space="0"/>
              <w:left w:val="single" w:color="auto" w:sz="4" w:space="0"/>
              <w:bottom w:val="single" w:color="auto" w:sz="4" w:space="0"/>
              <w:right w:val="single" w:color="auto" w:sz="4" w:space="0"/>
            </w:tcBorders>
            <w:vAlign w:val="center"/>
          </w:tcPr>
          <w:p w14:paraId="09450F4B">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2</w:t>
            </w:r>
          </w:p>
        </w:tc>
        <w:tc>
          <w:tcPr>
            <w:tcW w:w="2310" w:type="dxa"/>
            <w:tcBorders>
              <w:top w:val="single" w:color="auto" w:sz="4" w:space="0"/>
              <w:left w:val="nil"/>
              <w:bottom w:val="single" w:color="auto" w:sz="4" w:space="0"/>
              <w:right w:val="single" w:color="auto" w:sz="4" w:space="0"/>
            </w:tcBorders>
            <w:vAlign w:val="center"/>
          </w:tcPr>
          <w:p w14:paraId="5C87C76B">
            <w:pPr>
              <w:spacing w:after="50" w:line="360" w:lineRule="auto"/>
              <w:ind w:right="-10"/>
              <w:jc w:val="center"/>
              <w:rPr>
                <w:rFonts w:ascii="宋体" w:hAnsi="宋体"/>
                <w:color w:val="auto"/>
                <w:highlight w:val="none"/>
              </w:rPr>
            </w:pPr>
            <w:r>
              <w:rPr>
                <w:rFonts w:hint="eastAsia" w:ascii="宋体" w:hAnsi="宋体"/>
                <w:color w:val="auto"/>
                <w:highlight w:val="none"/>
              </w:rPr>
              <w:t>税务登记证</w:t>
            </w:r>
          </w:p>
        </w:tc>
        <w:tc>
          <w:tcPr>
            <w:tcW w:w="3900" w:type="dxa"/>
            <w:tcBorders>
              <w:top w:val="single" w:color="auto" w:sz="4" w:space="0"/>
              <w:left w:val="nil"/>
              <w:bottom w:val="single" w:color="auto" w:sz="4" w:space="0"/>
              <w:right w:val="single" w:color="auto" w:sz="4" w:space="0"/>
            </w:tcBorders>
            <w:vAlign w:val="center"/>
          </w:tcPr>
          <w:p w14:paraId="1F150A78">
            <w:pPr>
              <w:spacing w:after="50" w:line="360" w:lineRule="auto"/>
              <w:ind w:right="-10"/>
              <w:jc w:val="center"/>
              <w:rPr>
                <w:rFonts w:ascii="宋体" w:hAnsi="宋体"/>
                <w:color w:val="auto"/>
                <w:highlight w:val="none"/>
              </w:rPr>
            </w:pPr>
            <w:r>
              <w:rPr>
                <w:rFonts w:hint="eastAsia" w:ascii="宋体" w:hAnsi="宋体"/>
                <w:color w:val="auto"/>
                <w:highlight w:val="none"/>
              </w:rPr>
              <w:t>合法有效</w:t>
            </w:r>
          </w:p>
        </w:tc>
        <w:tc>
          <w:tcPr>
            <w:tcW w:w="2655" w:type="dxa"/>
            <w:vMerge w:val="continue"/>
            <w:tcBorders>
              <w:top w:val="nil"/>
              <w:left w:val="nil"/>
              <w:bottom w:val="single" w:color="auto" w:sz="4" w:space="0"/>
              <w:right w:val="single" w:color="auto" w:sz="4" w:space="0"/>
            </w:tcBorders>
            <w:vAlign w:val="center"/>
          </w:tcPr>
          <w:p w14:paraId="487FADEA">
            <w:pPr>
              <w:jc w:val="left"/>
              <w:rPr>
                <w:rFonts w:ascii="宋体" w:hAnsi="宋体"/>
                <w:color w:val="auto"/>
                <w:highlight w:val="none"/>
              </w:rPr>
            </w:pPr>
          </w:p>
        </w:tc>
      </w:tr>
      <w:tr w14:paraId="4EE0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67F9D020">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3</w:t>
            </w:r>
          </w:p>
        </w:tc>
        <w:tc>
          <w:tcPr>
            <w:tcW w:w="2310" w:type="dxa"/>
            <w:tcBorders>
              <w:top w:val="single" w:color="auto" w:sz="4" w:space="0"/>
              <w:left w:val="nil"/>
              <w:bottom w:val="single" w:color="auto" w:sz="4" w:space="0"/>
              <w:right w:val="single" w:color="auto" w:sz="4" w:space="0"/>
            </w:tcBorders>
            <w:vAlign w:val="center"/>
          </w:tcPr>
          <w:p w14:paraId="191844B1">
            <w:pPr>
              <w:spacing w:after="50" w:line="360" w:lineRule="auto"/>
              <w:ind w:right="-10"/>
              <w:jc w:val="center"/>
              <w:rPr>
                <w:rFonts w:ascii="宋体" w:hAnsi="宋体"/>
                <w:color w:val="auto"/>
                <w:highlight w:val="none"/>
              </w:rPr>
            </w:pPr>
            <w:r>
              <w:rPr>
                <w:rFonts w:hint="eastAsia" w:ascii="宋体" w:hAnsi="宋体"/>
                <w:color w:val="auto"/>
                <w:highlight w:val="none"/>
              </w:rPr>
              <w:t>联合体磋商</w:t>
            </w:r>
          </w:p>
        </w:tc>
        <w:tc>
          <w:tcPr>
            <w:tcW w:w="3900" w:type="dxa"/>
            <w:tcBorders>
              <w:top w:val="single" w:color="auto" w:sz="4" w:space="0"/>
              <w:left w:val="nil"/>
              <w:bottom w:val="single" w:color="auto" w:sz="4" w:space="0"/>
              <w:right w:val="single" w:color="auto" w:sz="4" w:space="0"/>
            </w:tcBorders>
            <w:vAlign w:val="center"/>
          </w:tcPr>
          <w:p w14:paraId="31F34C22">
            <w:pPr>
              <w:spacing w:after="50" w:line="360" w:lineRule="auto"/>
              <w:ind w:right="-10"/>
              <w:jc w:val="center"/>
              <w:rPr>
                <w:rFonts w:ascii="宋体" w:hAnsi="宋体"/>
                <w:color w:val="auto"/>
                <w:highlight w:val="none"/>
              </w:rPr>
            </w:pPr>
            <w:r>
              <w:rPr>
                <w:rFonts w:hint="eastAsia" w:ascii="宋体" w:hAnsi="宋体"/>
                <w:color w:val="auto"/>
                <w:highlight w:val="none"/>
              </w:rPr>
              <w:t>符合第一章供应商资格要求</w:t>
            </w:r>
          </w:p>
        </w:tc>
        <w:tc>
          <w:tcPr>
            <w:tcW w:w="2655" w:type="dxa"/>
            <w:tcBorders>
              <w:top w:val="single" w:color="auto" w:sz="4" w:space="0"/>
              <w:left w:val="nil"/>
              <w:bottom w:val="single" w:color="auto" w:sz="4" w:space="0"/>
              <w:right w:val="single" w:color="auto" w:sz="4" w:space="0"/>
            </w:tcBorders>
            <w:vAlign w:val="center"/>
          </w:tcPr>
          <w:p w14:paraId="12125CAB">
            <w:pPr>
              <w:adjustRightInd w:val="0"/>
              <w:snapToGrid w:val="0"/>
              <w:spacing w:line="360" w:lineRule="auto"/>
              <w:ind w:right="-10"/>
              <w:jc w:val="left"/>
              <w:rPr>
                <w:rFonts w:ascii="宋体" w:hAnsi="宋体"/>
                <w:color w:val="auto"/>
                <w:highlight w:val="none"/>
              </w:rPr>
            </w:pPr>
          </w:p>
        </w:tc>
      </w:tr>
      <w:tr w14:paraId="4A30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4823C442">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4</w:t>
            </w:r>
          </w:p>
        </w:tc>
        <w:tc>
          <w:tcPr>
            <w:tcW w:w="2310" w:type="dxa"/>
            <w:tcBorders>
              <w:top w:val="single" w:color="auto" w:sz="4" w:space="0"/>
              <w:left w:val="nil"/>
              <w:bottom w:val="single" w:color="auto" w:sz="4" w:space="0"/>
              <w:right w:val="single" w:color="auto" w:sz="4" w:space="0"/>
            </w:tcBorders>
            <w:vAlign w:val="center"/>
          </w:tcPr>
          <w:p w14:paraId="5CB6B08C">
            <w:pPr>
              <w:spacing w:line="360" w:lineRule="auto"/>
              <w:ind w:right="-10"/>
              <w:jc w:val="center"/>
              <w:rPr>
                <w:rFonts w:ascii="宋体" w:hAnsi="宋体"/>
                <w:color w:val="auto"/>
                <w:highlight w:val="none"/>
              </w:rPr>
            </w:pPr>
            <w:r>
              <w:rPr>
                <w:rFonts w:hint="eastAsia" w:ascii="宋体" w:hAnsi="宋体"/>
                <w:color w:val="auto"/>
                <w:highlight w:val="none"/>
              </w:rPr>
              <w:t>财务状况</w:t>
            </w:r>
          </w:p>
        </w:tc>
        <w:tc>
          <w:tcPr>
            <w:tcW w:w="3900" w:type="dxa"/>
            <w:tcBorders>
              <w:top w:val="single" w:color="auto" w:sz="4" w:space="0"/>
              <w:left w:val="nil"/>
              <w:bottom w:val="single" w:color="auto" w:sz="4" w:space="0"/>
              <w:right w:val="single" w:color="auto" w:sz="4" w:space="0"/>
            </w:tcBorders>
            <w:vAlign w:val="center"/>
          </w:tcPr>
          <w:p w14:paraId="6C1247C5">
            <w:pPr>
              <w:spacing w:line="360" w:lineRule="auto"/>
              <w:ind w:right="-10"/>
              <w:jc w:val="center"/>
              <w:rPr>
                <w:rFonts w:ascii="宋体" w:hAnsi="宋体"/>
                <w:color w:val="auto"/>
                <w:highlight w:val="none"/>
              </w:rPr>
            </w:pPr>
            <w:r>
              <w:rPr>
                <w:rFonts w:hint="eastAsia" w:ascii="宋体" w:hAnsi="宋体"/>
                <w:color w:val="auto"/>
                <w:highlight w:val="none"/>
              </w:rPr>
              <w:t>财务状况声明函</w:t>
            </w:r>
          </w:p>
        </w:tc>
        <w:tc>
          <w:tcPr>
            <w:tcW w:w="2655" w:type="dxa"/>
            <w:tcBorders>
              <w:top w:val="single" w:color="auto" w:sz="4" w:space="0"/>
              <w:left w:val="nil"/>
              <w:bottom w:val="single" w:color="auto" w:sz="4" w:space="0"/>
              <w:right w:val="single" w:color="auto" w:sz="4" w:space="0"/>
            </w:tcBorders>
            <w:vAlign w:val="center"/>
          </w:tcPr>
          <w:p w14:paraId="3BB82EE6">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14:paraId="7782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4CECE58E">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5</w:t>
            </w:r>
          </w:p>
        </w:tc>
        <w:tc>
          <w:tcPr>
            <w:tcW w:w="2310" w:type="dxa"/>
            <w:tcBorders>
              <w:top w:val="single" w:color="auto" w:sz="4" w:space="0"/>
              <w:left w:val="nil"/>
              <w:bottom w:val="single" w:color="auto" w:sz="4" w:space="0"/>
              <w:right w:val="single" w:color="auto" w:sz="4" w:space="0"/>
            </w:tcBorders>
            <w:vAlign w:val="center"/>
          </w:tcPr>
          <w:p w14:paraId="124E9050">
            <w:pPr>
              <w:ind w:right="-11"/>
              <w:jc w:val="center"/>
              <w:rPr>
                <w:rFonts w:ascii="宋体" w:hAnsi="宋体"/>
                <w:color w:val="auto"/>
                <w:highlight w:val="none"/>
              </w:rPr>
            </w:pPr>
            <w:r>
              <w:rPr>
                <w:rFonts w:hint="eastAsia" w:ascii="宋体" w:hAnsi="宋体"/>
                <w:color w:val="auto"/>
                <w:highlight w:val="none"/>
              </w:rPr>
              <w:t>依法缴纳税收</w:t>
            </w:r>
          </w:p>
        </w:tc>
        <w:tc>
          <w:tcPr>
            <w:tcW w:w="3900" w:type="dxa"/>
            <w:tcBorders>
              <w:top w:val="single" w:color="auto" w:sz="4" w:space="0"/>
              <w:left w:val="nil"/>
              <w:bottom w:val="single" w:color="auto" w:sz="4" w:space="0"/>
              <w:right w:val="single" w:color="auto" w:sz="4" w:space="0"/>
            </w:tcBorders>
            <w:vAlign w:val="center"/>
          </w:tcPr>
          <w:p w14:paraId="4734767B">
            <w:pPr>
              <w:spacing w:line="360" w:lineRule="auto"/>
              <w:ind w:right="-10"/>
              <w:jc w:val="center"/>
              <w:rPr>
                <w:rFonts w:ascii="宋体" w:hAnsi="宋体"/>
                <w:color w:val="auto"/>
                <w:highlight w:val="none"/>
              </w:rPr>
            </w:pPr>
            <w:r>
              <w:rPr>
                <w:rFonts w:hint="eastAsia" w:ascii="宋体" w:hAnsi="宋体"/>
                <w:color w:val="auto"/>
                <w:highlight w:val="none"/>
              </w:rPr>
              <w:t>依法缴纳税收的声明函</w:t>
            </w:r>
          </w:p>
        </w:tc>
        <w:tc>
          <w:tcPr>
            <w:tcW w:w="2655" w:type="dxa"/>
            <w:tcBorders>
              <w:top w:val="single" w:color="auto" w:sz="4" w:space="0"/>
              <w:left w:val="nil"/>
              <w:bottom w:val="single" w:color="auto" w:sz="4" w:space="0"/>
              <w:right w:val="single" w:color="auto" w:sz="4" w:space="0"/>
            </w:tcBorders>
            <w:vAlign w:val="center"/>
          </w:tcPr>
          <w:p w14:paraId="79E75049">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14:paraId="1E34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1C79A22B">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6</w:t>
            </w:r>
          </w:p>
        </w:tc>
        <w:tc>
          <w:tcPr>
            <w:tcW w:w="2310" w:type="dxa"/>
            <w:tcBorders>
              <w:top w:val="single" w:color="auto" w:sz="4" w:space="0"/>
              <w:left w:val="nil"/>
              <w:bottom w:val="single" w:color="auto" w:sz="4" w:space="0"/>
              <w:right w:val="single" w:color="auto" w:sz="4" w:space="0"/>
            </w:tcBorders>
            <w:vAlign w:val="center"/>
          </w:tcPr>
          <w:p w14:paraId="0A5092F9">
            <w:pPr>
              <w:spacing w:line="360" w:lineRule="exact"/>
              <w:ind w:right="-11"/>
              <w:jc w:val="center"/>
              <w:rPr>
                <w:rFonts w:ascii="宋体" w:hAnsi="宋体"/>
                <w:color w:val="auto"/>
                <w:highlight w:val="none"/>
              </w:rPr>
            </w:pPr>
            <w:r>
              <w:rPr>
                <w:rFonts w:hint="eastAsia" w:ascii="宋体" w:hAnsi="宋体"/>
                <w:color w:val="auto"/>
                <w:highlight w:val="none"/>
              </w:rPr>
              <w:t>依法缴纳社会保障资金</w:t>
            </w:r>
          </w:p>
        </w:tc>
        <w:tc>
          <w:tcPr>
            <w:tcW w:w="3900" w:type="dxa"/>
            <w:tcBorders>
              <w:top w:val="single" w:color="auto" w:sz="4" w:space="0"/>
              <w:left w:val="nil"/>
              <w:bottom w:val="single" w:color="auto" w:sz="4" w:space="0"/>
              <w:right w:val="single" w:color="auto" w:sz="4" w:space="0"/>
            </w:tcBorders>
            <w:vAlign w:val="center"/>
          </w:tcPr>
          <w:p w14:paraId="6816EC0C">
            <w:pPr>
              <w:spacing w:line="360" w:lineRule="auto"/>
              <w:ind w:right="-10"/>
              <w:jc w:val="center"/>
              <w:rPr>
                <w:rFonts w:ascii="宋体" w:hAnsi="宋体"/>
                <w:color w:val="auto"/>
                <w:highlight w:val="none"/>
              </w:rPr>
            </w:pPr>
            <w:r>
              <w:rPr>
                <w:rFonts w:hint="eastAsia" w:ascii="宋体" w:hAnsi="宋体"/>
                <w:color w:val="auto"/>
                <w:highlight w:val="none"/>
              </w:rPr>
              <w:t>依法缴纳社会保障资金的声明函</w:t>
            </w:r>
          </w:p>
        </w:tc>
        <w:tc>
          <w:tcPr>
            <w:tcW w:w="2655" w:type="dxa"/>
            <w:tcBorders>
              <w:top w:val="single" w:color="auto" w:sz="4" w:space="0"/>
              <w:left w:val="nil"/>
              <w:bottom w:val="single" w:color="auto" w:sz="4" w:space="0"/>
              <w:right w:val="single" w:color="auto" w:sz="4" w:space="0"/>
            </w:tcBorders>
            <w:vAlign w:val="center"/>
          </w:tcPr>
          <w:p w14:paraId="7A5E8FEC">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14:paraId="6255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1E8BAA56">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7</w:t>
            </w:r>
          </w:p>
        </w:tc>
        <w:tc>
          <w:tcPr>
            <w:tcW w:w="2310" w:type="dxa"/>
            <w:tcBorders>
              <w:top w:val="single" w:color="auto" w:sz="4" w:space="0"/>
              <w:left w:val="nil"/>
              <w:bottom w:val="single" w:color="auto" w:sz="4" w:space="0"/>
              <w:right w:val="single" w:color="auto" w:sz="4" w:space="0"/>
            </w:tcBorders>
            <w:vAlign w:val="center"/>
          </w:tcPr>
          <w:p w14:paraId="73E0AE1F">
            <w:pPr>
              <w:spacing w:line="360" w:lineRule="exact"/>
              <w:ind w:right="-11"/>
              <w:jc w:val="center"/>
              <w:rPr>
                <w:rFonts w:ascii="宋体" w:hAnsi="宋体"/>
                <w:color w:val="auto"/>
                <w:highlight w:val="none"/>
              </w:rPr>
            </w:pPr>
            <w:r>
              <w:rPr>
                <w:rFonts w:hint="eastAsia" w:ascii="宋体" w:hAnsi="宋体"/>
                <w:color w:val="auto"/>
                <w:highlight w:val="none"/>
              </w:rPr>
              <w:t>具备履行合同所必须的设备和专业技术能力</w:t>
            </w:r>
          </w:p>
        </w:tc>
        <w:tc>
          <w:tcPr>
            <w:tcW w:w="3900" w:type="dxa"/>
            <w:tcBorders>
              <w:top w:val="single" w:color="auto" w:sz="4" w:space="0"/>
              <w:left w:val="nil"/>
              <w:bottom w:val="single" w:color="auto" w:sz="4" w:space="0"/>
              <w:right w:val="single" w:color="auto" w:sz="4" w:space="0"/>
            </w:tcBorders>
            <w:vAlign w:val="center"/>
          </w:tcPr>
          <w:p w14:paraId="08BC1E2C">
            <w:pPr>
              <w:spacing w:line="360" w:lineRule="auto"/>
              <w:ind w:right="-10"/>
              <w:jc w:val="center"/>
              <w:rPr>
                <w:rFonts w:ascii="宋体" w:hAnsi="宋体"/>
                <w:color w:val="auto"/>
                <w:highlight w:val="none"/>
              </w:rPr>
            </w:pPr>
            <w:r>
              <w:rPr>
                <w:rFonts w:hint="eastAsia" w:ascii="宋体" w:hAnsi="宋体"/>
                <w:color w:val="auto"/>
                <w:highlight w:val="none"/>
              </w:rPr>
              <w:t>具备履行合同所必须的设备和专业技术能力声明函</w:t>
            </w:r>
          </w:p>
        </w:tc>
        <w:tc>
          <w:tcPr>
            <w:tcW w:w="2655" w:type="dxa"/>
            <w:tcBorders>
              <w:top w:val="single" w:color="auto" w:sz="4" w:space="0"/>
              <w:left w:val="nil"/>
              <w:bottom w:val="single" w:color="auto" w:sz="4" w:space="0"/>
              <w:right w:val="single" w:color="auto" w:sz="4" w:space="0"/>
            </w:tcBorders>
            <w:vAlign w:val="center"/>
          </w:tcPr>
          <w:p w14:paraId="35A3CB54">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14:paraId="6D46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7E5252BE">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8</w:t>
            </w:r>
          </w:p>
        </w:tc>
        <w:tc>
          <w:tcPr>
            <w:tcW w:w="2310" w:type="dxa"/>
            <w:tcBorders>
              <w:top w:val="single" w:color="auto" w:sz="4" w:space="0"/>
              <w:left w:val="nil"/>
              <w:bottom w:val="single" w:color="auto" w:sz="4" w:space="0"/>
              <w:right w:val="single" w:color="auto" w:sz="4" w:space="0"/>
            </w:tcBorders>
            <w:vAlign w:val="center"/>
          </w:tcPr>
          <w:p w14:paraId="67A0CB64">
            <w:pPr>
              <w:spacing w:line="360" w:lineRule="auto"/>
              <w:ind w:right="-10"/>
              <w:jc w:val="center"/>
              <w:rPr>
                <w:rFonts w:ascii="宋体" w:hAnsi="宋体"/>
                <w:color w:val="auto"/>
                <w:highlight w:val="none"/>
              </w:rPr>
            </w:pPr>
            <w:r>
              <w:rPr>
                <w:rFonts w:hint="eastAsia" w:ascii="宋体" w:hAnsi="宋体"/>
                <w:color w:val="auto"/>
                <w:highlight w:val="none"/>
              </w:rPr>
              <w:t>3年内没有重大违法记录或期限已届满的书面声明</w:t>
            </w:r>
          </w:p>
        </w:tc>
        <w:tc>
          <w:tcPr>
            <w:tcW w:w="3900" w:type="dxa"/>
            <w:tcBorders>
              <w:top w:val="single" w:color="auto" w:sz="4" w:space="0"/>
              <w:left w:val="nil"/>
              <w:bottom w:val="single" w:color="auto" w:sz="4" w:space="0"/>
              <w:right w:val="single" w:color="auto" w:sz="4" w:space="0"/>
            </w:tcBorders>
            <w:vAlign w:val="center"/>
          </w:tcPr>
          <w:p w14:paraId="3A521663">
            <w:pPr>
              <w:spacing w:line="400" w:lineRule="exact"/>
              <w:ind w:right="-11"/>
              <w:jc w:val="center"/>
              <w:rPr>
                <w:rFonts w:ascii="宋体" w:hAnsi="宋体"/>
                <w:color w:val="auto"/>
                <w:highlight w:val="none"/>
              </w:rPr>
            </w:pPr>
            <w:r>
              <w:rPr>
                <w:rFonts w:hint="eastAsia" w:ascii="宋体" w:hAnsi="宋体"/>
                <w:color w:val="auto"/>
                <w:highlight w:val="none"/>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vAlign w:val="center"/>
          </w:tcPr>
          <w:p w14:paraId="05B112EE">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供应商自行出具</w:t>
            </w:r>
          </w:p>
        </w:tc>
      </w:tr>
      <w:tr w14:paraId="082D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391556C4">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9</w:t>
            </w:r>
          </w:p>
        </w:tc>
        <w:tc>
          <w:tcPr>
            <w:tcW w:w="2310" w:type="dxa"/>
            <w:tcBorders>
              <w:top w:val="single" w:color="auto" w:sz="4" w:space="0"/>
              <w:left w:val="nil"/>
              <w:bottom w:val="single" w:color="auto" w:sz="4" w:space="0"/>
              <w:right w:val="single" w:color="auto" w:sz="4" w:space="0"/>
            </w:tcBorders>
            <w:vAlign w:val="center"/>
          </w:tcPr>
          <w:p w14:paraId="740D350C">
            <w:pPr>
              <w:spacing w:line="360" w:lineRule="auto"/>
              <w:ind w:right="-10"/>
              <w:jc w:val="center"/>
              <w:rPr>
                <w:rFonts w:ascii="宋体" w:hAnsi="宋体"/>
                <w:color w:val="auto"/>
                <w:highlight w:val="none"/>
              </w:rPr>
            </w:pPr>
            <w:r>
              <w:rPr>
                <w:rFonts w:hint="eastAsia" w:ascii="宋体" w:hAnsi="宋体"/>
                <w:color w:val="auto"/>
                <w:highlight w:val="none"/>
              </w:rPr>
              <w:t>不良行为记录</w:t>
            </w:r>
          </w:p>
        </w:tc>
        <w:tc>
          <w:tcPr>
            <w:tcW w:w="3900" w:type="dxa"/>
            <w:tcBorders>
              <w:top w:val="single" w:color="auto" w:sz="4" w:space="0"/>
              <w:left w:val="nil"/>
              <w:bottom w:val="single" w:color="auto" w:sz="4" w:space="0"/>
              <w:right w:val="single" w:color="auto" w:sz="4" w:space="0"/>
            </w:tcBorders>
            <w:vAlign w:val="center"/>
          </w:tcPr>
          <w:p w14:paraId="1D998F99">
            <w:pPr>
              <w:spacing w:line="400" w:lineRule="exact"/>
              <w:ind w:right="-11"/>
              <w:jc w:val="center"/>
              <w:rPr>
                <w:rFonts w:ascii="宋体" w:hAnsi="宋体"/>
                <w:color w:val="auto"/>
                <w:highlight w:val="none"/>
              </w:rPr>
            </w:pPr>
            <w:r>
              <w:rPr>
                <w:rFonts w:hint="eastAsia" w:ascii="宋体" w:hAnsi="宋体"/>
                <w:color w:val="auto"/>
                <w:highlight w:val="none"/>
              </w:rPr>
              <w:t>符合磋商公告第二、3.条的要求</w:t>
            </w:r>
          </w:p>
        </w:tc>
        <w:tc>
          <w:tcPr>
            <w:tcW w:w="2655" w:type="dxa"/>
            <w:tcBorders>
              <w:top w:val="single" w:color="auto" w:sz="4" w:space="0"/>
              <w:left w:val="nil"/>
              <w:bottom w:val="single" w:color="auto" w:sz="4" w:space="0"/>
              <w:right w:val="single" w:color="auto" w:sz="4" w:space="0"/>
            </w:tcBorders>
            <w:vAlign w:val="center"/>
          </w:tcPr>
          <w:p w14:paraId="424D5DAF">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登陆该款载明的网站查询</w:t>
            </w:r>
          </w:p>
        </w:tc>
      </w:tr>
      <w:tr w14:paraId="59E0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14:paraId="178E230E">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10</w:t>
            </w:r>
          </w:p>
        </w:tc>
        <w:tc>
          <w:tcPr>
            <w:tcW w:w="2310" w:type="dxa"/>
            <w:tcBorders>
              <w:top w:val="single" w:color="auto" w:sz="4" w:space="0"/>
              <w:left w:val="nil"/>
              <w:bottom w:val="single" w:color="auto" w:sz="4" w:space="0"/>
              <w:right w:val="single" w:color="auto" w:sz="4" w:space="0"/>
            </w:tcBorders>
            <w:vAlign w:val="center"/>
          </w:tcPr>
          <w:p w14:paraId="4B1777F8">
            <w:pPr>
              <w:spacing w:after="50" w:line="360" w:lineRule="auto"/>
              <w:ind w:right="-10"/>
              <w:jc w:val="center"/>
              <w:rPr>
                <w:rFonts w:ascii="宋体" w:hAnsi="宋体"/>
                <w:color w:val="auto"/>
                <w:highlight w:val="none"/>
              </w:rPr>
            </w:pPr>
            <w:r>
              <w:rPr>
                <w:rFonts w:hint="eastAsia" w:ascii="宋体" w:hAnsi="宋体" w:cs="宋体"/>
                <w:color w:val="auto"/>
                <w:highlight w:val="none"/>
              </w:rPr>
              <w:t>供应商或其法定代表人或拟派项目经理（项目负责人）被列入行贿犯罪档案的；</w:t>
            </w:r>
          </w:p>
        </w:tc>
        <w:tc>
          <w:tcPr>
            <w:tcW w:w="3900" w:type="dxa"/>
            <w:tcBorders>
              <w:top w:val="single" w:color="auto" w:sz="4" w:space="0"/>
              <w:left w:val="nil"/>
              <w:bottom w:val="single" w:color="auto" w:sz="4" w:space="0"/>
              <w:right w:val="single" w:color="auto" w:sz="4" w:space="0"/>
            </w:tcBorders>
            <w:vAlign w:val="center"/>
          </w:tcPr>
          <w:p w14:paraId="35FD6771">
            <w:pPr>
              <w:spacing w:after="50" w:line="360" w:lineRule="auto"/>
              <w:ind w:right="-10"/>
              <w:jc w:val="center"/>
              <w:rPr>
                <w:rFonts w:ascii="宋体" w:hAnsi="宋体"/>
                <w:color w:val="auto"/>
                <w:highlight w:val="none"/>
              </w:rPr>
            </w:pPr>
            <w:r>
              <w:rPr>
                <w:rFonts w:hint="eastAsia" w:ascii="宋体" w:hAnsi="宋体"/>
                <w:color w:val="auto"/>
                <w:highlight w:val="none"/>
              </w:rPr>
              <w:t>供应商或其法定代表人或</w:t>
            </w:r>
            <w:r>
              <w:rPr>
                <w:rFonts w:hint="eastAsia" w:ascii="宋体" w:hAnsi="宋体" w:cs="宋体"/>
                <w:color w:val="auto"/>
                <w:highlight w:val="none"/>
              </w:rPr>
              <w:t>拟派项目经理（项目负责人）</w:t>
            </w:r>
            <w:r>
              <w:rPr>
                <w:rFonts w:hint="eastAsia" w:ascii="宋体" w:hAnsi="宋体"/>
                <w:color w:val="auto"/>
                <w:highlight w:val="none"/>
              </w:rPr>
              <w:t>被列入行贿犯罪档案的；[供应商须提供《无行贿犯罪行为承诺函》]</w:t>
            </w:r>
          </w:p>
        </w:tc>
        <w:tc>
          <w:tcPr>
            <w:tcW w:w="2655" w:type="dxa"/>
            <w:tcBorders>
              <w:top w:val="single" w:color="auto" w:sz="4" w:space="0"/>
              <w:left w:val="nil"/>
              <w:bottom w:val="single" w:color="auto" w:sz="4" w:space="0"/>
              <w:right w:val="single" w:color="auto" w:sz="4" w:space="0"/>
            </w:tcBorders>
            <w:vAlign w:val="center"/>
          </w:tcPr>
          <w:p w14:paraId="1C378158">
            <w:pPr>
              <w:spacing w:after="50" w:line="360" w:lineRule="auto"/>
              <w:ind w:right="-10"/>
              <w:jc w:val="left"/>
              <w:rPr>
                <w:rFonts w:ascii="宋体" w:hAnsi="宋体"/>
                <w:color w:val="auto"/>
                <w:highlight w:val="none"/>
              </w:rPr>
            </w:pPr>
            <w:r>
              <w:rPr>
                <w:rFonts w:hint="eastAsia" w:ascii="宋体" w:hAnsi="宋体"/>
                <w:color w:val="auto"/>
                <w:highlight w:val="none"/>
              </w:rPr>
              <w:t>登陆“通过中国裁判文书网自行查询”其真实性</w:t>
            </w:r>
          </w:p>
        </w:tc>
      </w:tr>
      <w:tr w14:paraId="57D2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10" w:type="dxa"/>
            <w:tcBorders>
              <w:top w:val="single" w:color="auto" w:sz="4" w:space="0"/>
              <w:left w:val="single" w:color="auto" w:sz="4" w:space="0"/>
              <w:bottom w:val="single" w:color="auto" w:sz="4" w:space="0"/>
              <w:right w:val="single" w:color="auto" w:sz="4" w:space="0"/>
            </w:tcBorders>
            <w:vAlign w:val="center"/>
          </w:tcPr>
          <w:p w14:paraId="207BB0A7">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11</w:t>
            </w:r>
          </w:p>
        </w:tc>
        <w:tc>
          <w:tcPr>
            <w:tcW w:w="2310" w:type="dxa"/>
            <w:tcBorders>
              <w:top w:val="single" w:color="auto" w:sz="4" w:space="0"/>
              <w:left w:val="nil"/>
              <w:bottom w:val="single" w:color="auto" w:sz="4" w:space="0"/>
              <w:right w:val="single" w:color="auto" w:sz="4" w:space="0"/>
            </w:tcBorders>
            <w:vAlign w:val="center"/>
          </w:tcPr>
          <w:p w14:paraId="38C1B0F2">
            <w:pPr>
              <w:spacing w:after="50" w:line="360" w:lineRule="auto"/>
              <w:ind w:right="-10"/>
              <w:jc w:val="center"/>
              <w:rPr>
                <w:rFonts w:ascii="宋体" w:hAnsi="宋体"/>
                <w:color w:val="auto"/>
                <w:highlight w:val="none"/>
              </w:rPr>
            </w:pPr>
            <w:r>
              <w:rPr>
                <w:rFonts w:hint="eastAsia" w:ascii="宋体" w:hAnsi="宋体"/>
                <w:color w:val="auto"/>
                <w:highlight w:val="none"/>
              </w:rPr>
              <w:t>标书规范性</w:t>
            </w:r>
          </w:p>
        </w:tc>
        <w:tc>
          <w:tcPr>
            <w:tcW w:w="3900" w:type="dxa"/>
            <w:tcBorders>
              <w:top w:val="single" w:color="auto" w:sz="4" w:space="0"/>
              <w:left w:val="nil"/>
              <w:bottom w:val="single" w:color="auto" w:sz="4" w:space="0"/>
              <w:right w:val="single" w:color="auto" w:sz="4" w:space="0"/>
            </w:tcBorders>
            <w:vAlign w:val="center"/>
          </w:tcPr>
          <w:p w14:paraId="4CB0642A">
            <w:pPr>
              <w:spacing w:after="50" w:line="360" w:lineRule="auto"/>
              <w:ind w:right="-10"/>
              <w:jc w:val="center"/>
              <w:rPr>
                <w:rFonts w:ascii="宋体" w:hAnsi="宋体"/>
                <w:color w:val="auto"/>
                <w:highlight w:val="none"/>
              </w:rPr>
            </w:pPr>
            <w:r>
              <w:rPr>
                <w:rFonts w:hint="eastAsia" w:ascii="宋体" w:hAnsi="宋体"/>
                <w:color w:val="auto"/>
                <w:highlight w:val="none"/>
              </w:rPr>
              <w:t>符合磋商文件要求（</w:t>
            </w:r>
            <w:r>
              <w:rPr>
                <w:rFonts w:hint="eastAsia" w:ascii="宋体" w:hAnsi="宋体" w:cs="Arial"/>
                <w:color w:val="auto"/>
                <w:highlight w:val="none"/>
              </w:rPr>
              <w:t>按照规定的要求进行编制、装订、标记和签署</w:t>
            </w:r>
            <w:r>
              <w:rPr>
                <w:rFonts w:hint="eastAsia" w:ascii="宋体" w:hAnsi="宋体"/>
                <w:color w:val="auto"/>
                <w:highlight w:val="none"/>
              </w:rPr>
              <w:t>）</w:t>
            </w:r>
          </w:p>
        </w:tc>
        <w:tc>
          <w:tcPr>
            <w:tcW w:w="2655" w:type="dxa"/>
            <w:tcBorders>
              <w:top w:val="single" w:color="auto" w:sz="4" w:space="0"/>
              <w:left w:val="nil"/>
              <w:bottom w:val="single" w:color="auto" w:sz="4" w:space="0"/>
              <w:right w:val="single" w:color="auto" w:sz="4" w:space="0"/>
            </w:tcBorders>
            <w:vAlign w:val="center"/>
          </w:tcPr>
          <w:p w14:paraId="299852C5">
            <w:pPr>
              <w:adjustRightInd w:val="0"/>
              <w:snapToGrid w:val="0"/>
              <w:spacing w:line="360" w:lineRule="auto"/>
              <w:ind w:right="-10"/>
              <w:jc w:val="left"/>
              <w:rPr>
                <w:rFonts w:ascii="宋体" w:hAnsi="宋体"/>
                <w:color w:val="auto"/>
                <w:highlight w:val="none"/>
              </w:rPr>
            </w:pPr>
            <w:r>
              <w:rPr>
                <w:rFonts w:hint="eastAsia" w:ascii="宋体" w:hAnsi="宋体"/>
                <w:color w:val="auto"/>
                <w:highlight w:val="none"/>
              </w:rPr>
              <w:t xml:space="preserve">                   </w:t>
            </w:r>
          </w:p>
        </w:tc>
      </w:tr>
      <w:tr w14:paraId="2ECB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810" w:type="dxa"/>
            <w:tcBorders>
              <w:top w:val="single" w:color="auto" w:sz="4" w:space="0"/>
              <w:left w:val="single" w:color="auto" w:sz="4" w:space="0"/>
              <w:bottom w:val="single" w:color="auto" w:sz="4" w:space="0"/>
              <w:right w:val="single" w:color="auto" w:sz="4" w:space="0"/>
            </w:tcBorders>
            <w:vAlign w:val="center"/>
          </w:tcPr>
          <w:p w14:paraId="3097914A">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12</w:t>
            </w:r>
          </w:p>
        </w:tc>
        <w:tc>
          <w:tcPr>
            <w:tcW w:w="2310" w:type="dxa"/>
            <w:tcBorders>
              <w:top w:val="single" w:color="auto" w:sz="4" w:space="0"/>
              <w:left w:val="nil"/>
              <w:bottom w:val="single" w:color="auto" w:sz="4" w:space="0"/>
              <w:right w:val="single" w:color="auto" w:sz="4" w:space="0"/>
            </w:tcBorders>
            <w:vAlign w:val="center"/>
          </w:tcPr>
          <w:p w14:paraId="55B78E9D">
            <w:pPr>
              <w:spacing w:after="50" w:line="360" w:lineRule="auto"/>
              <w:ind w:right="-10"/>
              <w:jc w:val="center"/>
              <w:rPr>
                <w:rFonts w:ascii="宋体" w:hAnsi="宋体"/>
                <w:color w:val="auto"/>
                <w:highlight w:val="none"/>
              </w:rPr>
            </w:pPr>
            <w:r>
              <w:rPr>
                <w:rFonts w:hint="eastAsia" w:ascii="宋体" w:hAnsi="宋体"/>
                <w:color w:val="auto"/>
                <w:highlight w:val="none"/>
              </w:rPr>
              <w:t>磋商保证金</w:t>
            </w:r>
          </w:p>
        </w:tc>
        <w:tc>
          <w:tcPr>
            <w:tcW w:w="3900" w:type="dxa"/>
            <w:tcBorders>
              <w:top w:val="single" w:color="auto" w:sz="4" w:space="0"/>
              <w:left w:val="nil"/>
              <w:bottom w:val="single" w:color="auto" w:sz="4" w:space="0"/>
              <w:right w:val="single" w:color="auto" w:sz="4" w:space="0"/>
            </w:tcBorders>
            <w:vAlign w:val="center"/>
          </w:tcPr>
          <w:p w14:paraId="40633B46">
            <w:pPr>
              <w:spacing w:after="50" w:line="360" w:lineRule="auto"/>
              <w:ind w:right="-10"/>
              <w:jc w:val="center"/>
              <w:rPr>
                <w:rFonts w:ascii="宋体" w:hAnsi="宋体"/>
                <w:color w:val="auto"/>
                <w:highlight w:val="none"/>
              </w:rPr>
            </w:pPr>
            <w:r>
              <w:rPr>
                <w:rFonts w:hint="eastAsia" w:ascii="宋体" w:hAnsi="宋体"/>
                <w:color w:val="auto"/>
                <w:highlight w:val="none"/>
              </w:rPr>
              <w:t>符合磋商文件供应商须知前附表要求</w:t>
            </w:r>
          </w:p>
        </w:tc>
        <w:tc>
          <w:tcPr>
            <w:tcW w:w="2655" w:type="dxa"/>
            <w:tcBorders>
              <w:top w:val="single" w:color="auto" w:sz="4" w:space="0"/>
              <w:left w:val="nil"/>
              <w:bottom w:val="single" w:color="auto" w:sz="4" w:space="0"/>
              <w:right w:val="single" w:color="auto" w:sz="4" w:space="0"/>
            </w:tcBorders>
            <w:vAlign w:val="center"/>
          </w:tcPr>
          <w:p w14:paraId="2B4D9107">
            <w:pPr>
              <w:adjustRightInd w:val="0"/>
              <w:snapToGrid w:val="0"/>
              <w:spacing w:line="360" w:lineRule="auto"/>
              <w:ind w:right="-10"/>
              <w:jc w:val="left"/>
              <w:rPr>
                <w:rFonts w:ascii="宋体" w:hAnsi="宋体"/>
                <w:color w:val="auto"/>
                <w:highlight w:val="none"/>
              </w:rPr>
            </w:pPr>
          </w:p>
        </w:tc>
      </w:tr>
      <w:tr w14:paraId="0220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810" w:type="dxa"/>
            <w:tcBorders>
              <w:top w:val="single" w:color="auto" w:sz="4" w:space="0"/>
              <w:left w:val="single" w:color="auto" w:sz="4" w:space="0"/>
              <w:bottom w:val="single" w:color="auto" w:sz="4" w:space="0"/>
              <w:right w:val="single" w:color="auto" w:sz="4" w:space="0"/>
            </w:tcBorders>
            <w:vAlign w:val="center"/>
          </w:tcPr>
          <w:p w14:paraId="22C95E4D">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13</w:t>
            </w:r>
          </w:p>
        </w:tc>
        <w:tc>
          <w:tcPr>
            <w:tcW w:w="2310" w:type="dxa"/>
            <w:tcBorders>
              <w:top w:val="single" w:color="auto" w:sz="4" w:space="0"/>
              <w:left w:val="nil"/>
              <w:bottom w:val="single" w:color="auto" w:sz="4" w:space="0"/>
              <w:right w:val="single" w:color="auto" w:sz="4" w:space="0"/>
            </w:tcBorders>
            <w:vAlign w:val="center"/>
          </w:tcPr>
          <w:p w14:paraId="73CFA61B">
            <w:pPr>
              <w:spacing w:after="50" w:line="360" w:lineRule="auto"/>
              <w:ind w:right="-10"/>
              <w:jc w:val="center"/>
              <w:rPr>
                <w:rFonts w:ascii="宋体" w:hAnsi="宋体"/>
                <w:color w:val="auto"/>
                <w:highlight w:val="none"/>
              </w:rPr>
            </w:pPr>
            <w:r>
              <w:rPr>
                <w:rFonts w:hint="eastAsia" w:ascii="宋体" w:hAnsi="宋体"/>
                <w:color w:val="auto"/>
                <w:highlight w:val="none"/>
              </w:rPr>
              <w:t>磋商响应函</w:t>
            </w:r>
          </w:p>
        </w:tc>
        <w:tc>
          <w:tcPr>
            <w:tcW w:w="3900" w:type="dxa"/>
            <w:tcBorders>
              <w:top w:val="single" w:color="auto" w:sz="4" w:space="0"/>
              <w:left w:val="nil"/>
              <w:bottom w:val="single" w:color="auto" w:sz="4" w:space="0"/>
              <w:right w:val="single" w:color="auto" w:sz="4" w:space="0"/>
            </w:tcBorders>
            <w:vAlign w:val="center"/>
          </w:tcPr>
          <w:p w14:paraId="4DBFA1EC">
            <w:pPr>
              <w:spacing w:after="50" w:line="360" w:lineRule="auto"/>
              <w:ind w:right="-10"/>
              <w:jc w:val="center"/>
              <w:rPr>
                <w:rFonts w:ascii="宋体" w:hAnsi="宋体"/>
                <w:color w:val="auto"/>
                <w:highlight w:val="none"/>
              </w:rPr>
            </w:pPr>
            <w:r>
              <w:rPr>
                <w:rFonts w:hint="eastAsia" w:ascii="宋体" w:hAnsi="宋体"/>
                <w:color w:val="auto"/>
                <w:highlight w:val="none"/>
              </w:rPr>
              <w:t>符合磋商文件要求</w:t>
            </w:r>
          </w:p>
        </w:tc>
        <w:tc>
          <w:tcPr>
            <w:tcW w:w="2655" w:type="dxa"/>
            <w:tcBorders>
              <w:top w:val="single" w:color="auto" w:sz="4" w:space="0"/>
              <w:left w:val="nil"/>
              <w:bottom w:val="single" w:color="auto" w:sz="4" w:space="0"/>
              <w:right w:val="single" w:color="auto" w:sz="4" w:space="0"/>
            </w:tcBorders>
            <w:vAlign w:val="center"/>
          </w:tcPr>
          <w:p w14:paraId="79099F39">
            <w:pPr>
              <w:adjustRightInd w:val="0"/>
              <w:snapToGrid w:val="0"/>
              <w:spacing w:line="360" w:lineRule="auto"/>
              <w:ind w:right="-10"/>
              <w:jc w:val="left"/>
              <w:rPr>
                <w:rFonts w:ascii="宋体" w:hAnsi="宋体"/>
                <w:color w:val="auto"/>
                <w:highlight w:val="none"/>
              </w:rPr>
            </w:pPr>
          </w:p>
        </w:tc>
      </w:tr>
      <w:tr w14:paraId="09B9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tcBorders>
              <w:top w:val="single" w:color="auto" w:sz="4" w:space="0"/>
              <w:left w:val="single" w:color="auto" w:sz="4" w:space="0"/>
              <w:bottom w:val="single" w:color="auto" w:sz="4" w:space="0"/>
              <w:right w:val="single" w:color="auto" w:sz="4" w:space="0"/>
            </w:tcBorders>
            <w:vAlign w:val="center"/>
          </w:tcPr>
          <w:p w14:paraId="67F552F7">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14</w:t>
            </w:r>
          </w:p>
        </w:tc>
        <w:tc>
          <w:tcPr>
            <w:tcW w:w="2310" w:type="dxa"/>
            <w:tcBorders>
              <w:top w:val="single" w:color="auto" w:sz="4" w:space="0"/>
              <w:left w:val="nil"/>
              <w:bottom w:val="single" w:color="auto" w:sz="4" w:space="0"/>
              <w:right w:val="single" w:color="auto" w:sz="4" w:space="0"/>
            </w:tcBorders>
            <w:vAlign w:val="center"/>
          </w:tcPr>
          <w:p w14:paraId="444090EE">
            <w:pPr>
              <w:spacing w:after="50" w:line="360" w:lineRule="auto"/>
              <w:ind w:right="-10"/>
              <w:jc w:val="center"/>
              <w:rPr>
                <w:rFonts w:ascii="宋体" w:hAnsi="宋体"/>
                <w:color w:val="auto"/>
                <w:highlight w:val="none"/>
              </w:rPr>
            </w:pPr>
            <w:r>
              <w:rPr>
                <w:rFonts w:hint="eastAsia" w:ascii="宋体" w:hAnsi="宋体"/>
                <w:color w:val="auto"/>
                <w:highlight w:val="none"/>
              </w:rPr>
              <w:t>法定代表人授权委托书和身份证明书</w:t>
            </w:r>
          </w:p>
        </w:tc>
        <w:tc>
          <w:tcPr>
            <w:tcW w:w="3900" w:type="dxa"/>
            <w:tcBorders>
              <w:top w:val="single" w:color="auto" w:sz="4" w:space="0"/>
              <w:left w:val="nil"/>
              <w:bottom w:val="single" w:color="auto" w:sz="4" w:space="0"/>
              <w:right w:val="single" w:color="auto" w:sz="4" w:space="0"/>
            </w:tcBorders>
            <w:vAlign w:val="center"/>
          </w:tcPr>
          <w:p w14:paraId="2B775D21">
            <w:pPr>
              <w:spacing w:after="50" w:line="360" w:lineRule="auto"/>
              <w:ind w:right="-10"/>
              <w:jc w:val="center"/>
              <w:rPr>
                <w:rFonts w:ascii="宋体" w:hAnsi="宋体"/>
                <w:color w:val="auto"/>
                <w:highlight w:val="none"/>
              </w:rPr>
            </w:pPr>
            <w:r>
              <w:rPr>
                <w:rFonts w:hint="eastAsia" w:ascii="宋体" w:hAnsi="宋体"/>
                <w:color w:val="auto"/>
                <w:highlight w:val="none"/>
              </w:rPr>
              <w:t>符合磋商文件要求</w:t>
            </w:r>
          </w:p>
        </w:tc>
        <w:tc>
          <w:tcPr>
            <w:tcW w:w="2655" w:type="dxa"/>
            <w:tcBorders>
              <w:top w:val="single" w:color="auto" w:sz="4" w:space="0"/>
              <w:left w:val="nil"/>
              <w:bottom w:val="single" w:color="auto" w:sz="4" w:space="0"/>
              <w:right w:val="single" w:color="auto" w:sz="4" w:space="0"/>
            </w:tcBorders>
            <w:vAlign w:val="center"/>
          </w:tcPr>
          <w:p w14:paraId="6177C842">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法人代表参加磋商的无需授权委托书，提供身份证明书即可</w:t>
            </w:r>
          </w:p>
        </w:tc>
      </w:tr>
    </w:tbl>
    <w:p w14:paraId="369127B0">
      <w:pPr>
        <w:rPr>
          <w:rFonts w:ascii="宋体" w:hAnsi="宋体" w:cs="宋体"/>
          <w:snapToGrid w:val="0"/>
          <w:color w:val="auto"/>
          <w:kern w:val="0"/>
          <w:highlight w:val="none"/>
        </w:rPr>
      </w:pPr>
    </w:p>
    <w:p w14:paraId="1A57F1CD">
      <w:pPr>
        <w:pStyle w:val="8"/>
        <w:spacing w:line="415" w:lineRule="auto"/>
        <w:ind w:firstLine="0" w:firstLineChars="0"/>
        <w:jc w:val="center"/>
        <w:outlineLvl w:val="1"/>
        <w:rPr>
          <w:snapToGrid w:val="0"/>
          <w:color w:val="auto"/>
          <w:kern w:val="0"/>
          <w:highlight w:val="none"/>
        </w:rPr>
      </w:pPr>
      <w:r>
        <w:rPr>
          <w:rFonts w:hint="eastAsia"/>
          <w:snapToGrid w:val="0"/>
          <w:color w:val="auto"/>
          <w:kern w:val="0"/>
          <w:highlight w:val="none"/>
        </w:rPr>
        <w:t>五、符合性审查表</w:t>
      </w:r>
      <w:bookmarkEnd w:id="112"/>
      <w:bookmarkEnd w:id="113"/>
      <w:bookmarkEnd w:id="114"/>
      <w:bookmarkEnd w:id="115"/>
    </w:p>
    <w:p w14:paraId="3FC50BA0">
      <w:pPr>
        <w:wordWrap w:val="0"/>
        <w:rPr>
          <w:rFonts w:ascii="宋体" w:hAnsi="宋体" w:cs="宋体"/>
          <w:snapToGrid w:val="0"/>
          <w:color w:val="auto"/>
          <w:kern w:val="0"/>
          <w:highlight w:val="none"/>
        </w:rPr>
      </w:pP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983"/>
        <w:gridCol w:w="3990"/>
        <w:gridCol w:w="2335"/>
      </w:tblGrid>
      <w:tr w14:paraId="50B9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98" w:type="pct"/>
            <w:vAlign w:val="center"/>
          </w:tcPr>
          <w:p w14:paraId="081491E9">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1098" w:type="pct"/>
            <w:vAlign w:val="center"/>
          </w:tcPr>
          <w:p w14:paraId="0CA8B830">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指标名称</w:t>
            </w:r>
          </w:p>
        </w:tc>
        <w:tc>
          <w:tcPr>
            <w:tcW w:w="2209" w:type="pct"/>
            <w:vAlign w:val="center"/>
          </w:tcPr>
          <w:p w14:paraId="0C3CE51D">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指标要求</w:t>
            </w:r>
          </w:p>
        </w:tc>
        <w:tc>
          <w:tcPr>
            <w:tcW w:w="1293" w:type="pct"/>
            <w:vAlign w:val="center"/>
          </w:tcPr>
          <w:p w14:paraId="510C0412">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备注</w:t>
            </w:r>
          </w:p>
        </w:tc>
      </w:tr>
      <w:tr w14:paraId="5A10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98" w:type="pct"/>
            <w:vAlign w:val="center"/>
          </w:tcPr>
          <w:p w14:paraId="16C5B07E">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1098" w:type="pct"/>
            <w:vAlign w:val="center"/>
          </w:tcPr>
          <w:p w14:paraId="639ECD88">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技术要求响应情况</w:t>
            </w:r>
          </w:p>
        </w:tc>
        <w:tc>
          <w:tcPr>
            <w:tcW w:w="2209" w:type="pct"/>
            <w:vAlign w:val="center"/>
          </w:tcPr>
          <w:p w14:paraId="52347F58">
            <w:pPr>
              <w:wordWrap w:val="0"/>
              <w:spacing w:line="60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符合招标文件第三章第一项要求</w:t>
            </w:r>
          </w:p>
        </w:tc>
        <w:tc>
          <w:tcPr>
            <w:tcW w:w="1293" w:type="pct"/>
            <w:vAlign w:val="center"/>
          </w:tcPr>
          <w:p w14:paraId="2EF245FC">
            <w:pPr>
              <w:wordWrap w:val="0"/>
              <w:spacing w:line="600" w:lineRule="auto"/>
              <w:jc w:val="center"/>
              <w:rPr>
                <w:rFonts w:ascii="宋体" w:hAnsi="宋体" w:cs="宋体"/>
                <w:snapToGrid w:val="0"/>
                <w:color w:val="auto"/>
                <w:kern w:val="0"/>
                <w:sz w:val="24"/>
                <w:szCs w:val="24"/>
                <w:highlight w:val="none"/>
              </w:rPr>
            </w:pPr>
          </w:p>
        </w:tc>
      </w:tr>
      <w:tr w14:paraId="0761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14:paraId="6725BCB0">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1098" w:type="pct"/>
            <w:vAlign w:val="center"/>
          </w:tcPr>
          <w:p w14:paraId="7514DB85">
            <w:pPr>
              <w:wordWrap w:val="0"/>
              <w:spacing w:after="50"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商务要求响应情况</w:t>
            </w:r>
          </w:p>
        </w:tc>
        <w:tc>
          <w:tcPr>
            <w:tcW w:w="2209" w:type="pct"/>
            <w:vAlign w:val="center"/>
          </w:tcPr>
          <w:p w14:paraId="494D60CF">
            <w:pPr>
              <w:wordWrap w:val="0"/>
              <w:spacing w:line="60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符合招标文件第三章第二项要求</w:t>
            </w:r>
          </w:p>
        </w:tc>
        <w:tc>
          <w:tcPr>
            <w:tcW w:w="1293" w:type="pct"/>
            <w:vAlign w:val="center"/>
          </w:tcPr>
          <w:p w14:paraId="3AD261A7">
            <w:pPr>
              <w:wordWrap w:val="0"/>
              <w:spacing w:line="600" w:lineRule="auto"/>
              <w:jc w:val="center"/>
              <w:rPr>
                <w:rFonts w:ascii="宋体" w:hAnsi="宋体" w:cs="宋体"/>
                <w:snapToGrid w:val="0"/>
                <w:color w:val="auto"/>
                <w:kern w:val="0"/>
                <w:sz w:val="24"/>
                <w:szCs w:val="24"/>
                <w:highlight w:val="none"/>
              </w:rPr>
            </w:pPr>
          </w:p>
        </w:tc>
      </w:tr>
      <w:tr w14:paraId="5B31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14:paraId="02BAB179">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1098" w:type="pct"/>
            <w:vAlign w:val="center"/>
          </w:tcPr>
          <w:p w14:paraId="08BE9611">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标书规范性</w:t>
            </w:r>
          </w:p>
        </w:tc>
        <w:tc>
          <w:tcPr>
            <w:tcW w:w="2209" w:type="pct"/>
            <w:vAlign w:val="center"/>
          </w:tcPr>
          <w:p w14:paraId="5F7C2571">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符合招标文件要求（按照规定的要求进行编制、装订、标记和签署）</w:t>
            </w:r>
          </w:p>
        </w:tc>
        <w:tc>
          <w:tcPr>
            <w:tcW w:w="1293" w:type="pct"/>
            <w:vAlign w:val="center"/>
          </w:tcPr>
          <w:p w14:paraId="2FDFDEB5">
            <w:pPr>
              <w:wordWrap w:val="0"/>
              <w:spacing w:line="600" w:lineRule="auto"/>
              <w:jc w:val="center"/>
              <w:rPr>
                <w:rFonts w:ascii="宋体" w:hAnsi="宋体" w:cs="宋体"/>
                <w:snapToGrid w:val="0"/>
                <w:color w:val="auto"/>
                <w:kern w:val="0"/>
                <w:sz w:val="24"/>
                <w:szCs w:val="24"/>
                <w:highlight w:val="none"/>
              </w:rPr>
            </w:pPr>
          </w:p>
        </w:tc>
      </w:tr>
      <w:tr w14:paraId="32C1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14:paraId="7CE287A0">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1098" w:type="pct"/>
            <w:vAlign w:val="center"/>
          </w:tcPr>
          <w:p w14:paraId="51D1D940">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投标函</w:t>
            </w:r>
          </w:p>
        </w:tc>
        <w:tc>
          <w:tcPr>
            <w:tcW w:w="2209" w:type="pct"/>
            <w:vAlign w:val="center"/>
          </w:tcPr>
          <w:p w14:paraId="66E3A6D0">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符合招标文件要求</w:t>
            </w:r>
          </w:p>
        </w:tc>
        <w:tc>
          <w:tcPr>
            <w:tcW w:w="1293" w:type="pct"/>
            <w:vAlign w:val="center"/>
          </w:tcPr>
          <w:p w14:paraId="1361D34F">
            <w:pPr>
              <w:wordWrap w:val="0"/>
              <w:spacing w:line="600" w:lineRule="auto"/>
              <w:jc w:val="center"/>
              <w:rPr>
                <w:rFonts w:ascii="宋体" w:hAnsi="宋体" w:cs="宋体"/>
                <w:snapToGrid w:val="0"/>
                <w:color w:val="auto"/>
                <w:kern w:val="0"/>
                <w:sz w:val="24"/>
                <w:szCs w:val="24"/>
                <w:highlight w:val="none"/>
              </w:rPr>
            </w:pPr>
          </w:p>
        </w:tc>
      </w:tr>
      <w:tr w14:paraId="091F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14:paraId="0E1C1129">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1098" w:type="pct"/>
            <w:vAlign w:val="center"/>
          </w:tcPr>
          <w:p w14:paraId="392C9E38">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其他</w:t>
            </w:r>
          </w:p>
        </w:tc>
        <w:tc>
          <w:tcPr>
            <w:tcW w:w="2209" w:type="pct"/>
            <w:vAlign w:val="center"/>
          </w:tcPr>
          <w:p w14:paraId="087A8334">
            <w:pPr>
              <w:wordWrap w:val="0"/>
              <w:spacing w:line="60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符合招标文件要求</w:t>
            </w:r>
          </w:p>
        </w:tc>
        <w:tc>
          <w:tcPr>
            <w:tcW w:w="1293" w:type="pct"/>
            <w:vAlign w:val="center"/>
          </w:tcPr>
          <w:p w14:paraId="78F0F170">
            <w:pPr>
              <w:wordWrap w:val="0"/>
              <w:spacing w:line="600" w:lineRule="auto"/>
              <w:jc w:val="center"/>
              <w:rPr>
                <w:rFonts w:ascii="宋体" w:hAnsi="宋体" w:cs="宋体"/>
                <w:snapToGrid w:val="0"/>
                <w:color w:val="auto"/>
                <w:kern w:val="0"/>
                <w:sz w:val="24"/>
                <w:szCs w:val="24"/>
                <w:highlight w:val="none"/>
              </w:rPr>
            </w:pPr>
          </w:p>
        </w:tc>
      </w:tr>
    </w:tbl>
    <w:p w14:paraId="629169CA">
      <w:pPr>
        <w:pStyle w:val="8"/>
        <w:ind w:firstLine="0" w:firstLineChars="0"/>
        <w:jc w:val="both"/>
        <w:outlineLvl w:val="9"/>
        <w:rPr>
          <w:snapToGrid w:val="0"/>
          <w:color w:val="auto"/>
          <w:kern w:val="0"/>
          <w:highlight w:val="none"/>
        </w:rPr>
      </w:pPr>
    </w:p>
    <w:p w14:paraId="3D6B7CB9">
      <w:pPr>
        <w:pStyle w:val="8"/>
        <w:ind w:firstLine="0" w:firstLineChars="0"/>
        <w:jc w:val="both"/>
        <w:outlineLvl w:val="9"/>
        <w:rPr>
          <w:snapToGrid w:val="0"/>
          <w:color w:val="auto"/>
          <w:kern w:val="0"/>
          <w:highlight w:val="none"/>
        </w:rPr>
      </w:pPr>
    </w:p>
    <w:p w14:paraId="270E4CD2">
      <w:pPr>
        <w:pStyle w:val="8"/>
        <w:ind w:firstLine="0" w:firstLineChars="0"/>
        <w:jc w:val="both"/>
        <w:outlineLvl w:val="9"/>
        <w:rPr>
          <w:rFonts w:ascii="Calibri" w:hAnsi="Calibri" w:cs="Times New Roman"/>
          <w:b w:val="0"/>
          <w:bCs w:val="0"/>
          <w:color w:val="auto"/>
          <w:sz w:val="21"/>
          <w:szCs w:val="22"/>
          <w:highlight w:val="none"/>
        </w:rPr>
      </w:pPr>
    </w:p>
    <w:p w14:paraId="3E36EC7E">
      <w:pPr>
        <w:rPr>
          <w:rFonts w:ascii="Calibri" w:hAnsi="Calibri" w:cs="Times New Roman"/>
          <w:b w:val="0"/>
          <w:bCs w:val="0"/>
          <w:color w:val="auto"/>
          <w:sz w:val="21"/>
          <w:szCs w:val="22"/>
          <w:highlight w:val="none"/>
        </w:rPr>
      </w:pPr>
    </w:p>
    <w:p w14:paraId="19BD4122">
      <w:pPr>
        <w:pStyle w:val="2"/>
        <w:rPr>
          <w:rFonts w:ascii="Calibri" w:hAnsi="Calibri" w:cs="Times New Roman"/>
          <w:b w:val="0"/>
          <w:bCs w:val="0"/>
          <w:color w:val="auto"/>
          <w:sz w:val="21"/>
          <w:szCs w:val="22"/>
          <w:highlight w:val="none"/>
        </w:rPr>
      </w:pPr>
    </w:p>
    <w:p w14:paraId="4B452009">
      <w:pPr>
        <w:pStyle w:val="5"/>
        <w:rPr>
          <w:color w:val="auto"/>
          <w:highlight w:val="none"/>
        </w:rPr>
      </w:pPr>
    </w:p>
    <w:p w14:paraId="5D2B93E6">
      <w:pPr>
        <w:pStyle w:val="8"/>
        <w:ind w:firstLine="0" w:firstLineChars="0"/>
        <w:jc w:val="center"/>
        <w:outlineLvl w:val="1"/>
        <w:rPr>
          <w:color w:val="auto"/>
          <w:highlight w:val="none"/>
        </w:rPr>
      </w:pPr>
      <w:r>
        <w:rPr>
          <w:rFonts w:hint="eastAsia"/>
          <w:color w:val="auto"/>
          <w:highlight w:val="none"/>
        </w:rPr>
        <w:t>六、评分标准</w:t>
      </w:r>
    </w:p>
    <w:p w14:paraId="09808702">
      <w:pPr>
        <w:pStyle w:val="8"/>
        <w:ind w:firstLine="0" w:firstLineChars="0"/>
        <w:rPr>
          <w:color w:val="auto"/>
          <w:highlight w:val="none"/>
        </w:rPr>
      </w:pPr>
      <w:r>
        <w:rPr>
          <w:rFonts w:hint="eastAsia"/>
          <w:color w:val="auto"/>
          <w:highlight w:val="none"/>
        </w:rPr>
        <w:t>（一）技术标评审（共70分）</w:t>
      </w:r>
    </w:p>
    <w:tbl>
      <w:tblPr>
        <w:tblStyle w:val="19"/>
        <w:tblpPr w:leftFromText="180" w:rightFromText="180" w:vertAnchor="text" w:horzAnchor="page" w:tblpX="903" w:tblpY="419"/>
        <w:tblOverlap w:val="never"/>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41"/>
        <w:gridCol w:w="645"/>
        <w:gridCol w:w="7575"/>
      </w:tblGrid>
      <w:tr w14:paraId="2D3E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1" w:type="dxa"/>
            <w:vAlign w:val="center"/>
          </w:tcPr>
          <w:p w14:paraId="7D6EA315">
            <w:pPr>
              <w:rPr>
                <w:rFonts w:ascii="宋体" w:hAnsi="宋体"/>
                <w:b/>
                <w:bCs/>
                <w:color w:val="auto"/>
                <w:szCs w:val="21"/>
                <w:highlight w:val="none"/>
              </w:rPr>
            </w:pPr>
            <w:r>
              <w:rPr>
                <w:rFonts w:hint="eastAsia" w:ascii="宋体" w:hAnsi="宋体"/>
                <w:b/>
                <w:bCs/>
                <w:color w:val="auto"/>
                <w:szCs w:val="21"/>
                <w:highlight w:val="none"/>
              </w:rPr>
              <w:t>序号</w:t>
            </w:r>
          </w:p>
        </w:tc>
        <w:tc>
          <w:tcPr>
            <w:tcW w:w="1141" w:type="dxa"/>
            <w:vAlign w:val="center"/>
          </w:tcPr>
          <w:p w14:paraId="3B7D95F4">
            <w:pPr>
              <w:jc w:val="center"/>
              <w:rPr>
                <w:rFonts w:ascii="宋体" w:hAnsi="宋体"/>
                <w:b/>
                <w:bCs/>
                <w:color w:val="auto"/>
                <w:szCs w:val="21"/>
                <w:highlight w:val="none"/>
              </w:rPr>
            </w:pPr>
            <w:r>
              <w:rPr>
                <w:rFonts w:hint="eastAsia" w:ascii="宋体" w:hAnsi="宋体"/>
                <w:b/>
                <w:bCs/>
                <w:color w:val="auto"/>
                <w:szCs w:val="21"/>
                <w:highlight w:val="none"/>
              </w:rPr>
              <w:t>评审内容</w:t>
            </w:r>
          </w:p>
        </w:tc>
        <w:tc>
          <w:tcPr>
            <w:tcW w:w="645" w:type="dxa"/>
            <w:vAlign w:val="center"/>
          </w:tcPr>
          <w:p w14:paraId="22AD7238">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7575" w:type="dxa"/>
            <w:vAlign w:val="center"/>
          </w:tcPr>
          <w:p w14:paraId="775BED2D">
            <w:pPr>
              <w:jc w:val="center"/>
              <w:rPr>
                <w:rFonts w:ascii="宋体" w:hAnsi="宋体"/>
                <w:b/>
                <w:bCs/>
                <w:color w:val="auto"/>
                <w:szCs w:val="21"/>
                <w:highlight w:val="none"/>
              </w:rPr>
            </w:pPr>
            <w:r>
              <w:rPr>
                <w:rFonts w:hint="eastAsia" w:ascii="宋体" w:hAnsi="宋体"/>
                <w:b/>
                <w:bCs/>
                <w:color w:val="auto"/>
                <w:szCs w:val="21"/>
                <w:highlight w:val="none"/>
              </w:rPr>
              <w:t>评分标准</w:t>
            </w:r>
          </w:p>
        </w:tc>
      </w:tr>
      <w:tr w14:paraId="380F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81" w:type="dxa"/>
            <w:vAlign w:val="center"/>
          </w:tcPr>
          <w:p w14:paraId="0951014E">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141" w:type="dxa"/>
            <w:vAlign w:val="center"/>
          </w:tcPr>
          <w:p w14:paraId="6885D4A3">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经营高校或单位食堂经验</w:t>
            </w:r>
          </w:p>
        </w:tc>
        <w:tc>
          <w:tcPr>
            <w:tcW w:w="645" w:type="dxa"/>
            <w:vAlign w:val="center"/>
          </w:tcPr>
          <w:p w14:paraId="55FE083C">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7575" w:type="dxa"/>
            <w:vAlign w:val="center"/>
          </w:tcPr>
          <w:p w14:paraId="3E610DFD">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提供202</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年1月1日（时间以合同签订时间为准）以来经营高校</w:t>
            </w:r>
            <w:r>
              <w:rPr>
                <w:rFonts w:hint="eastAsia" w:asciiTheme="minorEastAsia" w:hAnsiTheme="minorEastAsia" w:eastAsiaTheme="minorEastAsia" w:cstheme="minorEastAsia"/>
                <w:color w:val="auto"/>
                <w:szCs w:val="21"/>
                <w:highlight w:val="none"/>
              </w:rPr>
              <w:t>或相当规模（团餐1000人以上）单位</w:t>
            </w:r>
            <w:r>
              <w:rPr>
                <w:rFonts w:hint="eastAsia" w:asciiTheme="minorEastAsia" w:hAnsiTheme="minorEastAsia" w:eastAsiaTheme="minorEastAsia" w:cstheme="minorEastAsia"/>
                <w:color w:val="auto"/>
                <w:kern w:val="0"/>
                <w:szCs w:val="21"/>
                <w:highlight w:val="none"/>
              </w:rPr>
              <w:t>食堂餐饮的合同业绩，满一年得2分，满连续两年得4分，满连续3年及以上得6分,最高得6分。同期不重复得分。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本项共6分</w:t>
            </w:r>
            <w:r>
              <w:rPr>
                <w:rFonts w:hint="eastAsia" w:asciiTheme="minorEastAsia" w:hAnsiTheme="minorEastAsia" w:eastAsiaTheme="minorEastAsia" w:cstheme="minorEastAsia"/>
                <w:color w:val="auto"/>
                <w:szCs w:val="21"/>
                <w:highlight w:val="none"/>
              </w:rPr>
              <w:t>）</w:t>
            </w:r>
          </w:p>
        </w:tc>
      </w:tr>
      <w:tr w14:paraId="3445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14:paraId="7E1F95B6">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1141" w:type="dxa"/>
            <w:vAlign w:val="center"/>
          </w:tcPr>
          <w:p w14:paraId="00BFD983">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连锁经营情况</w:t>
            </w:r>
          </w:p>
        </w:tc>
        <w:tc>
          <w:tcPr>
            <w:tcW w:w="645" w:type="dxa"/>
            <w:vAlign w:val="center"/>
          </w:tcPr>
          <w:p w14:paraId="721A51EB">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7575" w:type="dxa"/>
            <w:vAlign w:val="center"/>
          </w:tcPr>
          <w:p w14:paraId="1895267D">
            <w:pPr>
              <w:spacing w:line="360" w:lineRule="auto"/>
              <w:jc w:val="left"/>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①202</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年1月1日以来正在经营的高校食堂面积2000㎡（或单位食堂就餐人数2千人）及以上的单个食堂得2分，每增加一个加1分，最高分得</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分（以合同为准，如合同没写面积或人数，可由合同甲方提供书面证明）。</w:t>
            </w:r>
          </w:p>
          <w:p w14:paraId="0F654B7A">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②已在高校经营的食堂师生满意率80%以上或师生满意度测评分在80分以上的可得2分；单位食堂80分以上得1分。提供经营合同方证明材料。</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本项共8分</w:t>
            </w:r>
            <w:r>
              <w:rPr>
                <w:rFonts w:hint="eastAsia" w:asciiTheme="minorEastAsia" w:hAnsiTheme="minorEastAsia" w:eastAsiaTheme="minorEastAsia" w:cstheme="minorEastAsia"/>
                <w:color w:val="auto"/>
                <w:szCs w:val="21"/>
                <w:highlight w:val="none"/>
              </w:rPr>
              <w:t>）</w:t>
            </w:r>
          </w:p>
        </w:tc>
      </w:tr>
      <w:tr w14:paraId="0E08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14:paraId="2F7462FA">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141" w:type="dxa"/>
            <w:vAlign w:val="center"/>
          </w:tcPr>
          <w:p w14:paraId="5EB11535">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认证情况</w:t>
            </w:r>
          </w:p>
        </w:tc>
        <w:tc>
          <w:tcPr>
            <w:tcW w:w="645" w:type="dxa"/>
            <w:vAlign w:val="center"/>
          </w:tcPr>
          <w:p w14:paraId="4C8E3EC1">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7575" w:type="dxa"/>
            <w:vAlign w:val="center"/>
          </w:tcPr>
          <w:p w14:paraId="42F90D03">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①企业具有有效的ISO9001质量管理体系认证证书的得1分；</w:t>
            </w:r>
          </w:p>
          <w:p w14:paraId="28D84D47">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②企业具有有效的ISO22000食品安全管理体系认证证书的得1分；</w:t>
            </w:r>
          </w:p>
          <w:p w14:paraId="119A0D46">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③企业具有有效的ISO14001环境管理体系认证证书的得1分；</w:t>
            </w:r>
          </w:p>
          <w:p w14:paraId="48BD4EC6">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4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④</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企业具有</w:t>
            </w:r>
            <w:r>
              <w:rPr>
                <w:rFonts w:hint="eastAsia" w:asciiTheme="minorEastAsia" w:hAnsiTheme="minorEastAsia" w:eastAsiaTheme="minorEastAsia" w:cstheme="minorEastAsia"/>
                <w:color w:val="auto"/>
                <w:szCs w:val="21"/>
                <w:highlight w:val="none"/>
                <w:lang w:val="en-US" w:eastAsia="zh-CN"/>
              </w:rPr>
              <w:t>ISO45001</w:t>
            </w:r>
            <w:r>
              <w:rPr>
                <w:rFonts w:hint="eastAsia" w:asciiTheme="minorEastAsia" w:hAnsiTheme="minorEastAsia" w:eastAsiaTheme="minorEastAsia" w:cstheme="minorEastAsia"/>
                <w:color w:val="auto"/>
                <w:szCs w:val="21"/>
                <w:highlight w:val="none"/>
              </w:rPr>
              <w:t>职业健康安全管理体系认证证书的得1分</w:t>
            </w:r>
            <w:r>
              <w:rPr>
                <w:rFonts w:hint="eastAsia" w:asciiTheme="minorEastAsia" w:hAnsiTheme="minorEastAsia" w:eastAsiaTheme="minorEastAsia" w:cstheme="minorEastAsia"/>
                <w:color w:val="auto"/>
                <w:szCs w:val="21"/>
                <w:highlight w:val="none"/>
              </w:rPr>
              <w:t>；</w:t>
            </w:r>
          </w:p>
          <w:p w14:paraId="2139F77C">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5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⑤</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企业具有危害分析与关键控制点HACCP体系认证证书的得1分；</w:t>
            </w:r>
          </w:p>
          <w:p w14:paraId="34ED4017">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6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⑥</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企业具有SA8000社会责任管理体系认证证书的得1分；</w:t>
            </w:r>
          </w:p>
          <w:p w14:paraId="7B488F1C">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7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⑦</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属于省高校后勤协会理事单位或省、直辖市高校伙食专业委员会推荐单位</w:t>
            </w:r>
            <w:r>
              <w:rPr>
                <w:rFonts w:hint="eastAsia" w:asciiTheme="minorEastAsia" w:hAnsiTheme="minorEastAsia" w:eastAsiaTheme="minorEastAsia" w:cstheme="minorEastAsia"/>
                <w:color w:val="auto"/>
                <w:szCs w:val="21"/>
                <w:highlight w:val="none"/>
                <w:lang w:val="en-US" w:eastAsia="zh-CN"/>
              </w:rPr>
              <w:t>或省级及以上餐饮行业协会常务理事及以上</w:t>
            </w:r>
            <w:r>
              <w:rPr>
                <w:rFonts w:hint="eastAsia" w:asciiTheme="minorEastAsia" w:hAnsiTheme="minorEastAsia" w:eastAsiaTheme="minorEastAsia" w:cstheme="minorEastAsia"/>
                <w:color w:val="auto"/>
                <w:szCs w:val="21"/>
                <w:highlight w:val="none"/>
              </w:rPr>
              <w:t>的得2分；属于</w:t>
            </w:r>
            <w:r>
              <w:rPr>
                <w:rFonts w:hint="eastAsia" w:asciiTheme="minorEastAsia" w:hAnsiTheme="minorEastAsia" w:eastAsiaTheme="minorEastAsia" w:cstheme="minorEastAsia"/>
                <w:color w:val="auto"/>
                <w:szCs w:val="21"/>
                <w:highlight w:val="none"/>
                <w:lang w:val="en-US" w:eastAsia="zh-CN"/>
              </w:rPr>
              <w:t>省级及以上餐饮行业协会</w:t>
            </w:r>
            <w:r>
              <w:rPr>
                <w:rFonts w:hint="eastAsia" w:asciiTheme="minorEastAsia" w:hAnsiTheme="minorEastAsia" w:eastAsiaTheme="minorEastAsia" w:cstheme="minorEastAsia"/>
                <w:color w:val="auto"/>
                <w:szCs w:val="21"/>
                <w:highlight w:val="none"/>
              </w:rPr>
              <w:t>理事单位的得1分。提供相关证明材料，没有不得分。（</w:t>
            </w:r>
            <w:r>
              <w:rPr>
                <w:rFonts w:hint="eastAsia" w:asciiTheme="minorEastAsia" w:hAnsiTheme="minorEastAsia" w:eastAsiaTheme="minorEastAsia" w:cstheme="minorEastAsia"/>
                <w:color w:val="auto"/>
                <w:kern w:val="0"/>
                <w:szCs w:val="21"/>
                <w:highlight w:val="none"/>
              </w:rPr>
              <w:t>本项共8分</w:t>
            </w:r>
            <w:r>
              <w:rPr>
                <w:rFonts w:hint="eastAsia" w:asciiTheme="minorEastAsia" w:hAnsiTheme="minorEastAsia" w:eastAsiaTheme="minorEastAsia" w:cstheme="minorEastAsia"/>
                <w:color w:val="auto"/>
                <w:szCs w:val="21"/>
                <w:highlight w:val="none"/>
              </w:rPr>
              <w:t>）</w:t>
            </w:r>
          </w:p>
        </w:tc>
      </w:tr>
      <w:tr w14:paraId="7124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14:paraId="7D1E067B">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1141" w:type="dxa"/>
            <w:vAlign w:val="center"/>
          </w:tcPr>
          <w:p w14:paraId="3FBAEA9B">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项目经</w:t>
            </w:r>
            <w:r>
              <w:rPr>
                <w:rFonts w:hint="eastAsia" w:asciiTheme="minorEastAsia" w:hAnsiTheme="minorEastAsia" w:eastAsiaTheme="minorEastAsia" w:cstheme="minorEastAsia"/>
                <w:bCs/>
                <w:color w:val="auto"/>
                <w:kern w:val="0"/>
                <w:szCs w:val="21"/>
                <w:highlight w:val="none"/>
              </w:rPr>
              <w:t>理资质</w:t>
            </w:r>
          </w:p>
        </w:tc>
        <w:tc>
          <w:tcPr>
            <w:tcW w:w="645" w:type="dxa"/>
            <w:vAlign w:val="center"/>
          </w:tcPr>
          <w:p w14:paraId="642DE855">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7575" w:type="dxa"/>
            <w:vAlign w:val="center"/>
          </w:tcPr>
          <w:p w14:paraId="6D6B81A9">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w:t>
            </w:r>
            <w:r>
              <w:rPr>
                <w:rFonts w:hint="eastAsia" w:asciiTheme="minorEastAsia" w:hAnsiTheme="minorEastAsia" w:eastAsiaTheme="minorEastAsia" w:cstheme="minorEastAsia"/>
                <w:color w:val="auto"/>
                <w:szCs w:val="21"/>
                <w:highlight w:val="none"/>
              </w:rPr>
              <w:t>拟派餐饮职业经理</w:t>
            </w:r>
            <w:r>
              <w:rPr>
                <w:rFonts w:hint="eastAsia" w:asciiTheme="minorEastAsia" w:hAnsiTheme="minorEastAsia" w:eastAsiaTheme="minorEastAsia" w:cstheme="minorEastAsia"/>
                <w:color w:val="auto"/>
                <w:kern w:val="0"/>
                <w:szCs w:val="21"/>
                <w:highlight w:val="none"/>
              </w:rPr>
              <w:t>中专及以下学历得1分，大专及以上学历得2分；</w:t>
            </w:r>
          </w:p>
          <w:p w14:paraId="381B5C1B">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w:t>
            </w:r>
            <w:r>
              <w:rPr>
                <w:rFonts w:hint="eastAsia" w:asciiTheme="minorEastAsia" w:hAnsiTheme="minorEastAsia" w:eastAsiaTheme="minorEastAsia" w:cstheme="minorEastAsia"/>
                <w:color w:val="auto"/>
                <w:szCs w:val="21"/>
                <w:highlight w:val="none"/>
              </w:rPr>
              <w:t>拟派餐饮职业经理</w:t>
            </w:r>
            <w:r>
              <w:rPr>
                <w:rFonts w:hint="eastAsia" w:asciiTheme="minorEastAsia" w:hAnsiTheme="minorEastAsia" w:eastAsiaTheme="minorEastAsia" w:cstheme="minorEastAsia"/>
                <w:color w:val="auto"/>
                <w:kern w:val="0"/>
                <w:szCs w:val="21"/>
                <w:highlight w:val="none"/>
              </w:rPr>
              <w:t>有食品安全管理员证书的得2分；</w:t>
            </w:r>
          </w:p>
          <w:p w14:paraId="06AA21E3">
            <w:pPr>
              <w:pStyle w:val="3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③拟派餐饮职业经理具有三级厨师证书的得2分。没有不得分。</w:t>
            </w:r>
          </w:p>
          <w:p w14:paraId="7EB12070">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注：1、学历提供毕业证书或其他有关证明材料；2、食品安全管理员、厨师证提供有关证书材料；3、拟派项目经理必须有本单位缴纳社保</w:t>
            </w:r>
            <w:r>
              <w:rPr>
                <w:rFonts w:hint="eastAsia" w:asciiTheme="minorEastAsia" w:hAnsiTheme="minorEastAsia" w:eastAsiaTheme="minorEastAsia" w:cstheme="minorEastAsia"/>
                <w:color w:val="auto"/>
                <w:kern w:val="0"/>
                <w:szCs w:val="21"/>
                <w:highlight w:val="none"/>
              </w:rPr>
              <w:t>（2023年1月1日-至今）社保缴费证明（或社保的有效证明材料）指的是至少含养老保险、医疗保险、工伤保险、失业保险中任意一项即可的证明，否则该项目为0分。（本项共6分）</w:t>
            </w:r>
          </w:p>
        </w:tc>
      </w:tr>
      <w:tr w14:paraId="65E7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14:paraId="56BFFC09">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141" w:type="dxa"/>
            <w:vAlign w:val="center"/>
          </w:tcPr>
          <w:p w14:paraId="43CA3D2C">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企业信用证明</w:t>
            </w:r>
          </w:p>
        </w:tc>
        <w:tc>
          <w:tcPr>
            <w:tcW w:w="645" w:type="dxa"/>
            <w:vAlign w:val="center"/>
          </w:tcPr>
          <w:p w14:paraId="1B63429E">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7575" w:type="dxa"/>
            <w:vAlign w:val="center"/>
          </w:tcPr>
          <w:p w14:paraId="176AC6D4">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①企业信用等级AAA级得1分、AA得0.5分、A不得分；</w:t>
            </w:r>
          </w:p>
          <w:p w14:paraId="1B161B56">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②企业正在经营的高校食堂或团餐单位食堂，被市场监管等部门评为202</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年度</w:t>
            </w:r>
            <w:r>
              <w:rPr>
                <w:rFonts w:hint="eastAsia" w:asciiTheme="minorEastAsia" w:hAnsiTheme="minorEastAsia" w:eastAsiaTheme="minorEastAsia" w:cstheme="minorEastAsia"/>
                <w:color w:val="auto"/>
                <w:szCs w:val="21"/>
                <w:highlight w:val="none"/>
                <w:lang w:val="en-US" w:eastAsia="zh-CN"/>
              </w:rPr>
              <w:t>至2023年度</w:t>
            </w:r>
            <w:r>
              <w:rPr>
                <w:rFonts w:hint="eastAsia" w:asciiTheme="minorEastAsia" w:hAnsiTheme="minorEastAsia" w:eastAsiaTheme="minorEastAsia" w:cstheme="minorEastAsia"/>
                <w:color w:val="auto"/>
                <w:szCs w:val="21"/>
                <w:highlight w:val="none"/>
              </w:rPr>
              <w:t>食品安全监督量化等级A级的，高校食堂</w:t>
            </w:r>
            <w:r>
              <w:rPr>
                <w:rFonts w:hint="eastAsia" w:asciiTheme="minorEastAsia" w:hAnsiTheme="minorEastAsia" w:eastAsiaTheme="minorEastAsia" w:cstheme="minorEastAsia"/>
                <w:color w:val="auto"/>
                <w:szCs w:val="21"/>
                <w:highlight w:val="none"/>
                <w:lang w:val="en-US" w:eastAsia="zh-CN"/>
              </w:rPr>
              <w:t>每年度</w:t>
            </w:r>
            <w:r>
              <w:rPr>
                <w:rFonts w:hint="eastAsia" w:asciiTheme="minorEastAsia" w:hAnsiTheme="minorEastAsia" w:eastAsiaTheme="minorEastAsia" w:cstheme="minorEastAsia"/>
                <w:color w:val="auto"/>
                <w:szCs w:val="21"/>
                <w:highlight w:val="none"/>
              </w:rPr>
              <w:t>每个得1分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同一年度多个高校食堂获得，不累计计算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，团餐单位食堂</w:t>
            </w:r>
            <w:r>
              <w:rPr>
                <w:rFonts w:hint="eastAsia" w:asciiTheme="minorEastAsia" w:hAnsiTheme="minorEastAsia" w:eastAsiaTheme="minorEastAsia" w:cstheme="minorEastAsia"/>
                <w:color w:val="auto"/>
                <w:szCs w:val="21"/>
                <w:highlight w:val="none"/>
                <w:lang w:val="en-US" w:eastAsia="zh-CN"/>
              </w:rPr>
              <w:t>每年度</w:t>
            </w:r>
            <w:r>
              <w:rPr>
                <w:rFonts w:hint="eastAsia" w:asciiTheme="minorEastAsia" w:hAnsiTheme="minorEastAsia" w:eastAsiaTheme="minorEastAsia" w:cstheme="minorEastAsia"/>
                <w:color w:val="auto"/>
                <w:szCs w:val="21"/>
                <w:highlight w:val="none"/>
              </w:rPr>
              <w:t>每个得0.5分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同一年度多个团餐单位获得，不累计计算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；B级的高校食堂</w:t>
            </w:r>
            <w:r>
              <w:rPr>
                <w:rFonts w:hint="eastAsia" w:asciiTheme="minorEastAsia" w:hAnsiTheme="minorEastAsia" w:eastAsiaTheme="minorEastAsia" w:cstheme="minorEastAsia"/>
                <w:color w:val="auto"/>
                <w:szCs w:val="21"/>
                <w:highlight w:val="none"/>
                <w:lang w:val="en-US" w:eastAsia="zh-CN"/>
              </w:rPr>
              <w:t>每年度</w:t>
            </w:r>
            <w:r>
              <w:rPr>
                <w:rFonts w:hint="eastAsia" w:asciiTheme="minorEastAsia" w:hAnsiTheme="minorEastAsia" w:eastAsiaTheme="minorEastAsia" w:cstheme="minorEastAsia"/>
                <w:color w:val="auto"/>
                <w:szCs w:val="21"/>
                <w:highlight w:val="none"/>
              </w:rPr>
              <w:t>每个得0.5分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同一年度多个高校食堂获得，不累计计算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，团餐单位食堂不得分；满分2分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本项共3分</w:t>
            </w:r>
            <w:r>
              <w:rPr>
                <w:rFonts w:hint="eastAsia" w:asciiTheme="minorEastAsia" w:hAnsiTheme="minorEastAsia" w:eastAsiaTheme="minorEastAsia" w:cstheme="minorEastAsia"/>
                <w:color w:val="auto"/>
                <w:szCs w:val="21"/>
                <w:highlight w:val="none"/>
              </w:rPr>
              <w:t>）</w:t>
            </w:r>
          </w:p>
        </w:tc>
      </w:tr>
      <w:tr w14:paraId="4C31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81" w:type="dxa"/>
            <w:vMerge w:val="restart"/>
            <w:vAlign w:val="center"/>
          </w:tcPr>
          <w:p w14:paraId="319DDEEC">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141" w:type="dxa"/>
            <w:vMerge w:val="restart"/>
            <w:vAlign w:val="center"/>
          </w:tcPr>
          <w:p w14:paraId="55D94330">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经营方案</w:t>
            </w:r>
          </w:p>
        </w:tc>
        <w:tc>
          <w:tcPr>
            <w:tcW w:w="645" w:type="dxa"/>
            <w:vMerge w:val="restart"/>
            <w:vAlign w:val="center"/>
          </w:tcPr>
          <w:p w14:paraId="6E99459E">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w:t>
            </w:r>
          </w:p>
        </w:tc>
        <w:tc>
          <w:tcPr>
            <w:tcW w:w="7575" w:type="dxa"/>
            <w:vAlign w:val="center"/>
          </w:tcPr>
          <w:p w14:paraId="3B46A289">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1、运营方案：</w:t>
            </w:r>
            <w:r>
              <w:rPr>
                <w:rFonts w:hint="eastAsia" w:asciiTheme="minorEastAsia" w:hAnsiTheme="minorEastAsia" w:eastAsiaTheme="minorEastAsia" w:cstheme="minorEastAsia"/>
                <w:color w:val="auto"/>
                <w:szCs w:val="21"/>
                <w:highlight w:val="none"/>
              </w:rPr>
              <w:t>单位（公司）层面，如何组建本项目组管理团队，餐厅经理、厨师长、中式烹调师、面点师、办公文员、营养师等人员配备合理，分工明确、量化分明得0-2分。（</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14:paraId="6EFD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681" w:type="dxa"/>
            <w:vMerge w:val="continue"/>
            <w:vAlign w:val="center"/>
          </w:tcPr>
          <w:p w14:paraId="6B2D2D13">
            <w:pPr>
              <w:spacing w:line="360" w:lineRule="auto"/>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14:paraId="18A52F57">
            <w:pPr>
              <w:spacing w:line="360" w:lineRule="auto"/>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14:paraId="1CCC1873">
            <w:pPr>
              <w:spacing w:line="360" w:lineRule="auto"/>
              <w:jc w:val="center"/>
              <w:rPr>
                <w:rFonts w:asciiTheme="minorEastAsia" w:hAnsiTheme="minorEastAsia" w:eastAsiaTheme="minorEastAsia" w:cstheme="minorEastAsia"/>
                <w:color w:val="auto"/>
                <w:kern w:val="0"/>
                <w:szCs w:val="21"/>
                <w:highlight w:val="none"/>
              </w:rPr>
            </w:pPr>
          </w:p>
        </w:tc>
        <w:tc>
          <w:tcPr>
            <w:tcW w:w="7575" w:type="dxa"/>
            <w:vAlign w:val="center"/>
          </w:tcPr>
          <w:p w14:paraId="2CA78788">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2、经营思路：整体经营思路、经营目标、运营模式，档口班组如何设置、拟设置档口菜品种类、人员素质要求、管理要求、一卡通管理措施等，目标清晰、策略可行的得0-2分。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14:paraId="23BB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1" w:type="dxa"/>
            <w:vMerge w:val="continue"/>
            <w:vAlign w:val="center"/>
          </w:tcPr>
          <w:p w14:paraId="031A9DFE">
            <w:pPr>
              <w:spacing w:line="360" w:lineRule="auto"/>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14:paraId="5FC8D2CD">
            <w:pPr>
              <w:spacing w:line="360" w:lineRule="auto"/>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14:paraId="42892EFD">
            <w:pPr>
              <w:spacing w:line="360" w:lineRule="auto"/>
              <w:jc w:val="center"/>
              <w:rPr>
                <w:rFonts w:asciiTheme="minorEastAsia" w:hAnsiTheme="minorEastAsia" w:eastAsiaTheme="minorEastAsia" w:cstheme="minorEastAsia"/>
                <w:color w:val="auto"/>
                <w:kern w:val="0"/>
                <w:szCs w:val="21"/>
                <w:highlight w:val="none"/>
              </w:rPr>
            </w:pPr>
          </w:p>
        </w:tc>
        <w:tc>
          <w:tcPr>
            <w:tcW w:w="7575" w:type="dxa"/>
            <w:vAlign w:val="center"/>
          </w:tcPr>
          <w:p w14:paraId="70BCD04C">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3、食堂原材料采购、储存方案，各窗口或餐饮专业班组食品安全控制及食品安全应急预案：方案优得2分，良得1分，一般0.5分，差不得分。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14:paraId="4C5A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81" w:type="dxa"/>
            <w:vMerge w:val="continue"/>
            <w:vAlign w:val="center"/>
          </w:tcPr>
          <w:p w14:paraId="70C6630F">
            <w:pPr>
              <w:spacing w:line="360" w:lineRule="auto"/>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14:paraId="46C8E32F">
            <w:pPr>
              <w:spacing w:line="360" w:lineRule="auto"/>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14:paraId="0B9B6E18">
            <w:pPr>
              <w:spacing w:line="360" w:lineRule="auto"/>
              <w:jc w:val="center"/>
              <w:rPr>
                <w:rFonts w:asciiTheme="minorEastAsia" w:hAnsiTheme="minorEastAsia" w:eastAsiaTheme="minorEastAsia" w:cstheme="minorEastAsia"/>
                <w:color w:val="auto"/>
                <w:kern w:val="0"/>
                <w:szCs w:val="21"/>
                <w:highlight w:val="none"/>
              </w:rPr>
            </w:pPr>
          </w:p>
        </w:tc>
        <w:tc>
          <w:tcPr>
            <w:tcW w:w="7575" w:type="dxa"/>
            <w:vAlign w:val="center"/>
          </w:tcPr>
          <w:p w14:paraId="4EAE1B0A">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4、本项目装修方案，含</w:t>
            </w: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kern w:val="0"/>
                <w:szCs w:val="21"/>
                <w:highlight w:val="none"/>
              </w:rPr>
              <w:t>整体装修风格、</w:t>
            </w: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kern w:val="0"/>
                <w:szCs w:val="21"/>
                <w:highlight w:val="none"/>
              </w:rPr>
              <w:t>后厨改造方案、</w:t>
            </w:r>
            <w:r>
              <w:rPr>
                <w:rFonts w:hint="eastAsia" w:asciiTheme="minorEastAsia" w:hAnsiTheme="minorEastAsia" w:eastAsiaTheme="minorEastAsia" w:cstheme="minorEastAsia"/>
                <w:color w:val="auto"/>
                <w:szCs w:val="21"/>
                <w:highlight w:val="none"/>
              </w:rPr>
              <w:t>③</w:t>
            </w:r>
            <w:r>
              <w:rPr>
                <w:rFonts w:hint="eastAsia" w:asciiTheme="minorEastAsia" w:hAnsiTheme="minorEastAsia" w:eastAsiaTheme="minorEastAsia" w:cstheme="minorEastAsia"/>
                <w:color w:val="auto"/>
                <w:kern w:val="0"/>
                <w:szCs w:val="21"/>
                <w:highlight w:val="none"/>
              </w:rPr>
              <w:t>设计图纸、</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4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④</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kern w:val="0"/>
                <w:szCs w:val="21"/>
                <w:highlight w:val="none"/>
              </w:rPr>
              <w:t>装修效果图、</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5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⑤</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kern w:val="0"/>
                <w:szCs w:val="21"/>
                <w:highlight w:val="none"/>
              </w:rPr>
              <w:t>装修前期实施方案、</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6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⑥</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kern w:val="0"/>
                <w:szCs w:val="21"/>
                <w:highlight w:val="none"/>
              </w:rPr>
              <w:t>装修质量保障措施、</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7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⑦</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kern w:val="0"/>
                <w:szCs w:val="21"/>
                <w:highlight w:val="none"/>
              </w:rPr>
              <w:t>装修进度及安全保障、</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8 \* GB3 \* MERGEFORMAT </w:instrText>
            </w:r>
            <w:r>
              <w:rPr>
                <w:rFonts w:hint="eastAsia" w:asciiTheme="minorEastAsia" w:hAnsiTheme="minorEastAsia" w:eastAsiaTheme="minorEastAsia" w:cstheme="minorEastAsia"/>
                <w:color w:val="auto"/>
                <w:kern w:val="0"/>
                <w:szCs w:val="21"/>
                <w:highlight w:val="none"/>
              </w:rPr>
              <w:fldChar w:fldCharType="separate"/>
            </w:r>
            <w:r>
              <w:rPr>
                <w:rFonts w:hint="eastAsia" w:asciiTheme="minorEastAsia" w:hAnsiTheme="minorEastAsia" w:eastAsiaTheme="minorEastAsia" w:cstheme="minorEastAsia"/>
                <w:color w:val="auto"/>
                <w:kern w:val="0"/>
                <w:szCs w:val="21"/>
                <w:highlight w:val="none"/>
              </w:rPr>
              <w:t>⑧</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智慧餐厅方案</w:t>
            </w:r>
            <w:r>
              <w:rPr>
                <w:rFonts w:hint="eastAsia" w:asciiTheme="minorEastAsia" w:hAnsiTheme="minorEastAsia" w:eastAsiaTheme="minorEastAsia" w:cstheme="minorEastAsia"/>
                <w:color w:val="auto"/>
                <w:kern w:val="0"/>
                <w:szCs w:val="21"/>
                <w:highlight w:val="none"/>
              </w:rPr>
              <w:t>等，8个方面内容齐全方案优的每小项得1分，良得0.8分，一般0.5分，缺项或差的该项不得分。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本项共8分</w:t>
            </w:r>
            <w:r>
              <w:rPr>
                <w:rFonts w:hint="eastAsia" w:asciiTheme="minorEastAsia" w:hAnsiTheme="minorEastAsia" w:eastAsiaTheme="minorEastAsia" w:cstheme="minorEastAsia"/>
                <w:color w:val="auto"/>
                <w:szCs w:val="21"/>
                <w:highlight w:val="none"/>
              </w:rPr>
              <w:t>）</w:t>
            </w:r>
          </w:p>
        </w:tc>
      </w:tr>
      <w:tr w14:paraId="5C5D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1" w:type="dxa"/>
            <w:vMerge w:val="continue"/>
            <w:vAlign w:val="center"/>
          </w:tcPr>
          <w:p w14:paraId="6BD0C751">
            <w:pPr>
              <w:spacing w:line="360" w:lineRule="auto"/>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14:paraId="638F8EFA">
            <w:pPr>
              <w:spacing w:line="360" w:lineRule="auto"/>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14:paraId="357FE046">
            <w:pPr>
              <w:spacing w:line="360" w:lineRule="auto"/>
              <w:jc w:val="center"/>
              <w:rPr>
                <w:rFonts w:asciiTheme="minorEastAsia" w:hAnsiTheme="minorEastAsia" w:eastAsiaTheme="minorEastAsia" w:cstheme="minorEastAsia"/>
                <w:color w:val="auto"/>
                <w:kern w:val="0"/>
                <w:szCs w:val="21"/>
                <w:highlight w:val="none"/>
              </w:rPr>
            </w:pPr>
          </w:p>
        </w:tc>
        <w:tc>
          <w:tcPr>
            <w:tcW w:w="7575" w:type="dxa"/>
            <w:vAlign w:val="center"/>
          </w:tcPr>
          <w:p w14:paraId="37F1DDB0">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5、食堂各窗口或各餐饮专业班组服务质量、菜品数量、价格控制与提升、营养分析、菜单制定及定期更新方案5个方面：优得3分，良得2分，一般1分，差不得分。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本项共3分</w:t>
            </w:r>
            <w:r>
              <w:rPr>
                <w:rFonts w:hint="eastAsia" w:asciiTheme="minorEastAsia" w:hAnsiTheme="minorEastAsia" w:eastAsiaTheme="minorEastAsia" w:cstheme="minorEastAsia"/>
                <w:color w:val="auto"/>
                <w:szCs w:val="21"/>
                <w:highlight w:val="none"/>
              </w:rPr>
              <w:t>）</w:t>
            </w:r>
          </w:p>
        </w:tc>
      </w:tr>
      <w:tr w14:paraId="546D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1" w:type="dxa"/>
            <w:vMerge w:val="continue"/>
            <w:vAlign w:val="center"/>
          </w:tcPr>
          <w:p w14:paraId="1E6B6FA9">
            <w:pPr>
              <w:spacing w:line="360" w:lineRule="auto"/>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14:paraId="384375DC">
            <w:pPr>
              <w:spacing w:line="360" w:lineRule="auto"/>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14:paraId="050B91B0">
            <w:pPr>
              <w:spacing w:line="360" w:lineRule="auto"/>
              <w:jc w:val="center"/>
              <w:rPr>
                <w:rFonts w:asciiTheme="minorEastAsia" w:hAnsiTheme="minorEastAsia" w:eastAsiaTheme="minorEastAsia" w:cstheme="minorEastAsia"/>
                <w:color w:val="auto"/>
                <w:kern w:val="0"/>
                <w:szCs w:val="21"/>
                <w:highlight w:val="none"/>
              </w:rPr>
            </w:pPr>
          </w:p>
        </w:tc>
        <w:tc>
          <w:tcPr>
            <w:tcW w:w="7575" w:type="dxa"/>
            <w:vAlign w:val="center"/>
          </w:tcPr>
          <w:p w14:paraId="421BCD4D">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6、建立档案制度：食品加工流程、运输管理、销售环节管理、食品留样管理、餐厨废弃物处理、设备使用管理、餐具消毒标准方案等，优得2分，良得1分，一般0.5分，差不得分。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14:paraId="06FA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1" w:type="dxa"/>
            <w:vMerge w:val="continue"/>
            <w:vAlign w:val="center"/>
          </w:tcPr>
          <w:p w14:paraId="78CF6347">
            <w:pPr>
              <w:spacing w:line="360" w:lineRule="auto"/>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14:paraId="45E998C2">
            <w:pPr>
              <w:spacing w:line="360" w:lineRule="auto"/>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14:paraId="343B666F">
            <w:pPr>
              <w:spacing w:line="360" w:lineRule="auto"/>
              <w:jc w:val="center"/>
              <w:rPr>
                <w:rFonts w:asciiTheme="minorEastAsia" w:hAnsiTheme="minorEastAsia" w:eastAsiaTheme="minorEastAsia" w:cstheme="minorEastAsia"/>
                <w:color w:val="auto"/>
                <w:kern w:val="0"/>
                <w:szCs w:val="21"/>
                <w:highlight w:val="none"/>
              </w:rPr>
            </w:pPr>
          </w:p>
        </w:tc>
        <w:tc>
          <w:tcPr>
            <w:tcW w:w="7575" w:type="dxa"/>
            <w:vAlign w:val="center"/>
          </w:tcPr>
          <w:p w14:paraId="0192B65F">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7、应急预案、雇主责任险、公众责任险等保障措施，回馈学校方案及高校各项评比检查以及学校大型活动、临时任务的服务方案：措施得当齐全得1分；202</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年1月1日以来业绩购买了雇主责任险、公众责任险并承诺未本项目购买以上两险的得1分；回馈学校方案、大型活动方案支持有力的一个案例得1分，最多2分，</w:t>
            </w:r>
            <w:r>
              <w:rPr>
                <w:rFonts w:hint="eastAsia" w:asciiTheme="minorEastAsia" w:hAnsiTheme="minorEastAsia" w:eastAsiaTheme="minorEastAsia" w:cstheme="minorEastAsia"/>
                <w:color w:val="auto"/>
                <w:szCs w:val="21"/>
                <w:highlight w:val="none"/>
              </w:rPr>
              <w:t>提供相关材料证明。（</w:t>
            </w:r>
            <w:r>
              <w:rPr>
                <w:rFonts w:hint="eastAsia" w:asciiTheme="minorEastAsia" w:hAnsiTheme="minorEastAsia" w:eastAsiaTheme="minorEastAsia" w:cstheme="minorEastAsia"/>
                <w:color w:val="auto"/>
                <w:kern w:val="0"/>
                <w:szCs w:val="21"/>
                <w:highlight w:val="none"/>
              </w:rPr>
              <w:t>本项共4分</w:t>
            </w:r>
            <w:r>
              <w:rPr>
                <w:rFonts w:hint="eastAsia" w:asciiTheme="minorEastAsia" w:hAnsiTheme="minorEastAsia" w:eastAsiaTheme="minorEastAsia" w:cstheme="minorEastAsia"/>
                <w:color w:val="auto"/>
                <w:szCs w:val="21"/>
                <w:highlight w:val="none"/>
              </w:rPr>
              <w:t>）</w:t>
            </w:r>
          </w:p>
        </w:tc>
      </w:tr>
      <w:tr w14:paraId="5B2E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81" w:type="dxa"/>
            <w:vMerge w:val="continue"/>
            <w:vAlign w:val="center"/>
          </w:tcPr>
          <w:p w14:paraId="5C3DBCC7">
            <w:pPr>
              <w:spacing w:line="360" w:lineRule="auto"/>
              <w:jc w:val="center"/>
              <w:rPr>
                <w:rFonts w:asciiTheme="minorEastAsia" w:hAnsiTheme="minorEastAsia" w:eastAsiaTheme="minorEastAsia" w:cstheme="minorEastAsia"/>
                <w:color w:val="auto"/>
                <w:kern w:val="0"/>
                <w:szCs w:val="21"/>
                <w:highlight w:val="none"/>
              </w:rPr>
            </w:pPr>
          </w:p>
        </w:tc>
        <w:tc>
          <w:tcPr>
            <w:tcW w:w="1141" w:type="dxa"/>
            <w:vMerge w:val="continue"/>
            <w:vAlign w:val="center"/>
          </w:tcPr>
          <w:p w14:paraId="76377312">
            <w:pPr>
              <w:spacing w:line="360" w:lineRule="auto"/>
              <w:jc w:val="center"/>
              <w:rPr>
                <w:rFonts w:asciiTheme="minorEastAsia" w:hAnsiTheme="minorEastAsia" w:eastAsiaTheme="minorEastAsia" w:cstheme="minorEastAsia"/>
                <w:color w:val="auto"/>
                <w:kern w:val="0"/>
                <w:szCs w:val="21"/>
                <w:highlight w:val="none"/>
              </w:rPr>
            </w:pPr>
          </w:p>
        </w:tc>
        <w:tc>
          <w:tcPr>
            <w:tcW w:w="645" w:type="dxa"/>
            <w:vMerge w:val="continue"/>
            <w:vAlign w:val="center"/>
          </w:tcPr>
          <w:p w14:paraId="0F5B7C39">
            <w:pPr>
              <w:spacing w:line="360" w:lineRule="auto"/>
              <w:jc w:val="center"/>
              <w:rPr>
                <w:rFonts w:asciiTheme="minorEastAsia" w:hAnsiTheme="minorEastAsia" w:eastAsiaTheme="minorEastAsia" w:cstheme="minorEastAsia"/>
                <w:color w:val="auto"/>
                <w:kern w:val="0"/>
                <w:szCs w:val="21"/>
                <w:highlight w:val="none"/>
              </w:rPr>
            </w:pPr>
          </w:p>
        </w:tc>
        <w:tc>
          <w:tcPr>
            <w:tcW w:w="7575" w:type="dxa"/>
            <w:vAlign w:val="center"/>
          </w:tcPr>
          <w:p w14:paraId="7509636D">
            <w:pPr>
              <w:numPr>
                <w:ilvl w:val="0"/>
                <w:numId w:val="1"/>
              </w:num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①202</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年1月1日以来贯彻“三全育人”、服务育人的案例；</w:t>
            </w:r>
          </w:p>
          <w:p w14:paraId="08FF811B">
            <w:pPr>
              <w:spacing w:line="360" w:lineRule="auto"/>
              <w:ind w:firstLine="210" w:firstLineChars="1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②校企合作或开展学校、社会公益慈善活动的案例；有一个加1分，最多得2分。上述加分业绩可重复得分，提供相关材料证明。（</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14:paraId="1530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tcPr>
          <w:p w14:paraId="02291497">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141" w:type="dxa"/>
          </w:tcPr>
          <w:p w14:paraId="316EEF88">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人员配备</w:t>
            </w:r>
          </w:p>
        </w:tc>
        <w:tc>
          <w:tcPr>
            <w:tcW w:w="645" w:type="dxa"/>
          </w:tcPr>
          <w:p w14:paraId="17C2C41C">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7575" w:type="dxa"/>
          </w:tcPr>
          <w:p w14:paraId="78DFB4AD">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①用工方案合理并承诺按1：100的比例配备员工得1分。（承诺书）</w:t>
            </w:r>
          </w:p>
          <w:p w14:paraId="3449334C">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②配备营养师或文员、安全员的得1分（必须提供证书复印件加盖公章，否则该项不得分）。</w:t>
            </w:r>
          </w:p>
          <w:p w14:paraId="0CB02FA7">
            <w:pPr>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 MERGEFORMAT </w:instrText>
            </w:r>
            <w:r>
              <w:rPr>
                <w:rFonts w:hint="eastAsia" w:asciiTheme="minorEastAsia" w:hAnsiTheme="minorEastAsia" w:eastAsiaTheme="minorEastAsia" w:cstheme="minorEastAsia"/>
                <w:color w:val="auto"/>
                <w:kern w:val="0"/>
                <w:szCs w:val="21"/>
                <w:highlight w:val="none"/>
              </w:rPr>
              <w:fldChar w:fldCharType="separate"/>
            </w:r>
            <w:r>
              <w:rPr>
                <w:rFonts w:hint="eastAsia" w:asciiTheme="minorEastAsia" w:hAnsiTheme="minorEastAsia" w:eastAsiaTheme="minorEastAsia" w:cstheme="minorEastAsia"/>
                <w:color w:val="auto"/>
                <w:kern w:val="0"/>
                <w:szCs w:val="21"/>
                <w:highlight w:val="none"/>
              </w:rPr>
              <w:t>③</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点心师和厨师各配备1名得1分（必须提供证书复印件加盖公章，否则该项不得分）。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本项共3分</w:t>
            </w:r>
            <w:r>
              <w:rPr>
                <w:rFonts w:hint="eastAsia" w:asciiTheme="minorEastAsia" w:hAnsiTheme="minorEastAsia" w:eastAsiaTheme="minorEastAsia" w:cstheme="minorEastAsia"/>
                <w:color w:val="auto"/>
                <w:szCs w:val="21"/>
                <w:highlight w:val="none"/>
              </w:rPr>
              <w:t>）</w:t>
            </w:r>
          </w:p>
        </w:tc>
      </w:tr>
      <w:tr w14:paraId="61DE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1" w:type="dxa"/>
          </w:tcPr>
          <w:p w14:paraId="372790D8">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1141" w:type="dxa"/>
          </w:tcPr>
          <w:p w14:paraId="017A25B2">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节能控制措施</w:t>
            </w:r>
          </w:p>
        </w:tc>
        <w:tc>
          <w:tcPr>
            <w:tcW w:w="645" w:type="dxa"/>
          </w:tcPr>
          <w:p w14:paraId="55048C04">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7575" w:type="dxa"/>
          </w:tcPr>
          <w:p w14:paraId="405C346C">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有详细的灶具、水电、饭菜、燃气节能手段及措施的，优的得2分，良得1分，一般0.5分，差不得分。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本项共2分</w:t>
            </w:r>
            <w:r>
              <w:rPr>
                <w:rFonts w:hint="eastAsia" w:asciiTheme="minorEastAsia" w:hAnsiTheme="minorEastAsia" w:eastAsiaTheme="minorEastAsia" w:cstheme="minorEastAsia"/>
                <w:color w:val="auto"/>
                <w:szCs w:val="21"/>
                <w:highlight w:val="none"/>
              </w:rPr>
              <w:t>）</w:t>
            </w:r>
          </w:p>
        </w:tc>
      </w:tr>
      <w:tr w14:paraId="5CC1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81" w:type="dxa"/>
          </w:tcPr>
          <w:p w14:paraId="760432AA">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w:t>
            </w:r>
          </w:p>
        </w:tc>
        <w:tc>
          <w:tcPr>
            <w:tcW w:w="1141" w:type="dxa"/>
          </w:tcPr>
          <w:p w14:paraId="3958BBD2">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各种岗位制度</w:t>
            </w:r>
          </w:p>
        </w:tc>
        <w:tc>
          <w:tcPr>
            <w:tcW w:w="645" w:type="dxa"/>
          </w:tcPr>
          <w:p w14:paraId="06F783BB">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7575" w:type="dxa"/>
          </w:tcPr>
          <w:p w14:paraId="50BF8F0E">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有各种现场管理制度、岗位管理制度、用工培训制度，制度齐全、合理得3分，比较完善、合理得2分，一般得1分，不完善、不合理得0分。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本项共3分</w:t>
            </w:r>
            <w:r>
              <w:rPr>
                <w:rFonts w:hint="eastAsia" w:asciiTheme="minorEastAsia" w:hAnsiTheme="minorEastAsia" w:eastAsiaTheme="minorEastAsia" w:cstheme="minorEastAsia"/>
                <w:color w:val="auto"/>
                <w:szCs w:val="21"/>
                <w:highlight w:val="none"/>
              </w:rPr>
              <w:t>）</w:t>
            </w:r>
          </w:p>
        </w:tc>
      </w:tr>
      <w:tr w14:paraId="0BC3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1" w:type="dxa"/>
          </w:tcPr>
          <w:p w14:paraId="46E633E9">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p>
        </w:tc>
        <w:tc>
          <w:tcPr>
            <w:tcW w:w="1141" w:type="dxa"/>
          </w:tcPr>
          <w:p w14:paraId="6542088E">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服务承诺及增值服务</w:t>
            </w:r>
          </w:p>
        </w:tc>
        <w:tc>
          <w:tcPr>
            <w:tcW w:w="645" w:type="dxa"/>
          </w:tcPr>
          <w:p w14:paraId="71AF457A">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7575" w:type="dxa"/>
          </w:tcPr>
          <w:p w14:paraId="2C9A30E5">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评委根据投标单位作出的服务承诺及增值服务情况合理评分。</w:t>
            </w:r>
          </w:p>
          <w:p w14:paraId="14B0C345">
            <w:pPr>
              <w:pStyle w:val="2"/>
              <w:spacing w:line="360" w:lineRule="auto"/>
              <w:ind w:left="0" w:leftChars="0"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承诺回馈学校师生，前2年合同期内每年资助学院困难学生或赞助学院举办的大型活动资金，或在节假日免费提供留校学生等人员达到以下数额的餐费、餐票，费用在1-2万（含2万）得1分，2万以上得2分。（必须提供加盖公章的承诺书，作为日后合同签订的依据和履约条件，否则该项不得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本项共2分</w:t>
            </w:r>
            <w:r>
              <w:rPr>
                <w:rFonts w:hint="eastAsia" w:asciiTheme="minorEastAsia" w:hAnsiTheme="minorEastAsia" w:eastAsiaTheme="minorEastAsia" w:cstheme="minorEastAsia"/>
                <w:color w:val="auto"/>
                <w:sz w:val="21"/>
                <w:szCs w:val="21"/>
                <w:highlight w:val="none"/>
              </w:rPr>
              <w:t>）</w:t>
            </w:r>
          </w:p>
        </w:tc>
      </w:tr>
      <w:tr w14:paraId="3FEF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81" w:type="dxa"/>
          </w:tcPr>
          <w:p w14:paraId="3CF8E93A">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w:t>
            </w:r>
          </w:p>
        </w:tc>
        <w:tc>
          <w:tcPr>
            <w:tcW w:w="1141" w:type="dxa"/>
          </w:tcPr>
          <w:p w14:paraId="288376BA">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经营控制</w:t>
            </w:r>
          </w:p>
        </w:tc>
        <w:tc>
          <w:tcPr>
            <w:tcW w:w="645" w:type="dxa"/>
          </w:tcPr>
          <w:p w14:paraId="7860132F">
            <w:pPr>
              <w:spacing w:line="360" w:lineRule="auto"/>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7575" w:type="dxa"/>
          </w:tcPr>
          <w:p w14:paraId="5DBE3A44">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①经营方案中，供应主副食品品种丰富情况，0-1.5分；</w:t>
            </w:r>
          </w:p>
          <w:p w14:paraId="1BAB83C8">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②经营方案中，高中低档菜肴比例合适情况，0-1.5分；</w:t>
            </w:r>
          </w:p>
          <w:p w14:paraId="77C07C75">
            <w:pPr>
              <w:spacing w:line="360" w:lineRule="auto"/>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 MERGEFORMAT </w:instrText>
            </w:r>
            <w:r>
              <w:rPr>
                <w:rFonts w:hint="eastAsia" w:asciiTheme="minorEastAsia" w:hAnsiTheme="minorEastAsia" w:eastAsiaTheme="minorEastAsia" w:cstheme="minorEastAsia"/>
                <w:color w:val="auto"/>
                <w:kern w:val="0"/>
                <w:szCs w:val="21"/>
                <w:highlight w:val="none"/>
              </w:rPr>
              <w:fldChar w:fldCharType="separate"/>
            </w:r>
            <w:r>
              <w:rPr>
                <w:rFonts w:hint="eastAsia" w:asciiTheme="minorEastAsia" w:hAnsiTheme="minorEastAsia" w:eastAsiaTheme="minorEastAsia" w:cstheme="minorEastAsia"/>
                <w:color w:val="auto"/>
                <w:kern w:val="0"/>
                <w:szCs w:val="21"/>
                <w:highlight w:val="none"/>
              </w:rPr>
              <w:t>③</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经营方案中，餐饮成本核算科学情况，0-1分。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本项共4分</w:t>
            </w:r>
            <w:r>
              <w:rPr>
                <w:rFonts w:hint="eastAsia" w:asciiTheme="minorEastAsia" w:hAnsiTheme="minorEastAsia" w:eastAsiaTheme="minorEastAsia" w:cstheme="minorEastAsia"/>
                <w:color w:val="auto"/>
                <w:szCs w:val="21"/>
                <w:highlight w:val="none"/>
              </w:rPr>
              <w:t>）</w:t>
            </w:r>
          </w:p>
        </w:tc>
      </w:tr>
    </w:tbl>
    <w:p w14:paraId="349E55B8">
      <w:pPr>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（二）商务标评审（30分）：</w:t>
      </w:r>
    </w:p>
    <w:p w14:paraId="20596046">
      <w:pPr>
        <w:spacing w:line="360" w:lineRule="auto"/>
        <w:ind w:firstLine="480" w:firstLineChars="200"/>
        <w:rPr>
          <w:rFonts w:ascii="宋体" w:hAnsi="宋体"/>
          <w:color w:val="auto"/>
          <w:spacing w:val="-4"/>
          <w:sz w:val="24"/>
          <w:highlight w:val="none"/>
        </w:rPr>
      </w:pPr>
      <w:bookmarkStart w:id="116" w:name="_Toc482084462"/>
      <w:bookmarkStart w:id="117" w:name="_Toc25804"/>
      <w:bookmarkStart w:id="118" w:name="_Toc30044"/>
      <w:bookmarkStart w:id="119" w:name="_Toc12262"/>
      <w:bookmarkStart w:id="120" w:name="_Toc18239"/>
      <w:r>
        <w:rPr>
          <w:rFonts w:hint="eastAsia" w:ascii="宋体" w:hAnsi="宋体" w:cs="宋体"/>
          <w:color w:val="auto"/>
          <w:sz w:val="24"/>
          <w:highlight w:val="none"/>
        </w:rPr>
        <w:t>1、装饰装修投资与设备配备投资，设定为100万，得基本分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分；投</w:t>
      </w:r>
      <w:r>
        <w:rPr>
          <w:rFonts w:hint="eastAsia" w:ascii="宋体" w:hAnsi="宋体"/>
          <w:color w:val="auto"/>
          <w:spacing w:val="-4"/>
          <w:sz w:val="24"/>
          <w:highlight w:val="none"/>
        </w:rPr>
        <w:t>标单位承诺在100万人民币基础上投资每上浮</w:t>
      </w: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万，再加1分，最多加</w:t>
      </w:r>
      <w:r>
        <w:rPr>
          <w:rFonts w:hint="eastAsia" w:ascii="宋体" w:hAnsi="宋体"/>
          <w:color w:val="auto"/>
          <w:spacing w:val="-4"/>
          <w:sz w:val="24"/>
          <w:highlight w:val="none"/>
          <w:lang w:val="en-US" w:eastAsia="zh-CN"/>
        </w:rPr>
        <w:t>6</w:t>
      </w:r>
      <w:r>
        <w:rPr>
          <w:rFonts w:hint="eastAsia" w:ascii="宋体" w:hAnsi="宋体"/>
          <w:color w:val="auto"/>
          <w:spacing w:val="-4"/>
          <w:sz w:val="24"/>
          <w:highlight w:val="none"/>
        </w:rPr>
        <w:t>分</w:t>
      </w:r>
      <w:r>
        <w:rPr>
          <w:rFonts w:hint="eastAsia" w:ascii="宋体" w:hAnsi="宋体"/>
          <w:color w:val="auto"/>
          <w:spacing w:val="-4"/>
          <w:sz w:val="24"/>
          <w:highlight w:val="none"/>
          <w:lang w:eastAsia="zh-CN"/>
        </w:rPr>
        <w:t>（</w:t>
      </w:r>
      <w:r>
        <w:rPr>
          <w:rFonts w:hint="eastAsia" w:ascii="宋体" w:hAnsi="宋体"/>
          <w:color w:val="auto"/>
          <w:spacing w:val="-4"/>
          <w:sz w:val="24"/>
          <w:highlight w:val="none"/>
          <w:lang w:val="en-US" w:eastAsia="zh-CN"/>
        </w:rPr>
        <w:t>上浮中不足5万的部分不计分</w:t>
      </w:r>
      <w:r>
        <w:rPr>
          <w:rFonts w:hint="eastAsia" w:ascii="宋体" w:hAnsi="宋体"/>
          <w:color w:val="auto"/>
          <w:spacing w:val="-4"/>
          <w:sz w:val="24"/>
          <w:highlight w:val="none"/>
          <w:lang w:eastAsia="zh-CN"/>
        </w:rPr>
        <w:t>）</w:t>
      </w:r>
      <w:r>
        <w:rPr>
          <w:rFonts w:hint="eastAsia" w:ascii="宋体" w:hAnsi="宋体"/>
          <w:color w:val="auto"/>
          <w:spacing w:val="-4"/>
          <w:sz w:val="24"/>
          <w:highlight w:val="none"/>
        </w:rPr>
        <w:t>。本项共15分</w:t>
      </w:r>
      <w:r>
        <w:rPr>
          <w:rFonts w:hint="eastAsia" w:ascii="宋体" w:hAnsi="宋体" w:cs="Times New Roman"/>
          <w:color w:val="auto"/>
          <w:spacing w:val="-4"/>
          <w:sz w:val="24"/>
          <w:highlight w:val="none"/>
        </w:rPr>
        <w:t>(一次性投入）</w:t>
      </w:r>
      <w:r>
        <w:rPr>
          <w:rFonts w:hint="eastAsia" w:ascii="宋体" w:hAnsi="宋体"/>
          <w:color w:val="auto"/>
          <w:spacing w:val="-4"/>
          <w:sz w:val="24"/>
          <w:highlight w:val="none"/>
        </w:rPr>
        <w:t>。提供承诺书、详细装修方案及设备清单预算表。</w:t>
      </w:r>
    </w:p>
    <w:p w14:paraId="27E07E9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2、缴纳水资源管理费、污水处理费、垃圾清运及处理费、水电管理费（不含水电费）、食品卫生监督费、校园一卡通系统及明厨亮灶监控维护维修费、饮食文化活动及其公共建设费等费用，设定为每年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0万，得基本分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分；投</w:t>
      </w:r>
      <w:r>
        <w:rPr>
          <w:rFonts w:hint="eastAsia" w:ascii="宋体" w:hAnsi="宋体"/>
          <w:color w:val="auto"/>
          <w:spacing w:val="-4"/>
          <w:sz w:val="24"/>
          <w:highlight w:val="none"/>
        </w:rPr>
        <w:t>标单位承诺在</w:t>
      </w:r>
      <w:r>
        <w:rPr>
          <w:rFonts w:hint="eastAsia" w:ascii="宋体" w:hAnsi="宋体"/>
          <w:color w:val="auto"/>
          <w:spacing w:val="-4"/>
          <w:sz w:val="24"/>
          <w:highlight w:val="none"/>
          <w:lang w:val="en-US" w:eastAsia="zh-CN"/>
        </w:rPr>
        <w:t>2</w:t>
      </w:r>
      <w:r>
        <w:rPr>
          <w:rFonts w:hint="eastAsia" w:ascii="宋体" w:hAnsi="宋体"/>
          <w:color w:val="auto"/>
          <w:spacing w:val="-4"/>
          <w:sz w:val="24"/>
          <w:highlight w:val="none"/>
        </w:rPr>
        <w:t>0万人民币基础上每上浮</w:t>
      </w:r>
      <w:r>
        <w:rPr>
          <w:rFonts w:hint="eastAsia" w:ascii="宋体" w:hAnsi="宋体"/>
          <w:color w:val="auto"/>
          <w:spacing w:val="-4"/>
          <w:sz w:val="24"/>
          <w:highlight w:val="none"/>
          <w:lang w:val="en-US" w:eastAsia="zh-CN"/>
        </w:rPr>
        <w:t>4</w:t>
      </w:r>
      <w:r>
        <w:rPr>
          <w:rFonts w:hint="eastAsia" w:ascii="宋体" w:hAnsi="宋体"/>
          <w:color w:val="auto"/>
          <w:spacing w:val="-4"/>
          <w:sz w:val="24"/>
          <w:highlight w:val="none"/>
        </w:rPr>
        <w:t>万，再加1分，最多加</w:t>
      </w:r>
      <w:r>
        <w:rPr>
          <w:rFonts w:hint="eastAsia" w:ascii="宋体" w:hAnsi="宋体"/>
          <w:color w:val="auto"/>
          <w:spacing w:val="-4"/>
          <w:sz w:val="24"/>
          <w:highlight w:val="none"/>
          <w:lang w:val="en-US" w:eastAsia="zh-CN"/>
        </w:rPr>
        <w:t>6</w:t>
      </w:r>
      <w:r>
        <w:rPr>
          <w:rFonts w:hint="eastAsia" w:ascii="宋体" w:hAnsi="宋体"/>
          <w:color w:val="auto"/>
          <w:spacing w:val="-4"/>
          <w:sz w:val="24"/>
          <w:highlight w:val="none"/>
        </w:rPr>
        <w:t>分</w:t>
      </w:r>
      <w:r>
        <w:rPr>
          <w:rFonts w:hint="eastAsia" w:ascii="宋体" w:hAnsi="宋体"/>
          <w:color w:val="auto"/>
          <w:spacing w:val="-4"/>
          <w:sz w:val="24"/>
          <w:highlight w:val="none"/>
          <w:lang w:eastAsia="zh-CN"/>
        </w:rPr>
        <w:t>（</w:t>
      </w:r>
      <w:r>
        <w:rPr>
          <w:rFonts w:hint="eastAsia" w:ascii="宋体" w:hAnsi="宋体"/>
          <w:color w:val="auto"/>
          <w:spacing w:val="-4"/>
          <w:sz w:val="24"/>
          <w:highlight w:val="none"/>
          <w:lang w:val="en-US" w:eastAsia="zh-CN"/>
        </w:rPr>
        <w:t>上浮中不足4万的部分不计分</w:t>
      </w:r>
      <w:r>
        <w:rPr>
          <w:rFonts w:hint="eastAsia" w:ascii="宋体" w:hAnsi="宋体"/>
          <w:color w:val="auto"/>
          <w:spacing w:val="-4"/>
          <w:sz w:val="24"/>
          <w:highlight w:val="none"/>
          <w:lang w:eastAsia="zh-CN"/>
        </w:rPr>
        <w:t>）</w:t>
      </w:r>
      <w:r>
        <w:rPr>
          <w:rFonts w:hint="eastAsia" w:ascii="宋体" w:hAnsi="宋体"/>
          <w:color w:val="auto"/>
          <w:spacing w:val="-4"/>
          <w:sz w:val="24"/>
          <w:highlight w:val="none"/>
        </w:rPr>
        <w:t>。本项共15分。</w:t>
      </w:r>
    </w:p>
    <w:tbl>
      <w:tblPr>
        <w:tblStyle w:val="1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460"/>
        <w:gridCol w:w="1640"/>
        <w:gridCol w:w="900"/>
        <w:gridCol w:w="900"/>
        <w:gridCol w:w="1945"/>
      </w:tblGrid>
      <w:tr w14:paraId="7C1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8" w:type="dxa"/>
            <w:vAlign w:val="center"/>
          </w:tcPr>
          <w:p w14:paraId="56DA5936">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3460" w:type="dxa"/>
            <w:vAlign w:val="center"/>
          </w:tcPr>
          <w:p w14:paraId="0F6BA8B5">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商务竞争名称</w:t>
            </w:r>
          </w:p>
        </w:tc>
        <w:tc>
          <w:tcPr>
            <w:tcW w:w="1640" w:type="dxa"/>
            <w:vAlign w:val="center"/>
          </w:tcPr>
          <w:p w14:paraId="7F9F531D">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上浮费用</w:t>
            </w:r>
          </w:p>
        </w:tc>
        <w:tc>
          <w:tcPr>
            <w:tcW w:w="900" w:type="dxa"/>
            <w:vAlign w:val="center"/>
          </w:tcPr>
          <w:p w14:paraId="182737F0">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基本分</w:t>
            </w:r>
          </w:p>
        </w:tc>
        <w:tc>
          <w:tcPr>
            <w:tcW w:w="900" w:type="dxa"/>
            <w:vAlign w:val="center"/>
          </w:tcPr>
          <w:p w14:paraId="7CA06B7C">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总得分</w:t>
            </w:r>
          </w:p>
        </w:tc>
        <w:tc>
          <w:tcPr>
            <w:tcW w:w="1945" w:type="dxa"/>
            <w:vAlign w:val="center"/>
          </w:tcPr>
          <w:p w14:paraId="5D937D6F">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r>
      <w:tr w14:paraId="38EE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8" w:type="dxa"/>
            <w:vAlign w:val="center"/>
          </w:tcPr>
          <w:p w14:paraId="731CA6A6">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3460" w:type="dxa"/>
            <w:vAlign w:val="center"/>
          </w:tcPr>
          <w:p w14:paraId="56EE97B1">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投资装饰装修与设备费用</w:t>
            </w:r>
          </w:p>
        </w:tc>
        <w:tc>
          <w:tcPr>
            <w:tcW w:w="1640" w:type="dxa"/>
            <w:vAlign w:val="center"/>
          </w:tcPr>
          <w:p w14:paraId="5AF10A48">
            <w:pPr>
              <w:spacing w:line="360" w:lineRule="auto"/>
              <w:jc w:val="center"/>
              <w:rPr>
                <w:rFonts w:ascii="宋体" w:hAnsi="宋体"/>
                <w:color w:val="auto"/>
                <w:kern w:val="0"/>
                <w:szCs w:val="21"/>
                <w:highlight w:val="none"/>
              </w:rPr>
            </w:pPr>
          </w:p>
        </w:tc>
        <w:tc>
          <w:tcPr>
            <w:tcW w:w="900" w:type="dxa"/>
            <w:vAlign w:val="center"/>
          </w:tcPr>
          <w:p w14:paraId="5FF12779">
            <w:pPr>
              <w:spacing w:line="360" w:lineRule="auto"/>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9</w:t>
            </w:r>
          </w:p>
        </w:tc>
        <w:tc>
          <w:tcPr>
            <w:tcW w:w="900" w:type="dxa"/>
            <w:vAlign w:val="center"/>
          </w:tcPr>
          <w:p w14:paraId="66AC5448">
            <w:pPr>
              <w:spacing w:line="360" w:lineRule="auto"/>
              <w:jc w:val="center"/>
              <w:rPr>
                <w:rFonts w:ascii="宋体" w:hAnsi="宋体"/>
                <w:color w:val="auto"/>
                <w:kern w:val="0"/>
                <w:szCs w:val="21"/>
                <w:highlight w:val="none"/>
              </w:rPr>
            </w:pPr>
          </w:p>
        </w:tc>
        <w:tc>
          <w:tcPr>
            <w:tcW w:w="1945" w:type="dxa"/>
            <w:vAlign w:val="center"/>
          </w:tcPr>
          <w:p w14:paraId="5592AE98">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低于100万为</w:t>
            </w:r>
            <w:r>
              <w:rPr>
                <w:rFonts w:hint="eastAsia" w:ascii="宋体" w:hAnsi="宋体"/>
                <w:color w:val="auto"/>
                <w:sz w:val="24"/>
                <w:highlight w:val="none"/>
              </w:rPr>
              <w:t>废标</w:t>
            </w:r>
          </w:p>
        </w:tc>
      </w:tr>
      <w:tr w14:paraId="75AD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78" w:type="dxa"/>
            <w:vAlign w:val="center"/>
          </w:tcPr>
          <w:p w14:paraId="7BA1BC37">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3460" w:type="dxa"/>
            <w:vAlign w:val="center"/>
          </w:tcPr>
          <w:p w14:paraId="7EFD4523">
            <w:pPr>
              <w:spacing w:line="360" w:lineRule="auto"/>
              <w:jc w:val="center"/>
              <w:rPr>
                <w:rFonts w:ascii="宋体" w:hAnsi="宋体"/>
                <w:color w:val="auto"/>
                <w:sz w:val="24"/>
                <w:highlight w:val="none"/>
              </w:rPr>
            </w:pPr>
            <w:r>
              <w:rPr>
                <w:rFonts w:hint="eastAsia" w:ascii="宋体" w:hAnsi="宋体" w:cs="宋体"/>
                <w:color w:val="auto"/>
                <w:sz w:val="24"/>
                <w:highlight w:val="none"/>
              </w:rPr>
              <w:t>水资源管理费、污水处理费、垃圾清运及垃圾处理费等费用</w:t>
            </w:r>
          </w:p>
        </w:tc>
        <w:tc>
          <w:tcPr>
            <w:tcW w:w="1640" w:type="dxa"/>
            <w:vAlign w:val="center"/>
          </w:tcPr>
          <w:p w14:paraId="68F0E6F7">
            <w:pPr>
              <w:spacing w:line="360" w:lineRule="auto"/>
              <w:jc w:val="center"/>
              <w:rPr>
                <w:rFonts w:ascii="宋体" w:hAnsi="宋体"/>
                <w:color w:val="auto"/>
                <w:kern w:val="0"/>
                <w:szCs w:val="21"/>
                <w:highlight w:val="none"/>
              </w:rPr>
            </w:pPr>
          </w:p>
        </w:tc>
        <w:tc>
          <w:tcPr>
            <w:tcW w:w="900" w:type="dxa"/>
            <w:vAlign w:val="center"/>
          </w:tcPr>
          <w:p w14:paraId="1E286831">
            <w:pPr>
              <w:spacing w:line="360" w:lineRule="auto"/>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9</w:t>
            </w:r>
          </w:p>
        </w:tc>
        <w:tc>
          <w:tcPr>
            <w:tcW w:w="900" w:type="dxa"/>
            <w:vAlign w:val="center"/>
          </w:tcPr>
          <w:p w14:paraId="23CE642F">
            <w:pPr>
              <w:spacing w:line="360" w:lineRule="auto"/>
              <w:jc w:val="center"/>
              <w:rPr>
                <w:rFonts w:ascii="宋体" w:hAnsi="宋体"/>
                <w:color w:val="auto"/>
                <w:kern w:val="0"/>
                <w:szCs w:val="21"/>
                <w:highlight w:val="none"/>
              </w:rPr>
            </w:pPr>
          </w:p>
        </w:tc>
        <w:tc>
          <w:tcPr>
            <w:tcW w:w="1945" w:type="dxa"/>
            <w:vAlign w:val="center"/>
          </w:tcPr>
          <w:p w14:paraId="1B9396DB">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低于</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0万为</w:t>
            </w:r>
            <w:r>
              <w:rPr>
                <w:rFonts w:hint="eastAsia" w:ascii="宋体" w:hAnsi="宋体"/>
                <w:color w:val="auto"/>
                <w:sz w:val="24"/>
                <w:highlight w:val="none"/>
              </w:rPr>
              <w:t>废标</w:t>
            </w:r>
          </w:p>
        </w:tc>
      </w:tr>
    </w:tbl>
    <w:p w14:paraId="4BB391BB">
      <w:pPr>
        <w:spacing w:line="360" w:lineRule="auto"/>
        <w:rPr>
          <w:rFonts w:ascii="宋体" w:hAnsi="宋体" w:cs="宋体"/>
          <w:color w:val="auto"/>
          <w:sz w:val="24"/>
          <w:highlight w:val="none"/>
        </w:rPr>
      </w:pPr>
      <w:r>
        <w:rPr>
          <w:rFonts w:hint="eastAsia" w:ascii="宋体" w:hAnsi="宋体" w:cs="宋体"/>
          <w:color w:val="auto"/>
          <w:sz w:val="24"/>
          <w:highlight w:val="none"/>
        </w:rPr>
        <w:t>注：各项报价不设上限，在分数相同的情况下以报价高的供应商优先作为中标人候选人。</w:t>
      </w:r>
    </w:p>
    <w:p w14:paraId="21881E68">
      <w:pPr>
        <w:spacing w:line="360" w:lineRule="auto"/>
        <w:ind w:firstLine="466" w:firstLineChars="200"/>
        <w:outlineLvl w:val="1"/>
        <w:rPr>
          <w:rFonts w:ascii="宋体" w:hAnsi="宋体"/>
          <w:b/>
          <w:bCs/>
          <w:color w:val="auto"/>
          <w:spacing w:val="-4"/>
          <w:sz w:val="24"/>
          <w:highlight w:val="none"/>
        </w:rPr>
      </w:pPr>
      <w:r>
        <w:rPr>
          <w:rFonts w:hint="eastAsia" w:ascii="宋体" w:hAnsi="宋体"/>
          <w:b/>
          <w:bCs/>
          <w:color w:val="auto"/>
          <w:spacing w:val="-4"/>
          <w:sz w:val="24"/>
          <w:highlight w:val="none"/>
        </w:rPr>
        <w:t>七、确定中标候选人：</w:t>
      </w:r>
    </w:p>
    <w:p w14:paraId="3A166BDD">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olor w:val="auto"/>
          <w:sz w:val="24"/>
          <w:highlight w:val="none"/>
        </w:rPr>
        <w:t>（1）</w:t>
      </w:r>
      <w:r>
        <w:rPr>
          <w:rFonts w:hint="eastAsia" w:ascii="宋体" w:hAnsi="宋体"/>
          <w:color w:val="auto"/>
          <w:spacing w:val="-4"/>
          <w:sz w:val="24"/>
          <w:highlight w:val="none"/>
        </w:rPr>
        <w:t>评审委员会根据上述评分标准，由评委对投标</w:t>
      </w:r>
      <w:r>
        <w:rPr>
          <w:rFonts w:hint="eastAsia" w:ascii="宋体" w:hAnsi="宋体"/>
          <w:color w:val="auto"/>
          <w:spacing w:val="-4"/>
          <w:sz w:val="24"/>
          <w:highlight w:val="none"/>
          <w:lang w:val="en-US" w:eastAsia="zh-CN"/>
        </w:rPr>
        <w:t>文件</w:t>
      </w:r>
      <w:r>
        <w:rPr>
          <w:rFonts w:hint="eastAsia" w:ascii="宋体" w:hAnsi="宋体"/>
          <w:color w:val="auto"/>
          <w:spacing w:val="-4"/>
          <w:sz w:val="24"/>
          <w:highlight w:val="none"/>
        </w:rPr>
        <w:t>分别进行综合打分（评分分值计算保留小数点后两位，小数点后第三位“四舍五入”；），最终得分最高的为中标人，在分数相同的情况下以报价高的供应商优先作为中标人，分数相同，报价相同的情况下由投标代表抽签确定中标人。若中标人弃标的，招标人可以按照评标委员会提出的投标名单排序依次确定其他中标候选人为中标人，也可以依法重新招标。按照投标单位最终得分由高到低的顺序对投标单位进行排序，推荐出得分最高的第一名为中标人。公示时间为一个工作日。各潜在投标人学生食堂承包经营权只能限其中一项。</w:t>
      </w:r>
    </w:p>
    <w:p w14:paraId="0E67F7D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若在中标结果公示期间，中标人被查实存在影响中标结果的违法违规行为等情形，不符合中标条件的，招标人可以按照评标委员会提出的投标名单排序依次确定其他中标候选人为中标人，也可以依法重新招标。</w:t>
      </w:r>
    </w:p>
    <w:p w14:paraId="689BDAB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（3）招标人将在公示结束后的1个工作日内，向中标人发出中标通知书。</w:t>
      </w:r>
    </w:p>
    <w:p w14:paraId="67E5E3D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（4）中标人在收到中标通知书后，应按招标人的安排，与招标人签订合同。</w:t>
      </w:r>
    </w:p>
    <w:p w14:paraId="48A3CD8D">
      <w:pPr>
        <w:spacing w:line="360" w:lineRule="auto"/>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八、有下列情形之一的，视为投标人串通投标，其投标无效：</w:t>
      </w:r>
    </w:p>
    <w:p w14:paraId="60D3F6F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（一）不同投标人的投标文件由同一单位或者个人编制；</w:t>
      </w:r>
    </w:p>
    <w:p w14:paraId="72D7FD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（二）不同投标人委托同一单位或者个人办理投标事宜；</w:t>
      </w:r>
    </w:p>
    <w:p w14:paraId="1455F1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（三）不同投标人的投标文件载明的项目管理成员或者联系人员为同一人；</w:t>
      </w:r>
    </w:p>
    <w:p w14:paraId="69F84D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（四）不同投标人的投标文件异常一致或者投标报价呈规律性差异；</w:t>
      </w:r>
    </w:p>
    <w:p w14:paraId="1223AA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（五）不同投标人的投标文件相互混装；</w:t>
      </w:r>
    </w:p>
    <w:p w14:paraId="043AA2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（六）不同投标人的投标保证金从同一单位或者个人的账户转出。</w:t>
      </w:r>
    </w:p>
    <w:p w14:paraId="2A0DC6B3">
      <w:pPr>
        <w:spacing w:line="360" w:lineRule="auto"/>
        <w:ind w:firstLine="482" w:firstLineChars="200"/>
        <w:outlineLvl w:val="1"/>
        <w:rPr>
          <w:rFonts w:ascii="宋体" w:hAnsi="宋体"/>
          <w:b/>
          <w:bCs/>
          <w:color w:val="auto"/>
          <w:sz w:val="24"/>
          <w:highlight w:val="none"/>
        </w:rPr>
      </w:pPr>
      <w:r>
        <w:rPr>
          <w:rFonts w:hint="eastAsia" w:ascii="宋体" w:hAnsi="宋体"/>
          <w:b/>
          <w:bCs/>
          <w:color w:val="auto"/>
          <w:sz w:val="24"/>
          <w:highlight w:val="none"/>
        </w:rPr>
        <w:t>九、其他注意事项</w:t>
      </w:r>
    </w:p>
    <w:p w14:paraId="77154F9F">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1.评标委员会不向未中标方解释未中标原因，不退还投标文件。</w:t>
      </w:r>
    </w:p>
    <w:p w14:paraId="06B73E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2.若出现少于三家投标方进行投标的或有效投标不足三家的，将重新招标。</w:t>
      </w:r>
    </w:p>
    <w:p w14:paraId="7FDF06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3.投标方应承担所有与准备和参加投标有关的费用，不论投标的结果如何，招标方均无义务和责任承担相关费用。</w:t>
      </w:r>
    </w:p>
    <w:p w14:paraId="103D159B">
      <w:pPr>
        <w:spacing w:line="360" w:lineRule="auto"/>
        <w:ind w:firstLine="480" w:firstLineChars="200"/>
        <w:outlineLvl w:val="2"/>
        <w:rPr>
          <w:rFonts w:ascii="宋体" w:hAnsi="宋体"/>
          <w:color w:val="auto"/>
          <w:sz w:val="24"/>
          <w:highlight w:val="none"/>
        </w:rPr>
      </w:pPr>
      <w:r>
        <w:rPr>
          <w:rFonts w:hint="eastAsia" w:ascii="宋体" w:hAnsi="宋体"/>
          <w:color w:val="auto"/>
          <w:sz w:val="24"/>
          <w:highlight w:val="none"/>
        </w:rPr>
        <w:t>4.不符合招标文件中规定的实质性要求，作废标处理。</w:t>
      </w:r>
    </w:p>
    <w:p w14:paraId="4CDF60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5.投标人不遵守《中华人民共和国招标投标法》、《中华人民共和国招标投标法实施条例》、《政府采购货物和服务招投标管理办法》有关规定，或有串通投标、弄虚作假行为的，其投标一律无效。</w:t>
      </w:r>
    </w:p>
    <w:p w14:paraId="04AF8DCB">
      <w:pPr>
        <w:pStyle w:val="12"/>
        <w:rPr>
          <w:rFonts w:ascii="宋体" w:hAnsi="宋体"/>
          <w:color w:val="auto"/>
          <w:sz w:val="24"/>
          <w:highlight w:val="none"/>
        </w:rPr>
      </w:pPr>
    </w:p>
    <w:p w14:paraId="2D6247D1">
      <w:pPr>
        <w:rPr>
          <w:color w:val="auto"/>
          <w:highlight w:val="none"/>
        </w:rPr>
      </w:pPr>
    </w:p>
    <w:p w14:paraId="7166A0B4">
      <w:pPr>
        <w:pStyle w:val="6"/>
        <w:jc w:val="center"/>
        <w:rPr>
          <w:snapToGrid w:val="0"/>
          <w:color w:val="auto"/>
          <w:kern w:val="0"/>
          <w:highlight w:val="none"/>
        </w:rPr>
      </w:pPr>
      <w:r>
        <w:rPr>
          <w:rFonts w:hint="eastAsia"/>
          <w:snapToGrid w:val="0"/>
          <w:color w:val="auto"/>
          <w:kern w:val="0"/>
          <w:highlight w:val="none"/>
        </w:rPr>
        <w:t>招标文件第二部分</w:t>
      </w:r>
      <w:bookmarkEnd w:id="116"/>
      <w:r>
        <w:rPr>
          <w:rFonts w:hint="eastAsia"/>
          <w:snapToGrid w:val="0"/>
          <w:color w:val="auto"/>
          <w:kern w:val="0"/>
          <w:highlight w:val="none"/>
        </w:rPr>
        <w:t>（通用部分）</w:t>
      </w:r>
      <w:bookmarkEnd w:id="117"/>
      <w:bookmarkEnd w:id="118"/>
      <w:bookmarkEnd w:id="119"/>
      <w:bookmarkEnd w:id="120"/>
    </w:p>
    <w:p w14:paraId="758224FF">
      <w:pPr>
        <w:pStyle w:val="7"/>
        <w:outlineLvl w:val="0"/>
        <w:rPr>
          <w:snapToGrid w:val="0"/>
          <w:color w:val="auto"/>
          <w:kern w:val="0"/>
          <w:highlight w:val="none"/>
        </w:rPr>
      </w:pPr>
      <w:bookmarkStart w:id="121" w:name="_Toc25845"/>
      <w:bookmarkStart w:id="122" w:name="_Toc8136"/>
      <w:bookmarkStart w:id="123" w:name="_Toc14506"/>
      <w:bookmarkStart w:id="124" w:name="_Toc26006"/>
      <w:bookmarkStart w:id="125" w:name="_Toc482084463"/>
      <w:r>
        <w:rPr>
          <w:rFonts w:hint="eastAsia"/>
          <w:snapToGrid w:val="0"/>
          <w:color w:val="auto"/>
          <w:kern w:val="0"/>
          <w:highlight w:val="none"/>
        </w:rPr>
        <w:t>第五章 投标人须知</w:t>
      </w:r>
      <w:bookmarkEnd w:id="121"/>
      <w:bookmarkEnd w:id="122"/>
      <w:bookmarkEnd w:id="123"/>
      <w:bookmarkEnd w:id="124"/>
      <w:bookmarkEnd w:id="125"/>
    </w:p>
    <w:p w14:paraId="2156F645">
      <w:pPr>
        <w:pStyle w:val="8"/>
        <w:ind w:firstLine="482"/>
        <w:jc w:val="both"/>
        <w:outlineLvl w:val="1"/>
        <w:rPr>
          <w:snapToGrid w:val="0"/>
          <w:color w:val="auto"/>
          <w:kern w:val="0"/>
          <w:szCs w:val="24"/>
          <w:highlight w:val="none"/>
        </w:rPr>
      </w:pPr>
      <w:bookmarkStart w:id="126" w:name="_Toc32377"/>
      <w:bookmarkStart w:id="127" w:name="_Toc13005"/>
      <w:bookmarkStart w:id="128" w:name="_Toc19643"/>
      <w:bookmarkStart w:id="129" w:name="_Toc16309"/>
      <w:bookmarkStart w:id="130" w:name="_Toc482084464"/>
      <w:r>
        <w:rPr>
          <w:rFonts w:hint="eastAsia"/>
          <w:snapToGrid w:val="0"/>
          <w:color w:val="auto"/>
          <w:kern w:val="0"/>
          <w:szCs w:val="24"/>
          <w:highlight w:val="none"/>
        </w:rPr>
        <w:t>一、总则</w:t>
      </w:r>
      <w:bookmarkEnd w:id="126"/>
      <w:bookmarkEnd w:id="127"/>
      <w:bookmarkEnd w:id="128"/>
      <w:bookmarkEnd w:id="129"/>
      <w:bookmarkEnd w:id="130"/>
    </w:p>
    <w:p w14:paraId="71471AB2">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1、适用范围</w:t>
      </w:r>
    </w:p>
    <w:p w14:paraId="310E8547">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1.1本标准文本是根据《中华人民共和国政府采购法》、《中华人民共和国政府采购法实施条例》等有关法律、法规制订。</w:t>
      </w:r>
    </w:p>
    <w:p w14:paraId="0CBF8ABD">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1.2凡在宿州市境内从事货物服务公开招标的政府采购项目，均须使用本标准文本。</w:t>
      </w:r>
    </w:p>
    <w:p w14:paraId="0BA8567A">
      <w:pPr>
        <w:wordWrap w:val="0"/>
        <w:spacing w:line="360" w:lineRule="auto"/>
        <w:ind w:firstLine="480" w:firstLineChars="200"/>
        <w:outlineLvl w:val="3"/>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1.3本招标文件的最终解释权归采购单位所有。</w:t>
      </w:r>
    </w:p>
    <w:p w14:paraId="51AA4DCB">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2、定义</w:t>
      </w:r>
    </w:p>
    <w:p w14:paraId="43545570">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2.1货物服务：既是指本范本适用于货物采购或服务采购，也是指货物采购所伴随的服务或服务采购中伴随的货物采购。</w:t>
      </w:r>
    </w:p>
    <w:p w14:paraId="1BEE9C87">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2.2采购单位：是指具体负责和从事采购业务的集中采购机构、社会中介代理机构和采购人的总称。</w:t>
      </w:r>
    </w:p>
    <w:p w14:paraId="00F80694">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3、投标人要求</w:t>
      </w:r>
    </w:p>
    <w:p w14:paraId="334BAC52">
      <w:pPr>
        <w:wordWrap w:val="0"/>
        <w:spacing w:line="360" w:lineRule="auto"/>
        <w:ind w:firstLine="480" w:firstLineChars="200"/>
        <w:outlineLvl w:val="3"/>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3.1投标人资格要求详见招标公告。</w:t>
      </w:r>
    </w:p>
    <w:p w14:paraId="25839875">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88CB90A">
      <w:pPr>
        <w:wordWrap w:val="0"/>
        <w:spacing w:line="360" w:lineRule="auto"/>
        <w:ind w:firstLine="480" w:firstLineChars="200"/>
        <w:outlineLvl w:val="3"/>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3.3、应按投标招标公告中的要求报名并参加投标。</w:t>
      </w:r>
    </w:p>
    <w:p w14:paraId="06230405">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3.4、中小微企业参与政府采购活动的，应当提供《中小企业声明函》原件上传在电子文件中。</w:t>
      </w:r>
    </w:p>
    <w:p w14:paraId="7B175CC2">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根据《安徽省财政厅关于进一步优化政府采购营商环境的通知》（皖财购〔2022〕556 号）通知，对小型和微型企业的最后报价给予</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u w:val="single"/>
        </w:rPr>
        <w:t>%</w:t>
      </w:r>
      <w:r>
        <w:rPr>
          <w:rFonts w:hint="eastAsia" w:ascii="宋体" w:hAnsi="宋体" w:cs="宋体"/>
          <w:snapToGrid w:val="0"/>
          <w:color w:val="auto"/>
          <w:kern w:val="0"/>
          <w:sz w:val="24"/>
          <w:szCs w:val="24"/>
          <w:highlight w:val="none"/>
        </w:rPr>
        <w:t>的价格扣除，用扣除后的价格参与评审。（货物、服务项目：10％-20％）（工程项目：3%-5%）</w:t>
      </w:r>
    </w:p>
    <w:p w14:paraId="26237209">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14:paraId="73AB8ABD">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14:paraId="7289902A">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rPr>
        <w:t>3.5、监狱企业参加政府采购活动的，</w:t>
      </w:r>
      <w:r>
        <w:rPr>
          <w:rFonts w:hint="eastAsia" w:ascii="宋体" w:hAnsi="宋体" w:cs="宋体"/>
          <w:snapToGrid w:val="0"/>
          <w:color w:val="auto"/>
          <w:kern w:val="0"/>
          <w:sz w:val="24"/>
          <w:szCs w:val="24"/>
          <w:highlight w:val="none"/>
          <w:lang w:val="zh-CN"/>
        </w:rPr>
        <w:t>应提供由省级以上监狱管理局、戒毒管理局（含新疆生产建设兵团）出具属于监狱企业的证明文件复印件。</w:t>
      </w:r>
    </w:p>
    <w:p w14:paraId="78C4EF39">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zh-CN"/>
        </w:rPr>
        <w:t>根据《关于政府采购支持监狱企业发展有关问题的通知》（财库[2014]68号）的规定，对监狱企业的最后报价给予</w:t>
      </w:r>
      <w:r>
        <w:rPr>
          <w:rFonts w:hint="eastAsia" w:ascii="宋体" w:hAnsi="宋体" w:cs="宋体"/>
          <w:snapToGrid w:val="0"/>
          <w:color w:val="auto"/>
          <w:kern w:val="0"/>
          <w:sz w:val="24"/>
          <w:szCs w:val="24"/>
          <w:highlight w:val="none"/>
          <w:u w:val="single"/>
        </w:rPr>
        <w:t xml:space="preserve"> / </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zh-CN"/>
        </w:rPr>
        <w:t>的价格扣除，用扣除后的价格参与评审。</w:t>
      </w:r>
    </w:p>
    <w:p w14:paraId="3488B237">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rPr>
        <w:t>监狱企业</w:t>
      </w:r>
      <w:r>
        <w:rPr>
          <w:rFonts w:hint="eastAsia" w:ascii="宋体" w:hAnsi="宋体" w:cs="宋体"/>
          <w:snapToGrid w:val="0"/>
          <w:color w:val="auto"/>
          <w:kern w:val="0"/>
          <w:sz w:val="24"/>
          <w:szCs w:val="24"/>
          <w:highlight w:val="none"/>
          <w:lang w:val="zh-CN"/>
        </w:rPr>
        <w:t>属于小型、微型企业的，不重复享受政策。</w:t>
      </w:r>
    </w:p>
    <w:p w14:paraId="1A1B56A6">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3.6、</w:t>
      </w:r>
      <w:r>
        <w:rPr>
          <w:rFonts w:hint="eastAsia" w:ascii="宋体" w:hAnsi="宋体" w:cs="宋体"/>
          <w:snapToGrid w:val="0"/>
          <w:color w:val="auto"/>
          <w:kern w:val="0"/>
          <w:sz w:val="24"/>
          <w:szCs w:val="24"/>
          <w:highlight w:val="none"/>
          <w:lang w:val="zh-CN"/>
        </w:rPr>
        <w:t>残疾人福利性单位参加政府采购活动的应当提供《残疾人福利性单位声明函》原件</w:t>
      </w:r>
      <w:r>
        <w:rPr>
          <w:rFonts w:hint="eastAsia" w:ascii="宋体" w:hAnsi="宋体" w:cs="宋体"/>
          <w:snapToGrid w:val="0"/>
          <w:color w:val="auto"/>
          <w:kern w:val="0"/>
          <w:sz w:val="24"/>
          <w:szCs w:val="24"/>
          <w:highlight w:val="none"/>
        </w:rPr>
        <w:t>放于投标文件中。</w:t>
      </w:r>
    </w:p>
    <w:p w14:paraId="46C8C881">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宋体"/>
          <w:snapToGrid w:val="0"/>
          <w:color w:val="auto"/>
          <w:kern w:val="0"/>
          <w:sz w:val="24"/>
          <w:szCs w:val="24"/>
          <w:highlight w:val="none"/>
          <w:u w:val="single"/>
        </w:rPr>
        <w:t xml:space="preserve"> / </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zh-CN"/>
        </w:rPr>
        <w:t>的价格扣除，用扣除后的价格参与评审。</w:t>
      </w:r>
    </w:p>
    <w:p w14:paraId="119D9192">
      <w:pPr>
        <w:wordWrap w:val="0"/>
        <w:spacing w:line="360" w:lineRule="auto"/>
        <w:ind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zh-CN"/>
        </w:rPr>
        <w:t>残疾人福利性单位属于小型、微型企业的，不重复享受政策。</w:t>
      </w:r>
    </w:p>
    <w:p w14:paraId="2DD7A31A">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4、投标费用</w:t>
      </w:r>
    </w:p>
    <w:p w14:paraId="57A7057D">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投标人必须自行承担所有与参加本项目投标有关的费用。不论投标的结果如何，采购人在任何情况下均无义务和责任承担这些费用。</w:t>
      </w:r>
    </w:p>
    <w:p w14:paraId="13FC13A1">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5、保密</w:t>
      </w:r>
    </w:p>
    <w:p w14:paraId="538F1D83">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参与政府采购活动的各方主体应对招标文件和投标文件中的商业和技术等秘密保密，违者应对由此造成的后果承担法律责任。</w:t>
      </w:r>
    </w:p>
    <w:p w14:paraId="709F5539">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6、语言文字</w:t>
      </w:r>
    </w:p>
    <w:p w14:paraId="70C90061">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招标投标文件使用的语言文字、以及投标人与采购单位就投标相关事项的所有往来函电均须使用简体中文（部分专用术语需使用外文的除外）。</w:t>
      </w:r>
    </w:p>
    <w:p w14:paraId="21701485">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7、计量单位</w:t>
      </w:r>
    </w:p>
    <w:p w14:paraId="27AF6270">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所有计量均采用中华人民共和国法定计量单位。</w:t>
      </w:r>
    </w:p>
    <w:p w14:paraId="65EA6C0F">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8、勘察现场</w:t>
      </w:r>
    </w:p>
    <w:p w14:paraId="73BFA9F0">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采购单位根据项目的具体情况，可以组织潜在投标人现场考察或者召开开标前答疑会，但不得单独或者分别组织只有一个投标人参加的现场考察。</w:t>
      </w:r>
    </w:p>
    <w:p w14:paraId="757EAE67">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9、偏离</w:t>
      </w:r>
    </w:p>
    <w:p w14:paraId="0BDADA8E">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招标文件允许投标文件偏离某些要求的，偏离应当符合招标文件规定的偏离范围和幅度。</w:t>
      </w:r>
    </w:p>
    <w:p w14:paraId="5190418A">
      <w:pPr>
        <w:pStyle w:val="8"/>
        <w:ind w:firstLine="482"/>
        <w:outlineLvl w:val="1"/>
        <w:rPr>
          <w:snapToGrid w:val="0"/>
          <w:color w:val="auto"/>
          <w:kern w:val="0"/>
          <w:highlight w:val="none"/>
        </w:rPr>
      </w:pPr>
      <w:bookmarkStart w:id="131" w:name="_Toc32590"/>
      <w:bookmarkStart w:id="132" w:name="_Toc27885"/>
      <w:bookmarkStart w:id="133" w:name="_Toc20833"/>
      <w:bookmarkStart w:id="134" w:name="_Toc482084465"/>
      <w:bookmarkStart w:id="135" w:name="_Toc27737"/>
      <w:r>
        <w:rPr>
          <w:rFonts w:hint="eastAsia"/>
          <w:snapToGrid w:val="0"/>
          <w:color w:val="auto"/>
          <w:kern w:val="0"/>
          <w:highlight w:val="none"/>
        </w:rPr>
        <w:t>二、招标文件</w:t>
      </w:r>
      <w:bookmarkEnd w:id="131"/>
      <w:bookmarkEnd w:id="132"/>
      <w:bookmarkEnd w:id="133"/>
      <w:bookmarkEnd w:id="134"/>
      <w:bookmarkEnd w:id="135"/>
    </w:p>
    <w:p w14:paraId="76F0AD2D">
      <w:pPr>
        <w:wordWrap w:val="0"/>
        <w:spacing w:line="360" w:lineRule="auto"/>
        <w:ind w:firstLine="482" w:firstLineChars="200"/>
        <w:outlineLvl w:val="2"/>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10、招标文件构成</w:t>
      </w:r>
    </w:p>
    <w:p w14:paraId="14667523">
      <w:pPr>
        <w:wordWrap w:val="0"/>
        <w:spacing w:line="360" w:lineRule="auto"/>
        <w:ind w:firstLine="480" w:firstLineChars="200"/>
        <w:outlineLvl w:val="3"/>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10.1招标文件包括以下部分：</w:t>
      </w:r>
    </w:p>
    <w:p w14:paraId="62FC497E">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10.1.1第一章招标公告；</w:t>
      </w:r>
    </w:p>
    <w:p w14:paraId="61AECF8B">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10.1.2第二章投标人须知前附表；</w:t>
      </w:r>
    </w:p>
    <w:p w14:paraId="5F91898D">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10.1.3第三章货物需求一览表；</w:t>
      </w:r>
    </w:p>
    <w:p w14:paraId="1C3B0C59">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10.1.4第四章评标办法；</w:t>
      </w:r>
    </w:p>
    <w:p w14:paraId="5223EDB3">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10.1.5第五章投标人须知；</w:t>
      </w:r>
    </w:p>
    <w:p w14:paraId="70EB9934">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10.1.6第六章采购合同；</w:t>
      </w:r>
    </w:p>
    <w:p w14:paraId="196902BF">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10.1.7第七章投标文件格式；</w:t>
      </w:r>
    </w:p>
    <w:p w14:paraId="360110E8">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10.1.8发布的附件、答疑、补遗、补充通知等。</w:t>
      </w:r>
    </w:p>
    <w:p w14:paraId="1232EFD4">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10.2投标人应认真阅读和充分理解招标文件中所有的内容。如果投标人没有满足招标文件的有关要求，其风险由投标人自行承担。</w:t>
      </w:r>
    </w:p>
    <w:p w14:paraId="0D832F10">
      <w:pPr>
        <w:tabs>
          <w:tab w:val="left" w:pos="0"/>
        </w:tabs>
        <w:wordWrap w:val="0"/>
        <w:spacing w:line="360" w:lineRule="auto"/>
        <w:ind w:firstLine="482" w:firstLineChars="200"/>
        <w:outlineLvl w:val="2"/>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11、招标文件的澄清和修改 </w:t>
      </w:r>
    </w:p>
    <w:p w14:paraId="3722EA07">
      <w:pPr>
        <w:wordWrap w:val="0"/>
        <w:spacing w:line="360" w:lineRule="auto"/>
        <w:ind w:firstLine="480" w:firstLineChars="200"/>
        <w:rPr>
          <w:rFonts w:ascii="宋体" w:hAnsi="宋体" w:cs="宋体"/>
          <w:snapToGrid w:val="0"/>
          <w:color w:val="auto"/>
          <w:kern w:val="0"/>
          <w:sz w:val="24"/>
          <w:szCs w:val="24"/>
          <w:highlight w:val="none"/>
        </w:rPr>
      </w:pPr>
      <w:bookmarkStart w:id="136" w:name="_Toc365620545"/>
      <w:r>
        <w:rPr>
          <w:rFonts w:hint="eastAsia" w:ascii="宋体" w:hAnsi="宋体" w:cs="宋体"/>
          <w:snapToGrid w:val="0"/>
          <w:color w:val="auto"/>
          <w:kern w:val="0"/>
          <w:sz w:val="24"/>
          <w:szCs w:val="24"/>
          <w:highlight w:val="none"/>
        </w:rPr>
        <w:t>11.1投标人应仔细阅读和检查招标文件的全部内容。如发现缺页或附件不全、含义表达不清、有明显文字、计算错误等情形，应及时向采购人或代理机构提出询问。采购人或者代理机构应当在3个工作日内对供应商依法提出的询问做出答复，答复内容将在本项目交易平台所在地交易中心门户网答疑澄清栏中公布。</w:t>
      </w:r>
    </w:p>
    <w:p w14:paraId="5DDFF925">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11.2采购人或代理机构可以对已发出的招标文件进行必要的澄清或者修改，招标文件的澄清或修改将在本项目交易平台所在地交易中心门户网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w:t>
      </w:r>
    </w:p>
    <w:p w14:paraId="5F24AB7C">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11.3当招标文件的澄清、修改、补充等在同一内容的表述上不一致时，以最后发出的为准。</w:t>
      </w:r>
    </w:p>
    <w:p w14:paraId="08A95B5E">
      <w:pPr>
        <w:wordWrap w:val="0"/>
        <w:spacing w:line="360" w:lineRule="auto"/>
        <w:ind w:firstLine="482" w:firstLineChars="200"/>
        <w:outlineLvl w:val="2"/>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12、招标文件的</w:t>
      </w:r>
      <w:bookmarkEnd w:id="136"/>
      <w:r>
        <w:rPr>
          <w:rFonts w:hint="eastAsia" w:ascii="宋体" w:hAnsi="宋体" w:cs="宋体"/>
          <w:b/>
          <w:bCs/>
          <w:snapToGrid w:val="0"/>
          <w:color w:val="auto"/>
          <w:kern w:val="0"/>
          <w:sz w:val="24"/>
          <w:szCs w:val="24"/>
          <w:highlight w:val="none"/>
        </w:rPr>
        <w:t>质疑和答复</w:t>
      </w:r>
    </w:p>
    <w:p w14:paraId="20136020">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12.1潜在供应商已依法获取本招标文件的（应提供依法获取招标文件的证明材料），可以对本招标文件提出质疑。质疑应当在获取招标文件或者招标文件公告期限届满之日起7个工作日内以书面形式向采购人或代理机构提出，质疑函的内容应包括《政府采购质疑和投诉办法》（财政部令第94号）第十二条规定的内容。</w:t>
      </w:r>
    </w:p>
    <w:p w14:paraId="6B796A80">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12.2供应商对招标文件有质疑的，应在法定质疑期内一次性提出，采购人或代理机构不再接受同一供应商针对同一招标文件提出的再次质疑（对同一质疑的补充除外）。</w:t>
      </w:r>
    </w:p>
    <w:p w14:paraId="5186ACC8">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12.3采购人或代理机构应当在收到质疑后7个工作日内做出答复。答复内容将在本项目交易平台所在地交易中心门户网站答疑澄清栏中公布，所有获取招标文件的潜在供应商均有义务自行查看该答复内容。</w:t>
      </w:r>
    </w:p>
    <w:p w14:paraId="2F094F58">
      <w:pPr>
        <w:pStyle w:val="8"/>
        <w:ind w:firstLine="482"/>
        <w:jc w:val="both"/>
        <w:outlineLvl w:val="1"/>
        <w:rPr>
          <w:snapToGrid w:val="0"/>
          <w:color w:val="auto"/>
          <w:kern w:val="0"/>
          <w:szCs w:val="24"/>
          <w:highlight w:val="none"/>
        </w:rPr>
      </w:pPr>
      <w:bookmarkStart w:id="137" w:name="_Toc6901"/>
      <w:bookmarkStart w:id="138" w:name="_Toc349"/>
      <w:bookmarkStart w:id="139" w:name="_Toc14028"/>
      <w:bookmarkStart w:id="140" w:name="_Toc6559"/>
      <w:bookmarkStart w:id="141" w:name="_Toc482084466"/>
      <w:r>
        <w:rPr>
          <w:rFonts w:hint="eastAsia"/>
          <w:snapToGrid w:val="0"/>
          <w:color w:val="auto"/>
          <w:kern w:val="0"/>
          <w:szCs w:val="24"/>
          <w:highlight w:val="none"/>
        </w:rPr>
        <w:t>三、投标文件</w:t>
      </w:r>
      <w:bookmarkEnd w:id="137"/>
      <w:bookmarkEnd w:id="138"/>
      <w:bookmarkEnd w:id="139"/>
      <w:bookmarkEnd w:id="140"/>
      <w:bookmarkEnd w:id="141"/>
    </w:p>
    <w:p w14:paraId="7C766F6B">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13、投标文件的组成</w:t>
      </w:r>
    </w:p>
    <w:p w14:paraId="7C7AA7E6">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13.1投标文件由开标一览表、投标书和资格证明文件三部分组成。</w:t>
      </w:r>
    </w:p>
    <w:p w14:paraId="65CCA8BE">
      <w:pPr>
        <w:tabs>
          <w:tab w:val="left" w:pos="0"/>
        </w:tabs>
        <w:wordWrap w:val="0"/>
        <w:spacing w:line="360" w:lineRule="auto"/>
        <w:ind w:firstLine="480" w:firstLineChars="200"/>
        <w:outlineLvl w:val="3"/>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13.1.1开标一览表</w:t>
      </w:r>
    </w:p>
    <w:p w14:paraId="154DDD9F">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13.1.2投标书包括下列内容：投标函格式、开标一览表、分项报价表、技术规格（项目要求）响应情况表、商务要求响应情况表、货物服务实施方案等。</w:t>
      </w:r>
    </w:p>
    <w:p w14:paraId="5F03400C">
      <w:pPr>
        <w:tabs>
          <w:tab w:val="left" w:pos="0"/>
        </w:tabs>
        <w:wordWrap w:val="0"/>
        <w:spacing w:line="360" w:lineRule="auto"/>
        <w:ind w:firstLine="480" w:firstLineChars="200"/>
        <w:outlineLvl w:val="3"/>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13.1.3证明投标人合格的资格文件</w:t>
      </w:r>
    </w:p>
    <w:p w14:paraId="04DBC2F9">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应包括招标文件要求的证明其有资格参加投标，以及中标后有能力履行合同所必需的生产、技术、服务和财务管理等方面能力的证明文件。</w:t>
      </w:r>
    </w:p>
    <w:p w14:paraId="0834AC63">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13.2所有货物（包括零部件）须为全新的、未使用过的原装正品。</w:t>
      </w:r>
    </w:p>
    <w:p w14:paraId="3A11F914">
      <w:pPr>
        <w:tabs>
          <w:tab w:val="left" w:pos="0"/>
        </w:tabs>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13.3投标人必须对其投标文件的真实性与准确性负责。投标人一旦中标，其投标文件将作为合同的重要组成部分。 </w:t>
      </w:r>
    </w:p>
    <w:p w14:paraId="04B32021">
      <w:pPr>
        <w:tabs>
          <w:tab w:val="left" w:pos="0"/>
        </w:tabs>
        <w:wordWrap w:val="0"/>
        <w:spacing w:line="360" w:lineRule="auto"/>
        <w:ind w:firstLine="480" w:firstLineChars="200"/>
        <w:outlineLvl w:val="4"/>
        <w:rPr>
          <w:rFonts w:ascii="宋体" w:hAnsi="宋体" w:cs="宋体"/>
          <w:snapToGrid w:val="0"/>
          <w:color w:val="auto"/>
          <w:kern w:val="0"/>
          <w:sz w:val="24"/>
          <w:szCs w:val="24"/>
          <w:highlight w:val="none"/>
        </w:rPr>
      </w:pPr>
      <w:r>
        <w:rPr>
          <w:rFonts w:hint="eastAsia" w:ascii="宋体" w:hAnsi="宋体" w:cs="宋体"/>
          <w:bCs/>
          <w:snapToGrid w:val="0"/>
          <w:color w:val="auto"/>
          <w:kern w:val="0"/>
          <w:sz w:val="24"/>
          <w:szCs w:val="24"/>
          <w:highlight w:val="none"/>
        </w:rPr>
        <w:t>13.4 投标人应在投标文件中体现本文件要求的内容。</w:t>
      </w:r>
    </w:p>
    <w:p w14:paraId="72F1D981">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14、投标报价</w:t>
      </w:r>
    </w:p>
    <w:p w14:paraId="2834244D">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14.1本项目只允许有一个方案、一个报价。多方案、多报价的投标书将不被接受。（招标文件另有要求的除外）</w:t>
      </w:r>
    </w:p>
    <w:p w14:paraId="1F7A53EC">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14.2货物类项目适用：价格标开标一览表中的投标总报价应包括投标产品以及投标产品产生的采购、运输、人工、安装、售后、验收、税费，公证费、代理费等所有费用，即为履行合同的最终价格。</w:t>
      </w:r>
    </w:p>
    <w:p w14:paraId="53E37987">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服务类项目适用：价格标开标一览表中的投标总报价应包括完成本项目的服务费用、税费、公证费、代理费等所有费用，即为履行合同的最终价格。</w:t>
      </w:r>
    </w:p>
    <w:p w14:paraId="35FECBE9">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14:paraId="0A66C2D0">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服务类项目适用：价格标的服务分项报价表上应清楚地标明投标人拟提供的服务费用等内容，其合计价格应与开标一览表中的投标总报价保持一致。</w:t>
      </w:r>
    </w:p>
    <w:p w14:paraId="19B25C26">
      <w:pPr>
        <w:tabs>
          <w:tab w:val="left" w:pos="0"/>
        </w:tabs>
        <w:wordWrap w:val="0"/>
        <w:spacing w:line="360" w:lineRule="auto"/>
        <w:ind w:firstLine="480" w:firstLineChars="200"/>
        <w:outlineLvl w:val="3"/>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14.4投标货币为人民币。</w:t>
      </w:r>
    </w:p>
    <w:p w14:paraId="2873F6EE">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15、投标保证金</w:t>
      </w:r>
    </w:p>
    <w:p w14:paraId="1705CB27">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15.1投标人在提交投标文件的同时，应按投标人须知前附表规定的金额和形式提交投标保证金。联合体投标的，其投标保证金由牵头人提交，并应符合投标人须知前附表的规定。</w:t>
      </w:r>
    </w:p>
    <w:p w14:paraId="5C7D9FBB">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15.2投标人不按投标人须知前附表要求提交投标保证金的，评标委员会将否决其投标。</w:t>
      </w:r>
    </w:p>
    <w:p w14:paraId="0D87EB9F">
      <w:pPr>
        <w:wordWrap w:val="0"/>
        <w:spacing w:line="360" w:lineRule="auto"/>
        <w:ind w:firstLine="480" w:firstLineChars="200"/>
        <w:outlineLvl w:val="3"/>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15.3投标保证金的退还：</w:t>
      </w:r>
    </w:p>
    <w:p w14:paraId="4537A5A3">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15.3.1中标人的投标保证金，在采购合同签订之日起五个工作日内退还。</w:t>
      </w:r>
    </w:p>
    <w:p w14:paraId="1753AAD1">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15.3.2未中标人的投标保证金，自中标通知书发出之日起5个工作日内退还。</w:t>
      </w:r>
    </w:p>
    <w:p w14:paraId="70899966">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15.3.3政府采购项目有质疑、投诉的，中标候选人、提出质疑的投标人及投诉人的投标保证金在质疑、投诉处理后，按相关规定办理。</w:t>
      </w:r>
    </w:p>
    <w:p w14:paraId="00BFFABA">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15.4中标人有下列情形之一的，采购人不予退还其缴纳的投标保证金；</w:t>
      </w:r>
    </w:p>
    <w:p w14:paraId="5B32F379">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15.4.1投标人在规定的投标有效期内撤销其投标文件或放弃中标人候选资格的；</w:t>
      </w:r>
    </w:p>
    <w:p w14:paraId="1AB4652E">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15.4.2中标人在收到中标通知书后，无正当理由拒签合同协议书或未按招标文件规定提交履约担保；</w:t>
      </w:r>
    </w:p>
    <w:p w14:paraId="1CC0800B">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15.4.3存在提供虚假材料参加投标或串通投标等违法、违规行为被查实的。</w:t>
      </w:r>
    </w:p>
    <w:p w14:paraId="0008DCC4">
      <w:pPr>
        <w:wordWrap w:val="0"/>
        <w:spacing w:line="360" w:lineRule="auto"/>
        <w:ind w:firstLine="482" w:firstLineChars="200"/>
        <w:outlineLvl w:val="2"/>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16、投标有效期</w:t>
      </w:r>
    </w:p>
    <w:p w14:paraId="0260D261">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16.1投标有效期在“投标人须知前附表”中有明确的规定。投标人如未就此提出异议，则视同接受；如承诺的投标有效期短于此规定时间的，将被视为非响应性投标而予以拒绝。</w:t>
      </w:r>
    </w:p>
    <w:p w14:paraId="4AFA27E6">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16.2在特殊情况下，采购单位可于原投标有效期满之前，向投标人提出延长投标有效期的要求。投标人同意延长的，应相应延长其投标保证金的有效期，但不得要求或被允许修改或撤销其投标文件。投标人拒绝延长的，可以书面形式拒绝采购单位的这种要求而不失去其投标保证金。如在规定的时间内未提出书面意见表示拒绝，将视为同意延长投标有效期。</w:t>
      </w:r>
    </w:p>
    <w:p w14:paraId="635205CF">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16.3在投标有效期内，供应商撤销或修改其询价响应文件的，应承担责任。</w:t>
      </w:r>
    </w:p>
    <w:p w14:paraId="179A5004">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17、投标文件的签署</w:t>
      </w:r>
    </w:p>
    <w:p w14:paraId="07DB240B">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除特别说明外，本文件要求投标人盖章或者法定代表人签字处，均需加盖投标人签章或者法定代表人签章。被授权人签字的，还需附法定代表人授权委托书。</w:t>
      </w:r>
    </w:p>
    <w:p w14:paraId="7964F589">
      <w:pPr>
        <w:wordWrap w:val="0"/>
        <w:spacing w:line="360" w:lineRule="auto"/>
        <w:ind w:firstLine="482" w:firstLineChars="200"/>
        <w:outlineLvl w:val="2"/>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18、分包</w:t>
      </w:r>
    </w:p>
    <w:p w14:paraId="481D0739">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主体、非关键性工作分包的，应当在投标文件中载明分包承担投标主人根据招标文件的规定和采购项目的实际情况，拟在中标后将中标项目的非体，分包承担主体应当具备相应资质条件且不得再次分包。</w:t>
      </w:r>
    </w:p>
    <w:p w14:paraId="4FD410A4">
      <w:pPr>
        <w:pStyle w:val="8"/>
        <w:ind w:firstLine="482"/>
        <w:jc w:val="both"/>
        <w:outlineLvl w:val="1"/>
        <w:rPr>
          <w:snapToGrid w:val="0"/>
          <w:color w:val="auto"/>
          <w:kern w:val="0"/>
          <w:szCs w:val="24"/>
          <w:highlight w:val="none"/>
        </w:rPr>
      </w:pPr>
      <w:bookmarkStart w:id="142" w:name="_Toc482084467"/>
      <w:bookmarkStart w:id="143" w:name="_Toc1623"/>
      <w:bookmarkStart w:id="144" w:name="_Toc31385"/>
      <w:bookmarkStart w:id="145" w:name="_Toc28735"/>
      <w:r>
        <w:rPr>
          <w:rFonts w:hint="eastAsia"/>
          <w:snapToGrid w:val="0"/>
          <w:color w:val="auto"/>
          <w:kern w:val="0"/>
          <w:szCs w:val="24"/>
          <w:highlight w:val="none"/>
        </w:rPr>
        <w:t>四、</w:t>
      </w:r>
      <w:bookmarkEnd w:id="142"/>
      <w:r>
        <w:rPr>
          <w:rFonts w:hint="eastAsia"/>
          <w:snapToGrid w:val="0"/>
          <w:color w:val="auto"/>
          <w:kern w:val="0"/>
          <w:szCs w:val="24"/>
          <w:highlight w:val="none"/>
        </w:rPr>
        <w:t>投标</w:t>
      </w:r>
      <w:bookmarkEnd w:id="143"/>
      <w:bookmarkEnd w:id="144"/>
      <w:bookmarkEnd w:id="145"/>
    </w:p>
    <w:p w14:paraId="4B068D0F">
      <w:pPr>
        <w:tabs>
          <w:tab w:val="left" w:pos="0"/>
        </w:tabs>
        <w:wordWrap w:val="0"/>
        <w:spacing w:line="360" w:lineRule="auto"/>
        <w:ind w:firstLine="482" w:firstLineChars="200"/>
        <w:outlineLvl w:val="2"/>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19、投标文件的提交</w:t>
      </w:r>
    </w:p>
    <w:p w14:paraId="04159002">
      <w:pPr>
        <w:tabs>
          <w:tab w:val="left" w:pos="0"/>
        </w:tabs>
        <w:wordWrap w:val="0"/>
        <w:spacing w:line="360" w:lineRule="auto"/>
        <w:ind w:firstLine="482" w:firstLineChars="200"/>
        <w:outlineLvl w:val="3"/>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19.1网上提交部分：</w:t>
      </w:r>
    </w:p>
    <w:p w14:paraId="4BA697D8">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pdf格式的加密电子投标文件；</w:t>
      </w:r>
    </w:p>
    <w:p w14:paraId="2F4E7299">
      <w:pPr>
        <w:tabs>
          <w:tab w:val="left" w:pos="0"/>
        </w:tabs>
        <w:wordWrap w:val="0"/>
        <w:spacing w:line="360" w:lineRule="auto"/>
        <w:ind w:firstLine="482" w:firstLineChars="200"/>
        <w:outlineLvl w:val="3"/>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19.2电子版投标书的制作和提交</w:t>
      </w:r>
    </w:p>
    <w:p w14:paraId="7B857A83">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为做好疫情防控工作，本项目通过QQ会议直播的方式进行开标。投标人提交的投标文件应当全部使用招标文件所要求的投标文件格式，生成文件扩展名为.pdf的加密投标文件，需发送至代理机构邮箱。邮件发送“主题”填写“公司全称+法定代表人或其委托代理人姓名+联系电话”（与投标文件中法定代表人或其委托代理人一致）。</w:t>
      </w:r>
    </w:p>
    <w:p w14:paraId="24541C22">
      <w:pPr>
        <w:tabs>
          <w:tab w:val="left" w:pos="0"/>
        </w:tabs>
        <w:wordWrap w:val="0"/>
        <w:spacing w:line="360" w:lineRule="auto"/>
        <w:ind w:firstLine="480" w:firstLineChars="200"/>
        <w:outlineLvl w:val="3"/>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19.3注意事项：</w:t>
      </w:r>
    </w:p>
    <w:p w14:paraId="6AAC16E1">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19.3.1电子投标文件的提交是指投标人使用</w:t>
      </w:r>
      <w:r>
        <w:rPr>
          <w:rFonts w:hint="eastAsia" w:ascii="宋体" w:hAnsi="宋体" w:cs="宋体"/>
          <w:snapToGrid w:val="0"/>
          <w:color w:val="auto"/>
          <w:kern w:val="0"/>
          <w:sz w:val="24"/>
          <w:szCs w:val="24"/>
          <w:highlight w:val="none"/>
        </w:rPr>
        <w:t>邮箱</w:t>
      </w:r>
      <w:r>
        <w:rPr>
          <w:rFonts w:ascii="宋体" w:hAnsi="宋体" w:cs="宋体"/>
          <w:snapToGrid w:val="0"/>
          <w:color w:val="auto"/>
          <w:kern w:val="0"/>
          <w:sz w:val="24"/>
          <w:szCs w:val="24"/>
          <w:highlight w:val="none"/>
        </w:rPr>
        <w:t>完成</w:t>
      </w:r>
      <w:r>
        <w:rPr>
          <w:rFonts w:hint="eastAsia" w:ascii="宋体" w:hAnsi="宋体" w:cs="宋体"/>
          <w:snapToGrid w:val="0"/>
          <w:color w:val="auto"/>
          <w:kern w:val="0"/>
          <w:sz w:val="24"/>
          <w:szCs w:val="24"/>
          <w:highlight w:val="none"/>
        </w:rPr>
        <w:t>递交的</w:t>
      </w:r>
      <w:r>
        <w:rPr>
          <w:rFonts w:ascii="宋体" w:hAnsi="宋体" w:cs="宋体"/>
          <w:snapToGrid w:val="0"/>
          <w:color w:val="auto"/>
          <w:kern w:val="0"/>
          <w:sz w:val="24"/>
          <w:szCs w:val="24"/>
          <w:highlight w:val="none"/>
        </w:rPr>
        <w:t>投标文件（</w:t>
      </w:r>
      <w:r>
        <w:rPr>
          <w:rFonts w:hint="eastAsia" w:ascii="宋体" w:hAnsi="宋体" w:cs="宋体"/>
          <w:snapToGrid w:val="0"/>
          <w:color w:val="auto"/>
          <w:kern w:val="0"/>
          <w:sz w:val="24"/>
          <w:szCs w:val="24"/>
          <w:highlight w:val="none"/>
          <w:u w:val="single"/>
        </w:rPr>
        <w:t>pdf</w:t>
      </w:r>
      <w:r>
        <w:rPr>
          <w:rFonts w:ascii="宋体" w:hAnsi="宋体" w:cs="宋体"/>
          <w:snapToGrid w:val="0"/>
          <w:color w:val="auto"/>
          <w:kern w:val="0"/>
          <w:sz w:val="24"/>
          <w:szCs w:val="24"/>
          <w:highlight w:val="none"/>
        </w:rPr>
        <w:t>格式），未在投标截止时间前完成上传的投标文件视为逾期送达</w:t>
      </w:r>
      <w:r>
        <w:rPr>
          <w:rFonts w:hint="eastAsia" w:ascii="宋体" w:hAnsi="宋体" w:cs="宋体"/>
          <w:snapToGrid w:val="0"/>
          <w:color w:val="auto"/>
          <w:kern w:val="0"/>
          <w:sz w:val="24"/>
          <w:szCs w:val="24"/>
          <w:highlight w:val="none"/>
        </w:rPr>
        <w:t>。</w:t>
      </w:r>
    </w:p>
    <w:p w14:paraId="61D891BB">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19.3.2投标文件以投标截止时间前完成上传至系统的最后一份为准。</w:t>
      </w:r>
    </w:p>
    <w:p w14:paraId="0ED94B0A">
      <w:pPr>
        <w:tabs>
          <w:tab w:val="left" w:pos="0"/>
        </w:tabs>
        <w:wordWrap w:val="0"/>
        <w:spacing w:line="360" w:lineRule="auto"/>
        <w:ind w:firstLine="480" w:firstLineChars="200"/>
        <w:outlineLvl w:val="4"/>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19.3.3投标截止时间以</w:t>
      </w:r>
      <w:r>
        <w:rPr>
          <w:rFonts w:hint="eastAsia" w:ascii="宋体" w:hAnsi="宋体" w:cs="宋体"/>
          <w:snapToGrid w:val="0"/>
          <w:color w:val="auto"/>
          <w:kern w:val="0"/>
          <w:sz w:val="24"/>
          <w:szCs w:val="24"/>
          <w:highlight w:val="none"/>
        </w:rPr>
        <w:t>代理机构邮箱</w:t>
      </w:r>
      <w:r>
        <w:rPr>
          <w:rFonts w:ascii="宋体" w:hAnsi="宋体" w:cs="宋体"/>
          <w:snapToGrid w:val="0"/>
          <w:color w:val="auto"/>
          <w:kern w:val="0"/>
          <w:sz w:val="24"/>
          <w:szCs w:val="24"/>
          <w:highlight w:val="none"/>
        </w:rPr>
        <w:t>显示的时间为准。</w:t>
      </w:r>
    </w:p>
    <w:p w14:paraId="5041B202">
      <w:pPr>
        <w:tabs>
          <w:tab w:val="left" w:pos="0"/>
        </w:tabs>
        <w:wordWrap w:val="0"/>
        <w:spacing w:line="360" w:lineRule="auto"/>
        <w:ind w:firstLine="482" w:firstLineChars="200"/>
        <w:outlineLvl w:val="2"/>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20、以下情况拒收投标文件</w:t>
      </w:r>
    </w:p>
    <w:p w14:paraId="158CFE34">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20.1逾期送达的或者未送达指定地点的；</w:t>
      </w:r>
    </w:p>
    <w:p w14:paraId="626E797F">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20.2未在规定时间内缴纳投标保证金；</w:t>
      </w:r>
    </w:p>
    <w:p w14:paraId="480BF4F7">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20.3未满足其他补充要求的。</w:t>
      </w:r>
    </w:p>
    <w:p w14:paraId="5EC411CD">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21、联合体投标</w:t>
      </w:r>
    </w:p>
    <w:p w14:paraId="73EAFE8B">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由两家或两家以上投标人组成的联合体参与投标时，应满足以下要求：</w:t>
      </w:r>
    </w:p>
    <w:p w14:paraId="746860DA">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21.1联合体成员除必须满足投标人资格的要求外，如本项目还有其他特定条件的，联合体各方中至少有一方符合特定的条件。</w:t>
      </w:r>
    </w:p>
    <w:p w14:paraId="4BECDA05">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21.2联合体应签订联合参与投标的协议，明确各方承担的职责和相应的责任，并授权其中的一个成员作为代表，具体进行投标、签订合同等事务。此协议或授权书应作为投标文件的一部分。</w:t>
      </w:r>
    </w:p>
    <w:p w14:paraId="6A4C2434">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21.3联合体被授权投标人应能全权处理投标过程中的有关问题。一旦成为中标供应商，该被授权投标人应负责签订合同并负责合同的全面实施，包括合同款项的收付。</w:t>
      </w:r>
    </w:p>
    <w:p w14:paraId="60B84E1C">
      <w:pPr>
        <w:wordWrap w:val="0"/>
        <w:spacing w:line="360" w:lineRule="auto"/>
        <w:ind w:firstLine="480" w:firstLineChars="200"/>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21.4联合体各方不得再以自己的名义单独参与同一项目投标，也不得再组成新的联合体参与同一项目中的投标。</w:t>
      </w:r>
    </w:p>
    <w:p w14:paraId="23C6EEF1">
      <w:pPr>
        <w:pStyle w:val="8"/>
        <w:ind w:firstLine="482"/>
        <w:jc w:val="both"/>
        <w:outlineLvl w:val="1"/>
        <w:rPr>
          <w:snapToGrid w:val="0"/>
          <w:color w:val="auto"/>
          <w:kern w:val="0"/>
          <w:szCs w:val="24"/>
          <w:highlight w:val="none"/>
        </w:rPr>
      </w:pPr>
      <w:bookmarkStart w:id="146" w:name="_Toc16208"/>
      <w:bookmarkStart w:id="147" w:name="_Toc482084468"/>
      <w:bookmarkStart w:id="148" w:name="_Toc13752"/>
      <w:bookmarkStart w:id="149" w:name="_Toc19321"/>
      <w:bookmarkStart w:id="150" w:name="_Toc26207"/>
      <w:bookmarkStart w:id="151" w:name="_Toc462234302"/>
      <w:r>
        <w:rPr>
          <w:rFonts w:hint="eastAsia"/>
          <w:snapToGrid w:val="0"/>
          <w:color w:val="auto"/>
          <w:kern w:val="0"/>
          <w:szCs w:val="24"/>
          <w:highlight w:val="none"/>
        </w:rPr>
        <w:t>五、开标</w:t>
      </w:r>
      <w:bookmarkEnd w:id="146"/>
      <w:bookmarkEnd w:id="147"/>
      <w:bookmarkEnd w:id="148"/>
      <w:bookmarkEnd w:id="149"/>
      <w:bookmarkEnd w:id="150"/>
      <w:bookmarkEnd w:id="151"/>
    </w:p>
    <w:p w14:paraId="1510E107">
      <w:pPr>
        <w:wordWrap w:val="0"/>
        <w:spacing w:line="360" w:lineRule="auto"/>
        <w:ind w:firstLine="482" w:firstLineChars="200"/>
        <w:outlineLvl w:val="2"/>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22、开标</w:t>
      </w:r>
    </w:p>
    <w:p w14:paraId="0EB6AC80">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22.1采购人将在“投标人须知前附表”规定的时间和地点组织公开开标，投标人的法定代表人或其委托的代理人参加开标会的应携带有效证件；如为代理人参加的，还需提供有效的法定代表人的授权委托书（若制作在电子标书中的，待打开电子标书后查验）。否则将否决其投标。</w:t>
      </w:r>
    </w:p>
    <w:p w14:paraId="16A3331B">
      <w:pPr>
        <w:wordWrap w:val="0"/>
        <w:spacing w:line="360" w:lineRule="auto"/>
        <w:ind w:firstLine="480" w:firstLineChars="200"/>
        <w:outlineLvl w:val="3"/>
        <w:rPr>
          <w:rFonts w:ascii="宋体" w:hAnsi="宋体" w:cs="宋体"/>
          <w:snapToGrid w:val="0"/>
          <w:color w:val="auto"/>
          <w:kern w:val="0"/>
          <w:sz w:val="24"/>
          <w:szCs w:val="24"/>
          <w:highlight w:val="none"/>
        </w:rPr>
      </w:pPr>
      <w:bookmarkStart w:id="152" w:name="_Toc369528867"/>
      <w:r>
        <w:rPr>
          <w:rFonts w:hint="eastAsia" w:ascii="宋体" w:hAnsi="宋体" w:cs="宋体"/>
          <w:snapToGrid w:val="0"/>
          <w:color w:val="auto"/>
          <w:kern w:val="0"/>
          <w:sz w:val="24"/>
          <w:szCs w:val="24"/>
          <w:highlight w:val="none"/>
        </w:rPr>
        <w:t>22.2 开评标程序</w:t>
      </w:r>
      <w:bookmarkEnd w:id="152"/>
    </w:p>
    <w:p w14:paraId="1830727A">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主持人按下列程序进行开标：</w:t>
      </w:r>
    </w:p>
    <w:p w14:paraId="495A4585">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1、宣布开标开始</w:t>
      </w:r>
    </w:p>
    <w:p w14:paraId="1E8ADB92">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2、开评标过程中投标人注意事项。</w:t>
      </w:r>
    </w:p>
    <w:p w14:paraId="50B92E53">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3、宣布开标人、监标人、招标人代表等有关人员姓名。</w:t>
      </w:r>
    </w:p>
    <w:p w14:paraId="51A7ECAB">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4、公布投标人。</w:t>
      </w:r>
    </w:p>
    <w:p w14:paraId="7F839239">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5、唱标。</w:t>
      </w:r>
    </w:p>
    <w:p w14:paraId="0643A665">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6、进行资格审查</w:t>
      </w:r>
    </w:p>
    <w:p w14:paraId="72F36E1C">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7、进入评标环节（符合性评审、技术标、商务标）</w:t>
      </w:r>
    </w:p>
    <w:p w14:paraId="227EECC0">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8、宣布评标结果</w:t>
      </w:r>
    </w:p>
    <w:p w14:paraId="57FAD26C">
      <w:pPr>
        <w:pStyle w:val="8"/>
        <w:ind w:firstLine="482"/>
        <w:jc w:val="both"/>
        <w:outlineLvl w:val="1"/>
        <w:rPr>
          <w:snapToGrid w:val="0"/>
          <w:color w:val="auto"/>
          <w:kern w:val="0"/>
          <w:szCs w:val="24"/>
          <w:highlight w:val="none"/>
        </w:rPr>
      </w:pPr>
      <w:bookmarkStart w:id="153" w:name="_Toc20051"/>
      <w:bookmarkStart w:id="154" w:name="_Toc24802"/>
      <w:bookmarkStart w:id="155" w:name="_Toc28431"/>
      <w:bookmarkStart w:id="156" w:name="_Toc482084469"/>
      <w:bookmarkStart w:id="157" w:name="_Toc462234303"/>
      <w:bookmarkStart w:id="158" w:name="_Toc24539"/>
      <w:r>
        <w:rPr>
          <w:rFonts w:hint="eastAsia"/>
          <w:snapToGrid w:val="0"/>
          <w:color w:val="auto"/>
          <w:kern w:val="0"/>
          <w:szCs w:val="24"/>
          <w:highlight w:val="none"/>
        </w:rPr>
        <w:t>六、评标</w:t>
      </w:r>
      <w:bookmarkEnd w:id="153"/>
      <w:bookmarkEnd w:id="154"/>
      <w:bookmarkEnd w:id="155"/>
      <w:bookmarkEnd w:id="156"/>
      <w:bookmarkEnd w:id="157"/>
      <w:bookmarkEnd w:id="158"/>
    </w:p>
    <w:p w14:paraId="53F0E7B3">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23、评标委员会</w:t>
      </w:r>
    </w:p>
    <w:p w14:paraId="3723E901">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23.1评标由采购人依法组建的评标委员会负责。评标委员会由技术、经济等方面的专家组成，成员人数为五人以上单数。</w:t>
      </w:r>
    </w:p>
    <w:p w14:paraId="2A1DD766">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评标委员会成员有下列情形之一的，应当回避：</w:t>
      </w:r>
    </w:p>
    <w:p w14:paraId="6F26D585">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（1）参加采购活动前三年内，与供应商存在劳动关系，或者担任过供应商的董事、监事，或者是供应商的控股股东或实际控制人；</w:t>
      </w:r>
    </w:p>
    <w:p w14:paraId="3AC51F56">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（2）与供应商的法定代表人或者负责人有夫妻、直系血亲、三代以内旁系血亲或者近姻亲关系；</w:t>
      </w:r>
    </w:p>
    <w:p w14:paraId="3E1D5A57">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（3）与供应商有其他可能影响政府采购活动公平、公正进行的关系；</w:t>
      </w:r>
    </w:p>
    <w:p w14:paraId="64524FD1">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另外，评审专家发现本人与参加采购活动的供应商有利害关系的，应当主动提出回避。采购人或者采购代理机构发现评审专家与参加采购活动的供应商有利害关系的，应当要求其回避。</w:t>
      </w:r>
    </w:p>
    <w:p w14:paraId="2BFE8BCB">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14:paraId="4C1F4D45">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24、开标评标异常情况处理</w:t>
      </w:r>
    </w:p>
    <w:p w14:paraId="58203F2E">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24.1公开招标数额标准以上的采购项目，在招标文件没有不合理条款、招标程序符合规定的前提下，投标截止后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14:paraId="0A9407B5">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（一）招标文件存在不合理条款或者招标程序不符合规定的，采购人、采购代理机构改正后依法重新招标；</w:t>
      </w:r>
    </w:p>
    <w:p w14:paraId="5AC68AFC">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（二）招标文件没有不合理条款、招标程序符合规定，需要采用其他采购方式采购的，采购人应当依法报财政部门批准。</w:t>
      </w:r>
    </w:p>
    <w:p w14:paraId="48E5390B">
      <w:pPr>
        <w:wordWrap w:val="0"/>
        <w:spacing w:line="360" w:lineRule="auto"/>
        <w:ind w:firstLine="480" w:firstLineChars="200"/>
        <w:outlineLvl w:val="3"/>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24.2开标、评标时出现以下情况之一的，将废标：</w:t>
      </w:r>
    </w:p>
    <w:p w14:paraId="461D639C">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（1）投标人的报价均超过了采购预算，采购人不能支付的；</w:t>
      </w:r>
    </w:p>
    <w:p w14:paraId="7AF2FA9D">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（2）出现影响采购公正的违法、违规行为的。</w:t>
      </w:r>
    </w:p>
    <w:p w14:paraId="42574011">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（3）因重大变故，采购任务取消的。</w:t>
      </w:r>
    </w:p>
    <w:p w14:paraId="1F6176DD">
      <w:pPr>
        <w:wordWrap w:val="0"/>
        <w:spacing w:line="360" w:lineRule="auto"/>
        <w:ind w:firstLine="480" w:firstLineChars="200"/>
        <w:outlineLvl w:val="3"/>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25.3废标后，采购人将通过指定的网站进行公告。</w:t>
      </w:r>
    </w:p>
    <w:p w14:paraId="56F807AC">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25、评标过程的保密性</w:t>
      </w:r>
    </w:p>
    <w:p w14:paraId="24EAA713">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25.1从开标至签订合同止，凡是与标书审查、澄清、评价、比较以及定标等有关的评审情况，均不得向投标人或其他无关的人员透露。</w:t>
      </w:r>
    </w:p>
    <w:p w14:paraId="2CD865A6">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25.2在评标过程中，投标人及其他人员不得向评标委员会成员施加任何影响。保证评标在严格保密的情况下进行。</w:t>
      </w:r>
    </w:p>
    <w:p w14:paraId="27D89F9A">
      <w:pPr>
        <w:pStyle w:val="8"/>
        <w:ind w:firstLine="482"/>
        <w:jc w:val="both"/>
        <w:outlineLvl w:val="1"/>
        <w:rPr>
          <w:snapToGrid w:val="0"/>
          <w:color w:val="auto"/>
          <w:kern w:val="0"/>
          <w:szCs w:val="24"/>
          <w:highlight w:val="none"/>
        </w:rPr>
      </w:pPr>
      <w:bookmarkStart w:id="159" w:name="_Toc7632"/>
      <w:bookmarkStart w:id="160" w:name="_Toc9664"/>
      <w:bookmarkStart w:id="161" w:name="_Toc462234304"/>
      <w:bookmarkStart w:id="162" w:name="_Toc9129"/>
      <w:bookmarkStart w:id="163" w:name="_Toc482084470"/>
      <w:bookmarkStart w:id="164" w:name="_Toc8538"/>
      <w:r>
        <w:rPr>
          <w:rFonts w:hint="eastAsia"/>
          <w:snapToGrid w:val="0"/>
          <w:color w:val="auto"/>
          <w:kern w:val="0"/>
          <w:szCs w:val="24"/>
          <w:highlight w:val="none"/>
        </w:rPr>
        <w:t>七、定标和授予合同</w:t>
      </w:r>
      <w:bookmarkEnd w:id="159"/>
      <w:bookmarkEnd w:id="160"/>
      <w:bookmarkEnd w:id="161"/>
      <w:bookmarkEnd w:id="162"/>
      <w:bookmarkEnd w:id="163"/>
      <w:bookmarkEnd w:id="164"/>
    </w:p>
    <w:p w14:paraId="29DFD148">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26、定标方式</w:t>
      </w:r>
    </w:p>
    <w:p w14:paraId="71029447">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26.1采购人将在收到评标委员会提交的评标报告后五个工作日内，按照评标报告推荐的中标候选人顺序确定中标人，并在指定的媒介进行公告。</w:t>
      </w:r>
    </w:p>
    <w:p w14:paraId="4AAFAFD1">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26.2中标供应商拒绝与采购人签订合同的，采购人可以按照评审报告推荐的中标候选人名单排序，确定下一候选人为中标供应商，也可以重新开展政府采购活动。拒绝签订政府采购合同的成交供应商不得参加对该项目重新开展的采购活动。</w:t>
      </w:r>
    </w:p>
    <w:p w14:paraId="4BF2BCE6">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27、签订合同</w:t>
      </w:r>
    </w:p>
    <w:p w14:paraId="3B700DD8">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27.1采购人应当自中标通知书发出之日起七个工作日内（具体时限本文件有约定的，按约定执行），按照招标文件和中标供应商投标文件的约定，与中标供应商签订书面合同，所签订的合同不得对招标文件和中标供应商的投标文件作实质性修改。</w:t>
      </w:r>
    </w:p>
    <w:p w14:paraId="3CF010F8">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27.2政府采购合同履行中，采购人需追加与合同标的相同的货物、工程或者服务的，在不改变合同其他条款的前提下，可以与供应商签订补充合同，但所有补充合同的采购金额不得超过原合同采购金额的百分之十。</w:t>
      </w:r>
    </w:p>
    <w:p w14:paraId="035E6CD8">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27.3中标通知书发出后，采购人无正当理由不与中标供应商签订采购合同的，将依据相关规定给予处理。</w:t>
      </w:r>
    </w:p>
    <w:p w14:paraId="679BA760">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27.4采购人与成交人签订合同后，应自合同签订之日起2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14:paraId="14ED5399">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28、履约担保</w:t>
      </w:r>
    </w:p>
    <w:p w14:paraId="6F4CD2A2">
      <w:pPr>
        <w:tabs>
          <w:tab w:val="left" w:pos="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28.1 中标人在签订合同前必须按招标文件的规定，及时、足额向采购人交纳履约保证金。</w:t>
      </w:r>
    </w:p>
    <w:p w14:paraId="4AC81984">
      <w:pPr>
        <w:tabs>
          <w:tab w:val="left" w:pos="90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28.2履约保证金是督促中标人按时、按质、按量履行合同的一个经济制约手段。当采购人因中标人违约而造成损失时，可在无须征得中标人同意的情况下首先从其所交纳的履约保证金中获取相应的补偿。</w:t>
      </w:r>
    </w:p>
    <w:p w14:paraId="61DA111E">
      <w:pPr>
        <w:pStyle w:val="8"/>
        <w:ind w:firstLine="482"/>
        <w:jc w:val="both"/>
        <w:outlineLvl w:val="1"/>
        <w:rPr>
          <w:snapToGrid w:val="0"/>
          <w:color w:val="auto"/>
          <w:kern w:val="0"/>
          <w:szCs w:val="24"/>
          <w:highlight w:val="none"/>
        </w:rPr>
      </w:pPr>
      <w:bookmarkStart w:id="165" w:name="_Toc11701"/>
      <w:bookmarkStart w:id="166" w:name="_Toc12351"/>
      <w:bookmarkStart w:id="167" w:name="_Toc462234305"/>
      <w:bookmarkStart w:id="168" w:name="_Toc2565"/>
      <w:bookmarkStart w:id="169" w:name="_Toc482084471"/>
      <w:bookmarkStart w:id="170" w:name="_Toc15658"/>
      <w:r>
        <w:rPr>
          <w:rFonts w:hint="eastAsia"/>
          <w:snapToGrid w:val="0"/>
          <w:color w:val="auto"/>
          <w:kern w:val="0"/>
          <w:szCs w:val="24"/>
          <w:highlight w:val="none"/>
        </w:rPr>
        <w:t>八、质疑与投诉</w:t>
      </w:r>
      <w:bookmarkEnd w:id="165"/>
      <w:bookmarkEnd w:id="166"/>
      <w:bookmarkEnd w:id="167"/>
      <w:bookmarkEnd w:id="168"/>
      <w:bookmarkEnd w:id="169"/>
      <w:bookmarkEnd w:id="170"/>
    </w:p>
    <w:p w14:paraId="452E1137">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29、质疑</w:t>
      </w:r>
    </w:p>
    <w:p w14:paraId="3F0C64F5">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29.1参与本项目采购活动的供应商（即提交了投标文件的供应商）对中标结果提出质疑的，最迟可以在中标公告期限届满之日起七个工作日内，以书面形式向采购人或代理机构提出质疑。</w:t>
      </w:r>
    </w:p>
    <w:p w14:paraId="51AFDD39">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29.2参与本项目采购活动的供应商（即提交了投标文件的供应商）认为采购过程使自己的权益受到损害的，可以在各采购程序环节结束之日起七个工作日内，以书面形式向采购人或代理机构提出质疑。</w:t>
      </w:r>
    </w:p>
    <w:p w14:paraId="4866A8ED">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29.3质疑函的内容应包括《政府采购质疑和投诉办法》（财政部令第94号）第十二条规定的内容。</w:t>
      </w:r>
    </w:p>
    <w:p w14:paraId="482CE07E">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29.4采购人或代理机构在收到供应商的质疑函后，将审查质疑函的格式、内容以及所附的证明文件是否符合要求。如不符合，退回供应商；如符合要求，则在收到书面质疑后七个工作日内，对质疑内容作出书面答复。</w:t>
      </w:r>
    </w:p>
    <w:p w14:paraId="07E0AE8D">
      <w:pPr>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29.5供应商对同一环节的质疑，应在法定质疑期内一次性提出，采购人或代理机构不再接受同一供应商针对同一环节提出的再次质疑。</w:t>
      </w:r>
    </w:p>
    <w:p w14:paraId="01A1F462">
      <w:pPr>
        <w:wordWrap w:val="0"/>
        <w:spacing w:line="360" w:lineRule="auto"/>
        <w:ind w:firstLine="482" w:firstLineChars="200"/>
        <w:outlineLvl w:val="2"/>
        <w:rPr>
          <w:rFonts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rPr>
        <w:t>30、投诉</w:t>
      </w:r>
    </w:p>
    <w:p w14:paraId="5B522F88">
      <w:pPr>
        <w:tabs>
          <w:tab w:val="left" w:pos="900"/>
        </w:tabs>
        <w:wordWrap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30.1质疑供应商对采购人或代理机构的答复不满意，或者采购人或代理机构未在规定的时间内答复的，可以在答复期满后十五个工作日内按有关规定，向有关部门进行投诉。</w:t>
      </w:r>
    </w:p>
    <w:p w14:paraId="3317D48A">
      <w:pPr>
        <w:pStyle w:val="8"/>
        <w:ind w:firstLine="482"/>
        <w:jc w:val="both"/>
        <w:outlineLvl w:val="1"/>
        <w:rPr>
          <w:snapToGrid w:val="0"/>
          <w:color w:val="auto"/>
          <w:kern w:val="0"/>
          <w:szCs w:val="24"/>
          <w:highlight w:val="none"/>
        </w:rPr>
      </w:pPr>
      <w:bookmarkStart w:id="171" w:name="_Toc8406"/>
      <w:bookmarkStart w:id="172" w:name="_Toc16619"/>
      <w:bookmarkStart w:id="173" w:name="_Toc12155"/>
      <w:bookmarkStart w:id="174" w:name="_Toc17648"/>
      <w:bookmarkStart w:id="175" w:name="_Toc13697"/>
      <w:bookmarkStart w:id="176" w:name="_Toc9456"/>
      <w:bookmarkStart w:id="177" w:name="_Toc16669"/>
      <w:bookmarkStart w:id="178" w:name="_Toc482084476"/>
      <w:r>
        <w:rPr>
          <w:rFonts w:hint="eastAsia"/>
          <w:snapToGrid w:val="0"/>
          <w:color w:val="auto"/>
          <w:kern w:val="0"/>
          <w:szCs w:val="24"/>
          <w:highlight w:val="none"/>
        </w:rPr>
        <w:t>九、投标人须知的补充与修改</w:t>
      </w:r>
      <w:bookmarkEnd w:id="171"/>
      <w:bookmarkEnd w:id="172"/>
      <w:bookmarkEnd w:id="173"/>
      <w:bookmarkEnd w:id="174"/>
    </w:p>
    <w:p w14:paraId="2FB09129">
      <w:pPr>
        <w:wordWrap w:val="0"/>
        <w:spacing w:line="360" w:lineRule="auto"/>
        <w:ind w:firstLine="482" w:firstLineChars="200"/>
        <w:outlineLvl w:val="2"/>
        <w:rPr>
          <w:rFonts w:ascii="宋体" w:hAnsi="宋体" w:cs="宋体"/>
          <w:b/>
          <w:bCs/>
          <w:snapToGrid w:val="0"/>
          <w:color w:val="auto"/>
          <w:kern w:val="0"/>
          <w:sz w:val="24"/>
          <w:szCs w:val="24"/>
          <w:highlight w:val="none"/>
        </w:rPr>
      </w:pPr>
      <w:bookmarkStart w:id="179" w:name="_Toc220232391"/>
      <w:bookmarkStart w:id="180" w:name="_Toc482084472"/>
      <w:r>
        <w:rPr>
          <w:rFonts w:hint="eastAsia" w:ascii="宋体" w:hAnsi="宋体" w:cs="宋体"/>
          <w:b/>
          <w:bCs/>
          <w:snapToGrid w:val="0"/>
          <w:color w:val="auto"/>
          <w:kern w:val="0"/>
          <w:sz w:val="24"/>
          <w:szCs w:val="24"/>
          <w:highlight w:val="none"/>
        </w:rPr>
        <w:t>31、未尽事宜</w:t>
      </w:r>
    </w:p>
    <w:p w14:paraId="410B3613">
      <w:pPr>
        <w:wordWrap w:val="0"/>
        <w:spacing w:line="360" w:lineRule="auto"/>
        <w:ind w:firstLine="480" w:firstLineChars="200"/>
        <w:rPr>
          <w:rFonts w:ascii="宋体" w:hAnsi="宋体" w:cs="宋体"/>
          <w:bCs/>
          <w:snapToGrid w:val="0"/>
          <w:color w:val="auto"/>
          <w:kern w:val="0"/>
          <w:sz w:val="24"/>
          <w:szCs w:val="24"/>
          <w:highlight w:val="none"/>
        </w:rPr>
      </w:pPr>
      <w:r>
        <w:rPr>
          <w:rFonts w:hint="eastAsia" w:ascii="宋体" w:hAnsi="宋体" w:cs="宋体"/>
          <w:snapToGrid w:val="0"/>
          <w:color w:val="auto"/>
          <w:kern w:val="0"/>
          <w:sz w:val="24"/>
          <w:szCs w:val="24"/>
          <w:highlight w:val="none"/>
        </w:rPr>
        <w:t>如以上投标人须知不能满足项目的要求，可以增加投标人须知补充事项。投标人除</w:t>
      </w:r>
      <w:r>
        <w:rPr>
          <w:rFonts w:hint="eastAsia" w:ascii="宋体" w:hAnsi="宋体" w:cs="宋体"/>
          <w:bCs/>
          <w:snapToGrid w:val="0"/>
          <w:color w:val="auto"/>
          <w:kern w:val="0"/>
          <w:sz w:val="24"/>
          <w:szCs w:val="24"/>
          <w:highlight w:val="none"/>
        </w:rPr>
        <w:t>认真阅读投标人须知外还必须认真阅读本补充事项，如投标人须知与本补充事项有抵触，以本补充事项为准。</w:t>
      </w:r>
    </w:p>
    <w:bookmarkEnd w:id="179"/>
    <w:bookmarkEnd w:id="180"/>
    <w:p w14:paraId="7D6C5358">
      <w:pPr>
        <w:wordWrap w:val="0"/>
        <w:rPr>
          <w:rFonts w:ascii="宋体" w:hAnsi="宋体" w:cs="宋体"/>
          <w:snapToGrid w:val="0"/>
          <w:color w:val="auto"/>
          <w:kern w:val="0"/>
          <w:highlight w:val="none"/>
        </w:rPr>
      </w:pPr>
      <w:r>
        <w:rPr>
          <w:rFonts w:hint="eastAsia" w:ascii="宋体" w:hAnsi="宋体" w:cs="宋体"/>
          <w:snapToGrid w:val="0"/>
          <w:color w:val="auto"/>
          <w:kern w:val="0"/>
          <w:highlight w:val="none"/>
        </w:rPr>
        <w:br w:type="page"/>
      </w:r>
    </w:p>
    <w:p w14:paraId="6715E371">
      <w:pPr>
        <w:pStyle w:val="7"/>
        <w:outlineLvl w:val="0"/>
        <w:rPr>
          <w:snapToGrid w:val="0"/>
          <w:color w:val="auto"/>
          <w:kern w:val="0"/>
          <w:highlight w:val="none"/>
        </w:rPr>
      </w:pPr>
      <w:bookmarkStart w:id="181" w:name="_Toc9944"/>
      <w:r>
        <w:rPr>
          <w:rFonts w:hint="eastAsia"/>
          <w:snapToGrid w:val="0"/>
          <w:color w:val="auto"/>
          <w:kern w:val="0"/>
          <w:highlight w:val="none"/>
        </w:rPr>
        <w:t>第六章 采购合同</w:t>
      </w:r>
      <w:bookmarkEnd w:id="175"/>
      <w:bookmarkEnd w:id="176"/>
      <w:bookmarkEnd w:id="177"/>
      <w:bookmarkEnd w:id="181"/>
    </w:p>
    <w:p w14:paraId="7257432C">
      <w:pPr>
        <w:wordWrap w:val="0"/>
        <w:spacing w:line="360" w:lineRule="auto"/>
        <w:jc w:val="center"/>
        <w:outlineLvl w:val="1"/>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皖北卫生职业学院</w:t>
      </w:r>
      <w:r>
        <w:rPr>
          <w:rFonts w:hint="eastAsia" w:ascii="宋体" w:hAnsi="宋体" w:cs="宋体"/>
          <w:b/>
          <w:bCs/>
          <w:snapToGrid w:val="0"/>
          <w:color w:val="auto"/>
          <w:kern w:val="0"/>
          <w:sz w:val="28"/>
          <w:szCs w:val="28"/>
          <w:highlight w:val="none"/>
          <w:lang w:eastAsia="zh-CN"/>
        </w:rPr>
        <w:t>第一食堂</w:t>
      </w:r>
      <w:r>
        <w:rPr>
          <w:rFonts w:hint="eastAsia" w:ascii="宋体" w:hAnsi="宋体" w:cs="宋体"/>
          <w:b/>
          <w:bCs/>
          <w:snapToGrid w:val="0"/>
          <w:color w:val="auto"/>
          <w:kern w:val="0"/>
          <w:sz w:val="28"/>
          <w:szCs w:val="28"/>
          <w:highlight w:val="none"/>
        </w:rPr>
        <w:t>经营服务项目合同（样本）</w:t>
      </w:r>
    </w:p>
    <w:p w14:paraId="77C4D75C">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第一条 合同的主体</w:t>
      </w:r>
    </w:p>
    <w:p w14:paraId="25BDF101">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甲方：</w:t>
      </w:r>
      <w:r>
        <w:rPr>
          <w:rFonts w:hint="eastAsia" w:ascii="宋体" w:hAnsi="宋体" w:cs="宋体"/>
          <w:snapToGrid w:val="0"/>
          <w:color w:val="auto"/>
          <w:kern w:val="0"/>
          <w:szCs w:val="21"/>
          <w:highlight w:val="none"/>
          <w:u w:val="single"/>
        </w:rPr>
        <w:t>　皖北卫生职业学院　　　</w:t>
      </w:r>
      <w:r>
        <w:rPr>
          <w:rFonts w:hint="eastAsia" w:ascii="宋体" w:hAnsi="宋体" w:cs="宋体"/>
          <w:snapToGrid w:val="0"/>
          <w:color w:val="auto"/>
          <w:kern w:val="0"/>
          <w:szCs w:val="21"/>
          <w:highlight w:val="none"/>
        </w:rPr>
        <w:t>（以下简称甲方）</w:t>
      </w:r>
    </w:p>
    <w:p w14:paraId="7AC6B0A5">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乙方：</w:t>
      </w:r>
      <w:r>
        <w:rPr>
          <w:rFonts w:hint="eastAsia" w:ascii="宋体" w:hAnsi="宋体" w:cs="宋体"/>
          <w:snapToGrid w:val="0"/>
          <w:color w:val="auto"/>
          <w:kern w:val="0"/>
          <w:szCs w:val="21"/>
          <w:highlight w:val="none"/>
          <w:u w:val="single"/>
        </w:rPr>
        <w:t>　　　　　　　　　　</w:t>
      </w:r>
      <w:r>
        <w:rPr>
          <w:rFonts w:hint="eastAsia" w:ascii="宋体" w:hAnsi="宋体" w:cs="宋体"/>
          <w:snapToGrid w:val="0"/>
          <w:color w:val="auto"/>
          <w:kern w:val="0"/>
          <w:szCs w:val="21"/>
          <w:highlight w:val="none"/>
        </w:rPr>
        <w:t>（以下简称乙方）</w:t>
      </w:r>
    </w:p>
    <w:p w14:paraId="40205A9D">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第二条 合同宗旨及原则</w:t>
      </w:r>
    </w:p>
    <w:p w14:paraId="651AA0C9">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甲乙双方按照中华人民共和国有关法律，根据平等互利原则，经友好协商，甲方将皖北卫生职业学院</w:t>
      </w:r>
      <w:r>
        <w:rPr>
          <w:rFonts w:hint="eastAsia" w:ascii="宋体" w:hAnsi="宋体" w:cs="宋体"/>
          <w:snapToGrid w:val="0"/>
          <w:color w:val="auto"/>
          <w:kern w:val="0"/>
          <w:szCs w:val="21"/>
          <w:highlight w:val="none"/>
          <w:lang w:eastAsia="zh-CN"/>
        </w:rPr>
        <w:t>第一食堂</w:t>
      </w:r>
      <w:r>
        <w:rPr>
          <w:rFonts w:hint="eastAsia" w:ascii="宋体" w:hAnsi="宋体" w:cs="宋体"/>
          <w:snapToGrid w:val="0"/>
          <w:color w:val="auto"/>
          <w:kern w:val="0"/>
          <w:szCs w:val="21"/>
          <w:highlight w:val="none"/>
        </w:rPr>
        <w:t>经营服务项目发包给乙方，乙方自愿承包，为明确双方的权利和义务，达成如下协议。</w:t>
      </w:r>
    </w:p>
    <w:p w14:paraId="3C31BE35">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第三条 合同范围和要求</w:t>
      </w:r>
    </w:p>
    <w:p w14:paraId="75DE61CB">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合同规定的内容是乙方为皖北卫生职业学院学生提供早餐、午餐、晚餐服务，并负责所属区域的卫生保洁。操作中必须严格遵守《中华人民共和国食品安全法》和《餐饮业食品卫生管理办法》《环境卫生保护法》《学校食品安全与营养健康管理规定》以及其它现行的安徽省、宿州市相关法律法规。</w:t>
      </w:r>
    </w:p>
    <w:p w14:paraId="46C0067F">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第四条 合同履行期限及管理费用</w:t>
      </w:r>
    </w:p>
    <w:p w14:paraId="3A223373">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1、本合同期限：</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年（2+1），即自</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日起至</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日止。中标后先签订2年经营服务合同，即自</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日起至</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日止</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经营期间每年由学校总务处等相关部门进行师生满意度考核，对综合满意度达到80%以上（含80%），且前2年合同期内无重大食品安全事件；被校方因食品安全负面问题书面约谈整改不多于3次；被省、市、区市场监管等部门立案查处不多于1次且及时整改落实的，经学校研究同意可以续签第3年合同。乙方应自合同期签订之日起30日内到食品卫生监督部门办理《食品经营许可证》。</w:t>
      </w:r>
    </w:p>
    <w:p w14:paraId="458807EF">
      <w:pPr>
        <w:pStyle w:val="2"/>
        <w:ind w:left="0" w:leftChars="0"/>
        <w:rPr>
          <w:rFonts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2、管理费用：</w:t>
      </w:r>
    </w:p>
    <w:p w14:paraId="0CC991BF">
      <w:pPr>
        <w:pStyle w:val="2"/>
        <w:ind w:left="0" w:leftChars="0"/>
        <w:rPr>
          <w:rFonts w:hint="default"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highlight w:val="none"/>
        </w:rPr>
        <w:t>3、履约保证金：</w:t>
      </w:r>
      <w:r>
        <w:rPr>
          <w:rFonts w:hint="eastAsia" w:ascii="宋体" w:hAnsi="宋体" w:eastAsia="宋体" w:cs="宋体"/>
          <w:snapToGrid w:val="0"/>
          <w:color w:val="auto"/>
          <w:kern w:val="0"/>
          <w:sz w:val="21"/>
          <w:szCs w:val="21"/>
          <w:highlight w:val="none"/>
          <w:lang w:val="en-US" w:eastAsia="zh-CN"/>
        </w:rPr>
        <w:t>44万</w:t>
      </w:r>
    </w:p>
    <w:p w14:paraId="3DD7B28E">
      <w:pPr>
        <w:pStyle w:val="5"/>
        <w:ind w:leftChars="200" w:firstLine="0"/>
        <w:rPr>
          <w:rFonts w:ascii="宋体" w:hAnsi="宋体" w:eastAsia="宋体" w:cs="宋体"/>
          <w:snapToGrid w:val="0"/>
          <w:color w:val="auto"/>
          <w:kern w:val="0"/>
          <w:sz w:val="21"/>
          <w:szCs w:val="21"/>
          <w:highlight w:val="none"/>
        </w:rPr>
      </w:pPr>
    </w:p>
    <w:p w14:paraId="76B983BD">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第五条 工作内容和标准</w:t>
      </w:r>
    </w:p>
    <w:p w14:paraId="0B3334E2">
      <w:pPr>
        <w:wordWrap w:val="0"/>
        <w:spacing w:line="360" w:lineRule="auto"/>
        <w:ind w:firstLine="422" w:firstLineChars="200"/>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1、环境与卫生</w:t>
      </w:r>
    </w:p>
    <w:p w14:paraId="7C0DBFF5">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1.1承包企业按照合同约定为招标人提供满意的餐饮服务。食品加工、制作、经营须严格遵守《中华人民共和国食品安全法》、《餐饮业食品卫生管理办法》和《环境卫生保护法》以及其它现行的相关法规、规定。</w:t>
      </w:r>
    </w:p>
    <w:p w14:paraId="02312981">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按照质量管理体系和食品安全管理体系要求，承包企业应做好从食品验收入库、领用加工、成品出菜以及餐饮具的清洗消毒、人员的卫生健康和环境的卫生等工作，检査督促餐饮服务的每个环节的工作，并做好相关记录。</w:t>
      </w:r>
    </w:p>
    <w:p w14:paraId="268947D3">
      <w:pPr>
        <w:wordWrap w:val="0"/>
        <w:spacing w:line="360" w:lineRule="auto"/>
        <w:ind w:firstLine="422" w:firstLineChars="200"/>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2、人员配备及管理要求</w:t>
      </w:r>
    </w:p>
    <w:p w14:paraId="28233171">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为了保障食堂餐饮服务工作的顺利开展，承包企业为本项目食堂配备的人员必须确保能满足招标人食堂正常运行和保障学生正常就餐。承包企业在投标时响应的配备人员在中标后必须全部到岗，否则履约保证金不予退还。承包企业须根据实际就餐人数及规模匹配对应人员，人员数量及岗位必须满足项目实际需求。</w:t>
      </w:r>
    </w:p>
    <w:p w14:paraId="62707A73">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食堂工作人员由承包企业自行招聘和管理，所聘工作人员劳动合同的签订、工资、社保和福利的发放、劳务纠纷的处理等相关经济和法律责任均由承包企业自行解决。食堂内的工作人员属于承包企业的员工，与招标人不存在任何雇佣、委托等劳动关系，食堂工作人员的人身安全责任由承包企业负责。承包企业不得无故拖欠工资，招标人有权对食堂用工情况进行监督和检查。</w:t>
      </w:r>
    </w:p>
    <w:p w14:paraId="006C865F">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本项目配备的所有员工都要经过卫生防疫部门的体检、办理健康证方能上岗；同时承包企业应按时到卫生防疫部门办理食堂经营许可的年检手续，接受卫生防疫部门的现检，其体检、抽检和年检等费用由承包企业自理。</w:t>
      </w:r>
    </w:p>
    <w:p w14:paraId="4C919405">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2.4承包企业要对食堂员工的思想道德、业务素质、安全健康等进行全面管理，所有人员应规范服务操作程序，做到文明用语、礼貌服务。</w:t>
      </w:r>
    </w:p>
    <w:p w14:paraId="3116C542">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承包企业应对员工进行岗前培训、在岗培训、转岗培训，以达到相应的岗位技能要求。针对加工制作过程中对安全隐患较大的设备，如和面机、压面机、切菜机、烤箱等机械设备应安排专人操作，上岗前必须培训到位，否则如出现重大安全事故由承包企业自行负责善后。</w:t>
      </w:r>
    </w:p>
    <w:p w14:paraId="6D635223">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2.6食品安全管理人员的设置应符合《重大活动餐饮服务食品安全监督管理规范》的要求。</w:t>
      </w:r>
    </w:p>
    <w:p w14:paraId="1478166D">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2.7项目经理必须亲自参与现场管理，每天到总务处考勤，请假每月不得超过三天，项目负责人一年内不得辞职或调离。</w:t>
      </w:r>
    </w:p>
    <w:p w14:paraId="31287A78">
      <w:pPr>
        <w:wordWrap w:val="0"/>
        <w:spacing w:line="360" w:lineRule="auto"/>
        <w:ind w:firstLine="422" w:firstLineChars="200"/>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3、采购渠道</w:t>
      </w:r>
    </w:p>
    <w:p w14:paraId="4553BE6D">
      <w:pPr>
        <w:wordWrap w:val="0"/>
        <w:spacing w:line="360" w:lineRule="auto"/>
        <w:ind w:firstLine="420" w:firstLineChars="200"/>
        <w:rPr>
          <w:rFonts w:ascii="宋体" w:hAnsi="宋体" w:cs="宋体"/>
          <w:b/>
          <w:bCs/>
          <w:snapToGrid w:val="0"/>
          <w:color w:val="auto"/>
          <w:kern w:val="0"/>
          <w:sz w:val="21"/>
          <w:szCs w:val="21"/>
          <w:highlight w:val="none"/>
        </w:rPr>
      </w:pPr>
      <w:r>
        <w:rPr>
          <w:rFonts w:hint="eastAsia" w:ascii="宋体" w:hAnsi="宋体" w:cs="宋体"/>
          <w:snapToGrid w:val="0"/>
          <w:color w:val="auto"/>
          <w:kern w:val="0"/>
          <w:szCs w:val="21"/>
          <w:highlight w:val="none"/>
        </w:rPr>
        <w:t>承包企业用于食堂的原材料必须符合食品安全的要求，有稳定的进货、调货渠道且经过检验检疫；具有规范的食品及原料管理制度，所有原材料供应必须“三证”齐全（卫生许可证、食品检验合格证、产地来源证），建档立案备查；对采购的蔬菜进行农药残留检测，用农药速测仪器对每批蔬菜抽检，对超标蔬菜现场销毁，并建立记录；对原材料价格和农残情况定期进行公示。调料、配料必须是正规厂家生产的合格产品；</w:t>
      </w:r>
      <w:r>
        <w:rPr>
          <w:rFonts w:hint="eastAsia" w:ascii="宋体" w:hAnsi="宋体" w:cs="宋体"/>
          <w:b/>
          <w:bCs/>
          <w:snapToGrid w:val="0"/>
          <w:color w:val="auto"/>
          <w:kern w:val="0"/>
          <w:sz w:val="21"/>
          <w:szCs w:val="21"/>
          <w:highlight w:val="none"/>
        </w:rPr>
        <w:t>本项目所有食材禁止使用转基因原料。如发现使用转基因原料或食品，则招标人有权解除合同并对承包企业处以罚款。</w:t>
      </w:r>
    </w:p>
    <w:p w14:paraId="604EB5EC">
      <w:pPr>
        <w:wordWrap w:val="0"/>
        <w:spacing w:line="360" w:lineRule="auto"/>
        <w:ind w:firstLine="422" w:firstLineChars="200"/>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4、菜品供应</w:t>
      </w:r>
    </w:p>
    <w:p w14:paraId="19277AEE">
      <w:pPr>
        <w:wordWrap w:val="0"/>
        <w:spacing w:line="360" w:lineRule="auto"/>
        <w:ind w:firstLine="420" w:firstLineChars="200"/>
        <w:outlineLvl w:val="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4.1每周菜谱、菜价、消耗品等提前确定并报招标人审核。</w:t>
      </w:r>
    </w:p>
    <w:p w14:paraId="0209D454">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4.2菜肴的荤素搭配合理，每天不重复，每周重复率不高于30%(素菜除外）。</w:t>
      </w:r>
    </w:p>
    <w:p w14:paraId="3335F156">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4.3根据季节变化和就餐人反馈信息、意见，及时更换菜肴的口味、调整餐品品种。</w:t>
      </w:r>
    </w:p>
    <w:p w14:paraId="060773D0">
      <w:pPr>
        <w:wordWrap w:val="0"/>
        <w:spacing w:line="360" w:lineRule="auto"/>
        <w:ind w:firstLine="42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1"/>
          <w:szCs w:val="21"/>
          <w:highlight w:val="none"/>
        </w:rPr>
        <w:t>4.4基本大伙售饭档口占比全部档口比例不低于60%；不得未经学校同意，减少大伙档口和饭菜花色品种，改为特色档口，而导致学生就餐困难和饭菜价格隐形增加，否则视为违约，学院有权解除合同并扣除履约保证金作为处罚。</w:t>
      </w:r>
    </w:p>
    <w:p w14:paraId="4B6EA18F">
      <w:pPr>
        <w:wordWrap w:val="0"/>
        <w:spacing w:line="360" w:lineRule="auto"/>
        <w:ind w:firstLine="422" w:firstLineChars="200"/>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5、安全管理</w:t>
      </w:r>
    </w:p>
    <w:p w14:paraId="18794B52">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5.1承包企业负责食堂用餐安全，有完善的质量安全保障体系和有效监管措施。</w:t>
      </w:r>
    </w:p>
    <w:p w14:paraId="56A8E290">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承包企业必须自行做好安全、防盗、防火等工作；划分消防责任区、指定消防责任人，负责食堂经营范围内及招标人指定区域内的防火安全，负责培训员工熟练掌握消防设施、器材的使用方法，如发生失窃、火灾、食物中毒等事故，造成的一切后果及损失均由承包企业自行承担。</w:t>
      </w:r>
    </w:p>
    <w:p w14:paraId="143A0140">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5.3承包企业的工作人员在工作及生活中出现任何事故、意外伤害及违法行为，均由承包企业负责，招标人不承担任何责任。如因承包企业原因造成人员伤害或伤亡的，由承包企业承担。</w:t>
      </w:r>
    </w:p>
    <w:p w14:paraId="4E224814">
      <w:pPr>
        <w:wordWrap w:val="0"/>
        <w:spacing w:line="360" w:lineRule="auto"/>
        <w:ind w:firstLine="422" w:firstLineChars="200"/>
        <w:outlineLvl w:val="2"/>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6、应急措施</w:t>
      </w:r>
    </w:p>
    <w:p w14:paraId="76A59F88">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承包企业负责落实食堂经营范围内及招标人指定区域的卫生工作（含周边环境、烟道、下水道、隔油池、厕所等），建立和健全一整套生产管理、卫生管理和安全管理制度；制定防断餐应急预案，建立加工制作人员与售卖人员的信息沟通渠道；制定突发公共卫生安全、食品安全事件、停电、停水、停气、员工罢工等情况应急预案，并定期演练。</w:t>
      </w:r>
    </w:p>
    <w:p w14:paraId="5FA2D120">
      <w:pPr>
        <w:wordWrap w:val="0"/>
        <w:spacing w:line="360" w:lineRule="auto"/>
        <w:ind w:firstLine="422" w:firstLineChars="200"/>
        <w:outlineLvl w:val="2"/>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7、经营管理</w:t>
      </w:r>
    </w:p>
    <w:p w14:paraId="58CBFAA2">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7.1餐饮人员服务程序操作规范，文明用语、礼貌服务、热情、周到、便捷。</w:t>
      </w:r>
    </w:p>
    <w:p w14:paraId="6C13A5A4">
      <w:pPr>
        <w:wordWrap w:val="0"/>
        <w:spacing w:line="360" w:lineRule="auto"/>
        <w:ind w:firstLine="420" w:firstLineChars="200"/>
        <w:outlineLvl w:val="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7.2创造文明就餐的食堂文化氛围，食堂就餐秩序良好。</w:t>
      </w:r>
    </w:p>
    <w:p w14:paraId="2953E170">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7.3定期主动了解就餐人员的要求，配合做好就餐人员满意程度调查。</w:t>
      </w:r>
    </w:p>
    <w:p w14:paraId="79E900D5">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7.4开餐前，餐厅地面、桌椅卫生达标。用餐后，及时清理桌面、地面卫生，用清洁剂搞好现场卫生，确保每餐的卫生整洁。</w:t>
      </w:r>
    </w:p>
    <w:p w14:paraId="31ED572F">
      <w:pPr>
        <w:wordWrap w:val="0"/>
        <w:spacing w:line="360" w:lineRule="auto"/>
        <w:ind w:firstLine="420" w:firstLineChars="200"/>
        <w:outlineLvl w:val="3"/>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7.5严格控制餐厨废弃物的流向，做好分类处理和回收利用工作。</w:t>
      </w:r>
    </w:p>
    <w:p w14:paraId="735D67CC">
      <w:pPr>
        <w:wordWrap w:val="0"/>
        <w:spacing w:line="360" w:lineRule="auto"/>
        <w:ind w:firstLine="420" w:firstLineChars="200"/>
        <w:rPr>
          <w:rFonts w:hint="eastAsia" w:ascii="宋体" w:hAnsi="宋体" w:cs="宋体"/>
          <w:b/>
          <w:bCs/>
          <w:snapToGrid w:val="0"/>
          <w:color w:val="auto"/>
          <w:kern w:val="0"/>
          <w:szCs w:val="21"/>
          <w:highlight w:val="none"/>
        </w:rPr>
      </w:pPr>
      <w:r>
        <w:rPr>
          <w:rFonts w:hint="eastAsia" w:ascii="宋体" w:hAnsi="宋体" w:cs="宋体"/>
          <w:snapToGrid w:val="0"/>
          <w:color w:val="auto"/>
          <w:kern w:val="0"/>
          <w:szCs w:val="21"/>
          <w:highlight w:val="none"/>
          <w:lang w:val="en-US" w:eastAsia="zh-CN"/>
        </w:rPr>
        <w:t>7.6</w:t>
      </w:r>
      <w:r>
        <w:rPr>
          <w:rFonts w:hint="eastAsia" w:ascii="宋体" w:hAnsi="宋体" w:cs="宋体"/>
          <w:snapToGrid w:val="0"/>
          <w:color w:val="auto"/>
          <w:kern w:val="0"/>
          <w:szCs w:val="21"/>
          <w:highlight w:val="none"/>
        </w:rPr>
        <w:t>经营方从事的经营服务范围只限于餐饮服务，不得从事瓶装矿泉水、水果、方便面、袋装零食等校园超市售卖物品类其它非加工制作餐饮品项目的销售服务。每发现一次扣除履约金500元，情况严重屡犯不改者学校有权解除合同。</w:t>
      </w:r>
    </w:p>
    <w:p w14:paraId="7E9F0CE0">
      <w:pPr>
        <w:wordWrap w:val="0"/>
        <w:spacing w:line="360" w:lineRule="auto"/>
        <w:ind w:firstLine="422" w:firstLineChars="200"/>
        <w:outlineLvl w:val="2"/>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8、设备设施管理</w:t>
      </w:r>
    </w:p>
    <w:p w14:paraId="0D16FD4F">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8.1承包企业为经营所提供的所有设施设备需开具清单备份给招标人，装修完成后招标人抽取第三方公司对承包企业的装饰装修投入进行审计，按照投标文件承诺进行验收，验收合格后，承包企业方可投入使用。若审计后费用未达投标承诺，则视为违约或中标承包企业将差额费用补足给招标人。承包企业必须对食堂售卖间、操作间及后堂所有水电气、明厨亮灶、中央空调等设施设备进行保养、维护，费用由承包企业承担；建筑屋顶漏水、外墙脱落、房屋结构出现安全隐患，进入食堂后厨前水电气管道破损由招标人负责维修更新。承包企业须保证设备完好率达100%，维修及时率达100%。承包企业负责水、电、气、消防设施等的日常清洁保养，并承担上述设备设施因非正常折旧而损坏的维修费用。</w:t>
      </w:r>
    </w:p>
    <w:p w14:paraId="7579A26E">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8.2餐厨具以及办公设备等全部由承包企业根据用餐人数规模自行配备，定期对损坏的物品予以更新。合同期满后，承包企业可按清单将自己添置的设备带走。但拆除时不得损坏招标人食堂墙面、地面建筑结构和水电等管线。</w:t>
      </w:r>
    </w:p>
    <w:p w14:paraId="4B1F764F">
      <w:pPr>
        <w:wordWrap w:val="0"/>
        <w:spacing w:line="360" w:lineRule="auto"/>
        <w:ind w:firstLine="422" w:firstLineChars="200"/>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9、食堂财务管理</w:t>
      </w:r>
    </w:p>
    <w:p w14:paraId="217B91AA">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9.1承包企业必须对本项目进行独立核算，建立规范的财务管理制度，并对每日产生的所有费用建立日台账，主动接受招标人的监督和检查。</w:t>
      </w:r>
    </w:p>
    <w:p w14:paraId="26E27BC7">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9.2实行餐卡校园一卡通管理制度，就餐人员一人一卡，实行刷卡就餐，承包企业不得私自进行企业微信、档口支付宝或现金收费。每发现一例扣除履约金500元；餐卡及刷卡设备由招标人投入建设，承包企业智慧食堂支付系统自行建设，若额外增加档口一卡通刷卡设备则自行联系一卡通系统采购安装。</w:t>
      </w:r>
    </w:p>
    <w:p w14:paraId="1A841177">
      <w:pPr>
        <w:wordWrap w:val="0"/>
        <w:spacing w:line="360" w:lineRule="auto"/>
        <w:ind w:firstLine="422" w:firstLineChars="200"/>
        <w:outlineLvl w:val="2"/>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10、风险责任承诺</w:t>
      </w:r>
    </w:p>
    <w:p w14:paraId="234888EE">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10.1承包企业必须对经营风险承担全部的后果，并对有关食品卫生安全责任做出明确的承诺。</w:t>
      </w:r>
    </w:p>
    <w:p w14:paraId="56B8DCED">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10.2承包企业要按招标文件中的条款和双方签订的合同规定，承担全部的安全、卫生、质量、效益、风险等责任。</w:t>
      </w:r>
    </w:p>
    <w:p w14:paraId="0A0771CA">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10.3承包企业在经营过程中与外界或与档口经营人员发生的一切债权、债务等纠纷均与招标人无关。</w:t>
      </w:r>
    </w:p>
    <w:p w14:paraId="44B451BC">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10.4除不可抗力因素外，承包企业不得以任何理由不按时或不充足供应食堂膳食，否则视为违反合同。</w:t>
      </w:r>
    </w:p>
    <w:p w14:paraId="32C9EC2A">
      <w:pPr>
        <w:wordWrap w:val="0"/>
        <w:spacing w:line="360" w:lineRule="auto"/>
        <w:ind w:firstLine="422" w:firstLineChars="200"/>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11、监督管理与考核办法</w:t>
      </w:r>
    </w:p>
    <w:p w14:paraId="16DA43A9">
      <w:pPr>
        <w:wordWrap w:val="0"/>
        <w:spacing w:line="360" w:lineRule="auto"/>
        <w:ind w:firstLine="420" w:firstLineChars="200"/>
        <w:outlineLvl w:val="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11.1监督体系</w:t>
      </w:r>
    </w:p>
    <w:p w14:paraId="34C6A435">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承包企业经营活动须符合招标人相关管理制度的规定。承包企业必须接受招标人的监督与管理，积极配合开展工作，自觉接受对财务管理、食材管理、生产流程、卫生消毒、供应价格、服务规范等方面的全方位监控。</w:t>
      </w:r>
    </w:p>
    <w:p w14:paraId="2CBBFAAB">
      <w:pPr>
        <w:wordWrap w:val="0"/>
        <w:spacing w:line="360" w:lineRule="auto"/>
        <w:ind w:firstLine="420" w:firstLineChars="200"/>
        <w:outlineLvl w:val="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11.2监督依据</w:t>
      </w:r>
    </w:p>
    <w:p w14:paraId="0FFFB404">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（1）国家相关法律法规；</w:t>
      </w:r>
    </w:p>
    <w:p w14:paraId="6E89C923">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（2）安徽省卫生主管部门对食堂的管理规定；</w:t>
      </w:r>
    </w:p>
    <w:p w14:paraId="34EB463F">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（3）招标人对食堂的管理规定；</w:t>
      </w:r>
    </w:p>
    <w:p w14:paraId="09A2E124">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（4）招标人和承包企业的合同、协议的约定。</w:t>
      </w:r>
    </w:p>
    <w:p w14:paraId="0E115631">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监督方式：强化日常监管，每周调度，月度量化考评，年度满意度考核。如发生群体性食品卫生安全事故、工伤事故、火灾事故，则招标人有权直接解除合同并不予退还履约保证金。因事故损失或赔偿超出履约保证金金额的，由承包企业承担全部赔偿责任。</w:t>
      </w:r>
    </w:p>
    <w:p w14:paraId="65C9DF9D">
      <w:pPr>
        <w:wordWrap w:val="0"/>
        <w:spacing w:line="360" w:lineRule="auto"/>
        <w:ind w:firstLine="422" w:firstLineChars="200"/>
        <w:outlineLvl w:val="1"/>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第六条 甲、乙双方的权利与义务</w:t>
      </w:r>
    </w:p>
    <w:p w14:paraId="2C25C46C">
      <w:pPr>
        <w:wordWrap w:val="0"/>
        <w:spacing w:line="360" w:lineRule="auto"/>
        <w:ind w:firstLine="422" w:firstLineChars="200"/>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（一）甲方的权利与义务</w:t>
      </w:r>
    </w:p>
    <w:p w14:paraId="2192CBEF">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1.甲方有权对承包该项目的专业、服务人员进行验证身份证件，有违法违纪、纹身、传染病等不适宜从事高校餐饮工作的，甲方有权要求乙方更换，否则按违约处理。</w:t>
      </w:r>
    </w:p>
    <w:p w14:paraId="2830A7DC">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2.甲方有权对承包该项目的管理人员、专业人员、服务人员进行上岗前的验证工作和日常监督管理工作；乙方所有上岗人员必须持有市卫生防疫部门颁发的有效健康证，并报甲方备案，服从甲方管理。</w:t>
      </w:r>
    </w:p>
    <w:p w14:paraId="64639422">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 甲方有权对乙方进行各种行政监督，如：卫生、安全、消防、综合治理等，以严防食物中毒事故发生，万一发生类似事故，甲方有权追究乙方的责任或终止本合同。</w:t>
      </w:r>
    </w:p>
    <w:p w14:paraId="370924AC">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甲方有权对饭菜质量、价格、卫生、服务态度、一卡通使用、经营服务范围等情况随时进行监督检查，如乙方未达到饭菜质量、价格等招标文件和合同约定的管理要求，甲方有权要求进行适量赔偿或终止本协议。</w:t>
      </w:r>
    </w:p>
    <w:p w14:paraId="7C87DD69">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5.甲方有权在乙方人员违反甲方管理规定或造成甲方损失时予以制止、劝阻，并视情节轻重要求乙方就造成的损失给予赔偿。</w:t>
      </w:r>
    </w:p>
    <w:p w14:paraId="3E8D44EC">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6.甲方为乙方提供工作必须的场所，提供水电气接入条件，配备一定的明厨亮灶设备，安装中央空调，以满足乙方安装配备灶具、消毒柜、洗碗机、冰箱、冰柜、餐桌椅等固定设施设备。</w:t>
      </w:r>
    </w:p>
    <w:p w14:paraId="63BC7314">
      <w:pPr>
        <w:wordWrap w:val="0"/>
        <w:spacing w:line="360" w:lineRule="auto"/>
        <w:ind w:firstLine="420" w:firstLineChars="200"/>
        <w:outlineLvl w:val="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7.甲方不得无故干扰乙方的正常合法经营。</w:t>
      </w:r>
    </w:p>
    <w:p w14:paraId="7181FA7A">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甲方有权要求乙方按照省市区市场监管等部门食品安全、消防安全等检查整改要求，限期乙方完成整改，乙方拒不整改或逾期整改的，甲方可以先行代为采购设备、安排人员维修进行整改，以履行学校食堂监管主体责任，所支出费用从乙方履约保证金或经营款中扣除，同时给予乙方书面约谈一次。</w:t>
      </w:r>
    </w:p>
    <w:p w14:paraId="5B8D974F">
      <w:pPr>
        <w:wordWrap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9.甲方无故单方面解除合同的，</w:t>
      </w:r>
      <w:r>
        <w:rPr>
          <w:rFonts w:hint="eastAsia" w:ascii="宋体" w:hAnsi="宋体" w:eastAsia="宋体" w:cs="宋体"/>
          <w:snapToGrid w:val="0"/>
          <w:color w:val="auto"/>
          <w:kern w:val="0"/>
          <w:szCs w:val="21"/>
          <w:highlight w:val="none"/>
        </w:rPr>
        <w:t>应向乙方支付违约金人民币拾万元整。</w:t>
      </w:r>
    </w:p>
    <w:p w14:paraId="49781D8C">
      <w:pPr>
        <w:wordWrap w:val="0"/>
        <w:spacing w:line="360" w:lineRule="auto"/>
        <w:ind w:firstLine="422" w:firstLineChars="200"/>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（二）乙方的权利与义务</w:t>
      </w:r>
    </w:p>
    <w:p w14:paraId="6D526A99">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乙方应对承包该项目的专业、服务人员进行上岗前的培训工作，进行系统的安全教育和食品加工安全卫生教育，职业道德教育；制定食品加工相关的工作程序、作业指导书、岗位职责、设备安全操作程序；在食品生产加工过程中，采取严格的安全卫生措施，安全用水、用电、用气，保证食品安全，保证不发生人身安全事故或工伤事故，否则责任全部由乙方承担。</w:t>
      </w:r>
    </w:p>
    <w:p w14:paraId="60B76AC2">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2.乙方承包该项目专业、服务人员必须持有由卫生防疫部门颁发的有效健康证，健康证必须年审，费用自理。</w:t>
      </w:r>
    </w:p>
    <w:p w14:paraId="05C6DE87">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3.乙方使用的工作人员必须仪容端正、品行良好，无违法犯罪纪录；身体健康、年龄符合国家法规要求。</w:t>
      </w:r>
    </w:p>
    <w:p w14:paraId="187DBA36">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乙方应指派管理人员每日对食品加工、制作、服务等岗位的相关专业人员工作进行检查，督促工作人员应按《中华人民共和国食品安全法》和《餐饮业食品卫生管理办法》的相关规定进行操作，并定期征求甲方对保证供餐服务工作的意见和建议，对存在的问题及时处理。</w:t>
      </w:r>
    </w:p>
    <w:p w14:paraId="325337F8">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5.乙方应在甲方规定的时间内及时供餐。由于乙方工作失误造成不能及时供餐的，甲方视情节严重程度给予乙方一定的经济处罚。</w:t>
      </w:r>
    </w:p>
    <w:p w14:paraId="04F4A5EB">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乙方应对工作人员按照公司规范化进行管理，配备统一公司服装，建立专业规范的储藏间、更衣室、留样间（柜）、洗消间、办公间、加工烹煮间和配备专业设备，规范食材采购渠道，索票索证，建立完善的档案制度和培训制度，确保食堂后厨和售卖间、餐厅布设符合食品安全和消防安全等规范，不断提高员工餐饮制作技术水平，做到态度热情诚恳，提升服务质量。</w:t>
      </w:r>
    </w:p>
    <w:p w14:paraId="7DBFFA4F">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7.乙方应对从事本公司食堂工作的员工遵照《劳动法》和《劳动合同法》等国家法律法规，办理五项基本社会保险，保障劳动者合法利益。如因用工不当造成后果，由乙方承担全部责任。</w:t>
      </w:r>
    </w:p>
    <w:p w14:paraId="22A4E37D">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8.乙方根据工作需要，需更换人员应提前15天通知甲方，项目经理一年内不得更换；更换后的工作人员满足招标文件要求，且乙方须对其进行上岗前的培训。</w:t>
      </w:r>
    </w:p>
    <w:p w14:paraId="12AFE386">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9.乙方工作人员应爱护甲方的一切设施、设备、用具，如有损坏，照价赔偿。</w:t>
      </w:r>
    </w:p>
    <w:p w14:paraId="18DE3CFB">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10.乙方工作人员必须遵守甲方规章制度，不得随意出入甲方教学生活场所及其它限定区域，如违反者，甲方可将依考核标准对乙方进行处理。</w:t>
      </w:r>
    </w:p>
    <w:p w14:paraId="2330BB97">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第七条 履约保证金</w:t>
      </w:r>
    </w:p>
    <w:p w14:paraId="29F19E09">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合同签订前7日内以转账、电汇或银行保函形式一次性缴纳履约保证金</w:t>
      </w:r>
      <w:r>
        <w:rPr>
          <w:rFonts w:hint="eastAsia" w:ascii="宋体" w:hAnsi="宋体" w:cs="宋体"/>
          <w:b/>
          <w:bCs/>
          <w:snapToGrid w:val="0"/>
          <w:color w:val="auto"/>
          <w:kern w:val="0"/>
          <w:szCs w:val="21"/>
          <w:highlight w:val="none"/>
          <w:lang w:val="en-US" w:eastAsia="zh-CN"/>
        </w:rPr>
        <w:t>44</w:t>
      </w:r>
      <w:r>
        <w:rPr>
          <w:rFonts w:hint="eastAsia" w:ascii="宋体" w:hAnsi="宋体" w:cs="宋体"/>
          <w:b/>
          <w:bCs/>
          <w:snapToGrid w:val="0"/>
          <w:color w:val="auto"/>
          <w:kern w:val="0"/>
          <w:szCs w:val="21"/>
          <w:highlight w:val="none"/>
        </w:rPr>
        <w:t>万元，待合同期满扣除相关违约金（如有）后15日内无息返还。</w:t>
      </w:r>
    </w:p>
    <w:p w14:paraId="7C390F6A">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第八条 承包该项目的支付方式</w:t>
      </w:r>
    </w:p>
    <w:p w14:paraId="3D0BDA64">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1、乙方自负盈亏，自主经营，菜品按照投标文件合理定价，执行明码标价，接受甲方审核。如在合同执行过程中因物价上涨原因，导致菜品价格上涨，可在甲方总务处审核同意后，最多上涨幅度</w:t>
      </w:r>
      <w:r>
        <w:rPr>
          <w:rFonts w:hint="eastAsia" w:ascii="宋体" w:hAnsi="宋体" w:cs="宋体"/>
          <w:snapToGrid w:val="0"/>
          <w:color w:val="auto"/>
          <w:kern w:val="0"/>
          <w:szCs w:val="21"/>
          <w:highlight w:val="none"/>
          <w:lang w:eastAsia="zh-CN"/>
        </w:rPr>
        <w:t>不多于</w:t>
      </w:r>
      <w:r>
        <w:rPr>
          <w:rFonts w:hint="eastAsia" w:ascii="宋体" w:hAnsi="宋体" w:cs="宋体"/>
          <w:snapToGrid w:val="0"/>
          <w:color w:val="auto"/>
          <w:kern w:val="0"/>
          <w:szCs w:val="21"/>
          <w:highlight w:val="none"/>
        </w:rPr>
        <w:t>投标报价表的30%。</w:t>
      </w:r>
    </w:p>
    <w:p w14:paraId="1A5E90FE">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2、经营收入统一进入甲方指定账户，由甲方每月与乙方进行结算。甲方每月10日前后与乙方结算上月餐费。</w:t>
      </w:r>
    </w:p>
    <w:p w14:paraId="522CD17F">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第九条 违约责任</w:t>
      </w:r>
    </w:p>
    <w:p w14:paraId="08710076">
      <w:pPr>
        <w:wordWrap w:val="0"/>
        <w:spacing w:line="360" w:lineRule="auto"/>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1、甲乙双方约定食堂经营起始日期为</w:t>
      </w:r>
      <w:r>
        <w:rPr>
          <w:rFonts w:hint="eastAsia" w:ascii="宋体" w:hAnsi="宋体" w:cs="宋体"/>
          <w:snapToGrid w:val="0"/>
          <w:color w:val="auto"/>
          <w:kern w:val="0"/>
          <w:sz w:val="21"/>
          <w:szCs w:val="21"/>
          <w:highlight w:val="none"/>
          <w:lang w:val="en-US" w:eastAsia="zh-CN"/>
        </w:rPr>
        <w:t xml:space="preserve">  </w:t>
      </w:r>
      <w:r>
        <w:rPr>
          <w:rFonts w:hint="eastAsia" w:ascii="宋体" w:hAnsi="宋体" w:cs="宋体"/>
          <w:snapToGrid w:val="0"/>
          <w:color w:val="auto"/>
          <w:kern w:val="0"/>
          <w:sz w:val="21"/>
          <w:szCs w:val="21"/>
          <w:highlight w:val="none"/>
          <w:u w:val="single"/>
        </w:rPr>
        <w:t xml:space="preserve">年 </w:t>
      </w:r>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u w:val="single"/>
        </w:rPr>
        <w:t xml:space="preserve">月 </w:t>
      </w:r>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u w:val="single"/>
        </w:rPr>
        <w:t>日</w:t>
      </w:r>
      <w:r>
        <w:rPr>
          <w:rFonts w:hint="eastAsia" w:ascii="宋体" w:hAnsi="宋体" w:cs="宋体"/>
          <w:snapToGrid w:val="0"/>
          <w:color w:val="auto"/>
          <w:kern w:val="0"/>
          <w:sz w:val="21"/>
          <w:szCs w:val="21"/>
          <w:highlight w:val="none"/>
        </w:rPr>
        <w:t>，自甲乙双方约定的经营开始之日起，乙方逾期履行的，每推迟一天应支付违约金5000元，逾期7天不履行，甲方有权解除合同，由此给甲方造成的实际损失超过履约金的，包括合同履行后可以获得的利益，乙方均应予以赔偿。</w:t>
      </w:r>
    </w:p>
    <w:p w14:paraId="12A7872B">
      <w:pPr>
        <w:wordWrap w:val="0"/>
        <w:spacing w:line="360" w:lineRule="auto"/>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乙方因不可抗力不能履行合同的，应当及时通知甲方，以减轻可能给对方造成的损失，并应当在不可抗力发生后的10天内提供证明。</w:t>
      </w:r>
    </w:p>
    <w:p w14:paraId="37DE0133">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乙方应实际、全面履行本合同约定的义务，否则，甲方有权不予退还乙方履约保证金；乙方除承担赔偿损失责任外，甲方有权要求乙方承担（但不限于）修理、更换、重做、减少价款或者报酬或承担继续履行、采取补救措施等违约责任。</w:t>
      </w:r>
    </w:p>
    <w:p w14:paraId="69FF8EA3">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3、乙方在经营过程中发生食品卫生安全事故、工伤事故、火灾事故等事故的，所产生的医疗费用、赔偿费用由乙方承担。给甲方财产造成损失的，按原价予以赔偿。</w:t>
      </w:r>
    </w:p>
    <w:p w14:paraId="2D393767">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第十条 合同终止及解除</w:t>
      </w:r>
    </w:p>
    <w:p w14:paraId="4C78442F">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同期内发生严重的群体性食品卫生安全事故、工伤事故、火灾事故、重大不良影响事件或年度考核得分在80分以下的或连续两个月度考核得分在70分以下的，甲方可终止或解除与乙方的合作关系。合同期满或合同终止或解除，双方权利和义务终止，甲乙双方应在7日内办理资产等所有的交接手续。乙方出资添置的设备由乙方及时带走，逾期由甲方处置。甲方的资产保持交接时的使用情况完全交还甲方（自然损耗折旧的除外）。</w:t>
      </w:r>
    </w:p>
    <w:p w14:paraId="0AE45C34">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第十一条 甲乙双方未尽事宜，另行协商，补充协议</w:t>
      </w:r>
    </w:p>
    <w:p w14:paraId="662CA829">
      <w:pPr>
        <w:wordWrap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第十二条 争议解决</w:t>
      </w:r>
    </w:p>
    <w:p w14:paraId="1BABA0F4">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甲乙双方在执行本合同中发生争议时，应友好协商解决；协商未果，向项目所在地仲裁委员会申请仲裁或向项目所在地人民法院提起诉讼。</w:t>
      </w:r>
    </w:p>
    <w:p w14:paraId="15871AF9">
      <w:pPr>
        <w:wordWrap w:val="0"/>
        <w:spacing w:line="360" w:lineRule="auto"/>
        <w:ind w:firstLine="422" w:firstLineChars="200"/>
        <w:outlineLvl w:val="1"/>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第十三条 其它</w:t>
      </w:r>
    </w:p>
    <w:p w14:paraId="743C47E7">
      <w:pPr>
        <w:wordWrap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本合同一式陆份，双方各执叁份，双方签字盖章后生效。</w:t>
      </w:r>
    </w:p>
    <w:p w14:paraId="539A3F00">
      <w:pPr>
        <w:wordWrap w:val="0"/>
        <w:spacing w:line="360" w:lineRule="auto"/>
        <w:rPr>
          <w:rFonts w:ascii="宋体" w:hAnsi="宋体" w:cs="宋体"/>
          <w:snapToGrid w:val="0"/>
          <w:color w:val="auto"/>
          <w:kern w:val="0"/>
          <w:szCs w:val="21"/>
          <w:highlight w:val="none"/>
        </w:rPr>
      </w:pPr>
    </w:p>
    <w:tbl>
      <w:tblPr>
        <w:tblStyle w:val="20"/>
        <w:tblW w:w="10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7"/>
        <w:gridCol w:w="5128"/>
      </w:tblGrid>
      <w:tr w14:paraId="6159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27" w:type="dxa"/>
          </w:tcPr>
          <w:p w14:paraId="4F8B447D">
            <w:pPr>
              <w:wordWrap w:val="0"/>
              <w:spacing w:line="6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采购人（甲方）：</w:t>
            </w:r>
          </w:p>
          <w:p w14:paraId="0FC6B6C7">
            <w:pPr>
              <w:wordWrap w:val="0"/>
              <w:spacing w:line="6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单位盖章：</w:t>
            </w:r>
          </w:p>
          <w:p w14:paraId="0B852C3B">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法定代表人或授权人（签字）：</w:t>
            </w:r>
          </w:p>
          <w:p w14:paraId="288A7657">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p>
          <w:p w14:paraId="03469571">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p w14:paraId="5DE33C73">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w:t>
            </w:r>
          </w:p>
          <w:p w14:paraId="1EA5E977">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日期：年月日</w:t>
            </w:r>
          </w:p>
          <w:p w14:paraId="7382EC51">
            <w:pPr>
              <w:wordWrap w:val="0"/>
              <w:spacing w:line="480" w:lineRule="auto"/>
              <w:rPr>
                <w:rFonts w:ascii="宋体" w:hAnsi="宋体" w:cs="宋体"/>
                <w:snapToGrid w:val="0"/>
                <w:color w:val="auto"/>
                <w:kern w:val="0"/>
                <w:szCs w:val="21"/>
                <w:highlight w:val="none"/>
              </w:rPr>
            </w:pPr>
          </w:p>
        </w:tc>
        <w:tc>
          <w:tcPr>
            <w:tcW w:w="5128" w:type="dxa"/>
          </w:tcPr>
          <w:p w14:paraId="6AB46A6A">
            <w:pPr>
              <w:wordWrap w:val="0"/>
              <w:spacing w:line="6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中标供应商（乙方）：</w:t>
            </w:r>
          </w:p>
          <w:p w14:paraId="3DD351D0">
            <w:pPr>
              <w:wordWrap w:val="0"/>
              <w:spacing w:line="6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单位盖章：</w:t>
            </w:r>
          </w:p>
          <w:p w14:paraId="2C114220">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法定代表人或授权人（签字）：</w:t>
            </w:r>
          </w:p>
          <w:p w14:paraId="51A80632">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p>
          <w:p w14:paraId="41DBF1D8">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p w14:paraId="025511D2">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w:t>
            </w:r>
          </w:p>
          <w:p w14:paraId="64FF1113">
            <w:pPr>
              <w:wordWrap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日期：年月日</w:t>
            </w:r>
          </w:p>
        </w:tc>
      </w:tr>
    </w:tbl>
    <w:p w14:paraId="0A1A9AFE">
      <w:pPr>
        <w:rPr>
          <w:color w:val="auto"/>
          <w:kern w:val="0"/>
          <w:highlight w:val="none"/>
        </w:rPr>
      </w:pPr>
      <w:r>
        <w:rPr>
          <w:rFonts w:hint="eastAsia"/>
          <w:color w:val="auto"/>
          <w:kern w:val="0"/>
          <w:highlight w:val="none"/>
        </w:rPr>
        <w:br w:type="page"/>
      </w:r>
    </w:p>
    <w:p w14:paraId="422FB14F">
      <w:pPr>
        <w:pStyle w:val="23"/>
        <w:widowControl w:val="0"/>
        <w:ind w:firstLine="0" w:firstLineChars="0"/>
        <w:outlineLvl w:val="2"/>
        <w:rPr>
          <w:color w:val="auto"/>
          <w:kern w:val="0"/>
          <w:highlight w:val="none"/>
        </w:rPr>
      </w:pPr>
      <w:r>
        <w:rPr>
          <w:rFonts w:hint="eastAsia"/>
          <w:color w:val="auto"/>
          <w:kern w:val="0"/>
          <w:highlight w:val="none"/>
        </w:rPr>
        <w:t>附件：1、食堂管理服务监管工作月度考评细则</w:t>
      </w:r>
    </w:p>
    <w:p w14:paraId="7E3D36AA">
      <w:pPr>
        <w:pStyle w:val="23"/>
        <w:widowControl w:val="0"/>
        <w:ind w:firstLine="840" w:firstLineChars="300"/>
        <w:outlineLvl w:val="2"/>
        <w:rPr>
          <w:color w:val="auto"/>
          <w:kern w:val="0"/>
          <w:highlight w:val="none"/>
        </w:rPr>
      </w:pPr>
      <w:r>
        <w:rPr>
          <w:rFonts w:hint="eastAsia"/>
          <w:color w:val="auto"/>
          <w:kern w:val="0"/>
          <w:highlight w:val="none"/>
        </w:rPr>
        <w:t>2、师生餐饮满意度调查表</w:t>
      </w:r>
    </w:p>
    <w:p w14:paraId="38FFD22F">
      <w:pPr>
        <w:pStyle w:val="23"/>
        <w:widowControl w:val="0"/>
        <w:ind w:firstLine="0" w:firstLineChars="0"/>
        <w:jc w:val="center"/>
        <w:outlineLvl w:val="0"/>
        <w:rPr>
          <w:b/>
          <w:bCs/>
          <w:color w:val="auto"/>
          <w:kern w:val="0"/>
          <w:highlight w:val="none"/>
        </w:rPr>
      </w:pPr>
      <w:r>
        <w:rPr>
          <w:rFonts w:hint="eastAsia"/>
          <w:b/>
          <w:bCs/>
          <w:color w:val="auto"/>
          <w:kern w:val="0"/>
          <w:highlight w:val="none"/>
        </w:rPr>
        <w:t>附件1：食堂管理服务监管工作月度考评细则</w:t>
      </w:r>
    </w:p>
    <w:p w14:paraId="6D1CBB63">
      <w:pPr>
        <w:wordWrap w:val="0"/>
        <w:spacing w:line="280" w:lineRule="exact"/>
        <w:jc w:val="right"/>
        <w:rPr>
          <w:rFonts w:ascii="宋体" w:hAnsi="宋体" w:cs="宋体"/>
          <w:snapToGrid w:val="0"/>
          <w:color w:val="auto"/>
          <w:kern w:val="0"/>
          <w:highlight w:val="none"/>
        </w:rPr>
      </w:pPr>
      <w:bookmarkStart w:id="182" w:name="_Toc12731"/>
      <w:bookmarkStart w:id="183" w:name="_Toc20982"/>
      <w:bookmarkStart w:id="184" w:name="_Toc27308"/>
      <w:r>
        <w:rPr>
          <w:rFonts w:hint="eastAsia" w:ascii="宋体" w:hAnsi="宋体" w:cs="宋体"/>
          <w:snapToGrid w:val="0"/>
          <w:color w:val="auto"/>
          <w:kern w:val="0"/>
          <w:highlight w:val="none"/>
        </w:rPr>
        <w:t>年   月   日</w:t>
      </w:r>
    </w:p>
    <w:tbl>
      <w:tblPr>
        <w:tblStyle w:val="19"/>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769"/>
        <w:gridCol w:w="2909"/>
        <w:gridCol w:w="961"/>
        <w:gridCol w:w="849"/>
      </w:tblGrid>
      <w:tr w14:paraId="0415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14:paraId="28F689AC">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分类</w:t>
            </w:r>
          </w:p>
        </w:tc>
        <w:tc>
          <w:tcPr>
            <w:tcW w:w="1989" w:type="pct"/>
            <w:vAlign w:val="center"/>
          </w:tcPr>
          <w:p w14:paraId="2200D7AD">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基本内容和要求</w:t>
            </w:r>
          </w:p>
        </w:tc>
        <w:tc>
          <w:tcPr>
            <w:tcW w:w="1535" w:type="pct"/>
            <w:vAlign w:val="center"/>
          </w:tcPr>
          <w:p w14:paraId="019CB84C">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评分标准</w:t>
            </w:r>
          </w:p>
        </w:tc>
        <w:tc>
          <w:tcPr>
            <w:tcW w:w="507" w:type="pct"/>
            <w:vAlign w:val="center"/>
          </w:tcPr>
          <w:p w14:paraId="22CA127D">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检查方法</w:t>
            </w:r>
          </w:p>
        </w:tc>
        <w:tc>
          <w:tcPr>
            <w:tcW w:w="448" w:type="pct"/>
            <w:vAlign w:val="center"/>
          </w:tcPr>
          <w:p w14:paraId="6239EA8B">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得分</w:t>
            </w:r>
          </w:p>
          <w:p w14:paraId="727F2B42">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（扣分原因）</w:t>
            </w:r>
          </w:p>
        </w:tc>
      </w:tr>
      <w:tr w14:paraId="5A96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restart"/>
            <w:vAlign w:val="center"/>
          </w:tcPr>
          <w:p w14:paraId="22848B35">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食堂管理</w:t>
            </w:r>
          </w:p>
          <w:p w14:paraId="3F5130F3">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（40分）</w:t>
            </w:r>
          </w:p>
        </w:tc>
        <w:tc>
          <w:tcPr>
            <w:tcW w:w="1989" w:type="pct"/>
            <w:vAlign w:val="center"/>
          </w:tcPr>
          <w:p w14:paraId="0A834434">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1、严格按照国家《食品卫生法》、《餐饮业和集体用餐配送单位规范》等相关法规经营、操作；3分</w:t>
            </w:r>
          </w:p>
        </w:tc>
        <w:tc>
          <w:tcPr>
            <w:tcW w:w="1535" w:type="pct"/>
            <w:vAlign w:val="center"/>
          </w:tcPr>
          <w:p w14:paraId="021D920C">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未按照国家相关规定经营、操作，一次一项扣0.5分，扣完为止</w:t>
            </w:r>
          </w:p>
        </w:tc>
        <w:tc>
          <w:tcPr>
            <w:tcW w:w="507" w:type="pct"/>
            <w:vMerge w:val="restart"/>
            <w:vAlign w:val="center"/>
          </w:tcPr>
          <w:p w14:paraId="1864A286">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查对资料现场抽查相结合</w:t>
            </w:r>
          </w:p>
        </w:tc>
        <w:tc>
          <w:tcPr>
            <w:tcW w:w="448" w:type="pct"/>
            <w:vMerge w:val="restart"/>
          </w:tcPr>
          <w:p w14:paraId="2FF7ACDF">
            <w:pPr>
              <w:wordWrap w:val="0"/>
              <w:spacing w:line="280" w:lineRule="exact"/>
              <w:rPr>
                <w:rFonts w:asciiTheme="minorEastAsia" w:hAnsiTheme="minorEastAsia" w:eastAsiaTheme="minorEastAsia" w:cstheme="minorEastAsia"/>
                <w:color w:val="auto"/>
                <w:kern w:val="0"/>
                <w:sz w:val="18"/>
                <w:szCs w:val="18"/>
                <w:highlight w:val="none"/>
              </w:rPr>
            </w:pPr>
          </w:p>
        </w:tc>
      </w:tr>
      <w:tr w14:paraId="46A5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66559895">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703F295C">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2、食堂、餐厅等均必须符合卫生标准，禁用变质、腐烂食品；4分</w:t>
            </w:r>
          </w:p>
        </w:tc>
        <w:tc>
          <w:tcPr>
            <w:tcW w:w="1535" w:type="pct"/>
            <w:vAlign w:val="center"/>
          </w:tcPr>
          <w:p w14:paraId="690EC07D">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每发现有采购、食用变质、过期的食品1次扣1.5分，扣完为止</w:t>
            </w:r>
          </w:p>
        </w:tc>
        <w:tc>
          <w:tcPr>
            <w:tcW w:w="507" w:type="pct"/>
            <w:vMerge w:val="continue"/>
            <w:vAlign w:val="center"/>
          </w:tcPr>
          <w:p w14:paraId="693520F9">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74FF4ADF">
            <w:pPr>
              <w:wordWrap w:val="0"/>
              <w:spacing w:line="280" w:lineRule="exact"/>
              <w:rPr>
                <w:rFonts w:asciiTheme="minorEastAsia" w:hAnsiTheme="minorEastAsia" w:eastAsiaTheme="minorEastAsia" w:cstheme="minorEastAsia"/>
                <w:color w:val="auto"/>
                <w:kern w:val="0"/>
                <w:sz w:val="18"/>
                <w:szCs w:val="18"/>
                <w:highlight w:val="none"/>
              </w:rPr>
            </w:pPr>
          </w:p>
        </w:tc>
      </w:tr>
      <w:tr w14:paraId="6289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760024BB">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5C32FD88">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3、定期组织员工进行业务培训，培训有计划有记录，记录清晰完整，不断提高业务水平和服务意识；2分</w:t>
            </w:r>
          </w:p>
        </w:tc>
        <w:tc>
          <w:tcPr>
            <w:tcW w:w="1535" w:type="pct"/>
            <w:vAlign w:val="center"/>
          </w:tcPr>
          <w:p w14:paraId="3D157F3A">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无培训扣2分，培训无记录、记录不完整一次一项扣0.5分，扣完为止</w:t>
            </w:r>
          </w:p>
        </w:tc>
        <w:tc>
          <w:tcPr>
            <w:tcW w:w="507" w:type="pct"/>
            <w:vMerge w:val="continue"/>
            <w:vAlign w:val="center"/>
          </w:tcPr>
          <w:p w14:paraId="55A9760A">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72C2AA1E">
            <w:pPr>
              <w:wordWrap w:val="0"/>
              <w:spacing w:line="280" w:lineRule="exact"/>
              <w:rPr>
                <w:rFonts w:asciiTheme="minorEastAsia" w:hAnsiTheme="minorEastAsia" w:eastAsiaTheme="minorEastAsia" w:cstheme="minorEastAsia"/>
                <w:color w:val="auto"/>
                <w:kern w:val="0"/>
                <w:sz w:val="18"/>
                <w:szCs w:val="18"/>
                <w:highlight w:val="none"/>
              </w:rPr>
            </w:pPr>
          </w:p>
        </w:tc>
      </w:tr>
      <w:tr w14:paraId="27D5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1333A2C6">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0597ADB3">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4、上岗员工保持良好的个人卫生，定期进行体格检验，并取得体检健康证（持证上岗率100%）；2分</w:t>
            </w:r>
          </w:p>
        </w:tc>
        <w:tc>
          <w:tcPr>
            <w:tcW w:w="1535" w:type="pct"/>
            <w:vAlign w:val="center"/>
          </w:tcPr>
          <w:p w14:paraId="1FB2C1B9">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未定期检查、发现员工身体不健康，带有传染性疾病或其他病症上岗每人次，扣1～2分。扣完为止</w:t>
            </w:r>
          </w:p>
        </w:tc>
        <w:tc>
          <w:tcPr>
            <w:tcW w:w="507" w:type="pct"/>
            <w:vMerge w:val="continue"/>
            <w:vAlign w:val="center"/>
          </w:tcPr>
          <w:p w14:paraId="03ADD456">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26EFE234">
            <w:pPr>
              <w:wordWrap w:val="0"/>
              <w:spacing w:line="280" w:lineRule="exact"/>
              <w:rPr>
                <w:rFonts w:asciiTheme="minorEastAsia" w:hAnsiTheme="minorEastAsia" w:eastAsiaTheme="minorEastAsia" w:cstheme="minorEastAsia"/>
                <w:color w:val="auto"/>
                <w:kern w:val="0"/>
                <w:sz w:val="18"/>
                <w:szCs w:val="18"/>
                <w:highlight w:val="none"/>
              </w:rPr>
            </w:pPr>
          </w:p>
        </w:tc>
      </w:tr>
      <w:tr w14:paraId="2FBE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5CC9C78C">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379F1D6A">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5、提供优质、热情的服务，严禁与用餐人员发生争吵、打架等不良行为；4分</w:t>
            </w:r>
          </w:p>
        </w:tc>
        <w:tc>
          <w:tcPr>
            <w:tcW w:w="1535" w:type="pct"/>
            <w:vAlign w:val="center"/>
          </w:tcPr>
          <w:p w14:paraId="0B1B06A7">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因服务质量或态度不好被投诉，经查属实每人次扣0.5分，扣完为止</w:t>
            </w:r>
          </w:p>
        </w:tc>
        <w:tc>
          <w:tcPr>
            <w:tcW w:w="507" w:type="pct"/>
            <w:vMerge w:val="continue"/>
            <w:vAlign w:val="center"/>
          </w:tcPr>
          <w:p w14:paraId="0C108467">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482D59D3">
            <w:pPr>
              <w:wordWrap w:val="0"/>
              <w:spacing w:line="280" w:lineRule="exact"/>
              <w:rPr>
                <w:rFonts w:asciiTheme="minorEastAsia" w:hAnsiTheme="minorEastAsia" w:eastAsiaTheme="minorEastAsia" w:cstheme="minorEastAsia"/>
                <w:color w:val="auto"/>
                <w:kern w:val="0"/>
                <w:sz w:val="18"/>
                <w:szCs w:val="18"/>
                <w:highlight w:val="none"/>
              </w:rPr>
            </w:pPr>
          </w:p>
        </w:tc>
      </w:tr>
      <w:tr w14:paraId="13C0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14C8DBBB">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69A49468">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6、按基本膳食等合理配置管理；3分</w:t>
            </w:r>
          </w:p>
        </w:tc>
        <w:tc>
          <w:tcPr>
            <w:tcW w:w="1535" w:type="pct"/>
            <w:vAlign w:val="center"/>
          </w:tcPr>
          <w:p w14:paraId="1DD92508">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膳食配置不合理，一项一次扣0.5分，扣完为止</w:t>
            </w:r>
          </w:p>
        </w:tc>
        <w:tc>
          <w:tcPr>
            <w:tcW w:w="507" w:type="pct"/>
            <w:vMerge w:val="continue"/>
            <w:vAlign w:val="center"/>
          </w:tcPr>
          <w:p w14:paraId="0A57E6A7">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5A8FBAD0">
            <w:pPr>
              <w:wordWrap w:val="0"/>
              <w:spacing w:line="280" w:lineRule="exact"/>
              <w:rPr>
                <w:rFonts w:asciiTheme="minorEastAsia" w:hAnsiTheme="minorEastAsia" w:eastAsiaTheme="minorEastAsia" w:cstheme="minorEastAsia"/>
                <w:color w:val="auto"/>
                <w:kern w:val="0"/>
                <w:sz w:val="18"/>
                <w:szCs w:val="18"/>
                <w:highlight w:val="none"/>
              </w:rPr>
            </w:pPr>
          </w:p>
        </w:tc>
      </w:tr>
      <w:tr w14:paraId="703A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24F63554">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3A76B68F">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7、对各类食品要有留样，并对留样食品时间、品种、重量要有详细的记录；2分</w:t>
            </w:r>
          </w:p>
        </w:tc>
        <w:tc>
          <w:tcPr>
            <w:tcW w:w="1535" w:type="pct"/>
            <w:vAlign w:val="center"/>
          </w:tcPr>
          <w:p w14:paraId="4C052814">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无留样一次扣0.2分；记录不全1次扣0.1分，扣完为止</w:t>
            </w:r>
          </w:p>
        </w:tc>
        <w:tc>
          <w:tcPr>
            <w:tcW w:w="507" w:type="pct"/>
            <w:vMerge w:val="continue"/>
            <w:vAlign w:val="center"/>
          </w:tcPr>
          <w:p w14:paraId="074E2549">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6BC0BBCB">
            <w:pPr>
              <w:wordWrap w:val="0"/>
              <w:spacing w:line="280" w:lineRule="exact"/>
              <w:rPr>
                <w:rFonts w:asciiTheme="minorEastAsia" w:hAnsiTheme="minorEastAsia" w:eastAsiaTheme="minorEastAsia" w:cstheme="minorEastAsia"/>
                <w:color w:val="auto"/>
                <w:kern w:val="0"/>
                <w:sz w:val="18"/>
                <w:szCs w:val="18"/>
                <w:highlight w:val="none"/>
              </w:rPr>
            </w:pPr>
          </w:p>
        </w:tc>
      </w:tr>
      <w:tr w14:paraId="2A55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7E7B72DC">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5CD46A5D">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8、必须配备不少于1名公共营养师；2分</w:t>
            </w:r>
          </w:p>
        </w:tc>
        <w:tc>
          <w:tcPr>
            <w:tcW w:w="1535" w:type="pct"/>
            <w:vAlign w:val="center"/>
          </w:tcPr>
          <w:p w14:paraId="3A35E3D9">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无，扣2分止。</w:t>
            </w:r>
          </w:p>
        </w:tc>
        <w:tc>
          <w:tcPr>
            <w:tcW w:w="507" w:type="pct"/>
            <w:vMerge w:val="continue"/>
            <w:vAlign w:val="center"/>
          </w:tcPr>
          <w:p w14:paraId="28DF83EF">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20100B12">
            <w:pPr>
              <w:wordWrap w:val="0"/>
              <w:spacing w:line="280" w:lineRule="exact"/>
              <w:rPr>
                <w:rFonts w:asciiTheme="minorEastAsia" w:hAnsiTheme="minorEastAsia" w:eastAsiaTheme="minorEastAsia" w:cstheme="minorEastAsia"/>
                <w:color w:val="auto"/>
                <w:kern w:val="0"/>
                <w:sz w:val="18"/>
                <w:szCs w:val="18"/>
                <w:highlight w:val="none"/>
              </w:rPr>
            </w:pPr>
          </w:p>
        </w:tc>
      </w:tr>
      <w:tr w14:paraId="51DC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517FAAF0">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50350E16">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9、设置每日经济公布栏，有价格评估员公布每日物资供应消耗情况；每月公布主要品种成本利润情况；2分</w:t>
            </w:r>
          </w:p>
        </w:tc>
        <w:tc>
          <w:tcPr>
            <w:tcW w:w="1535" w:type="pct"/>
            <w:vAlign w:val="center"/>
          </w:tcPr>
          <w:p w14:paraId="36BA8E2D">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漏缺1次扣0.1分，扣完为止</w:t>
            </w:r>
          </w:p>
        </w:tc>
        <w:tc>
          <w:tcPr>
            <w:tcW w:w="507" w:type="pct"/>
            <w:vMerge w:val="continue"/>
            <w:vAlign w:val="center"/>
          </w:tcPr>
          <w:p w14:paraId="62AB300D">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23D027EF">
            <w:pPr>
              <w:wordWrap w:val="0"/>
              <w:spacing w:line="280" w:lineRule="exact"/>
              <w:rPr>
                <w:rFonts w:asciiTheme="minorEastAsia" w:hAnsiTheme="minorEastAsia" w:eastAsiaTheme="minorEastAsia" w:cstheme="minorEastAsia"/>
                <w:color w:val="auto"/>
                <w:kern w:val="0"/>
                <w:sz w:val="18"/>
                <w:szCs w:val="18"/>
                <w:highlight w:val="none"/>
              </w:rPr>
            </w:pPr>
          </w:p>
        </w:tc>
      </w:tr>
      <w:tr w14:paraId="770D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66610872">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0D516D5A">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10、每月发放意见征询表，对存在的问题及时做出整改；每周公布前十名最受欢迎菜品；2分</w:t>
            </w:r>
          </w:p>
        </w:tc>
        <w:tc>
          <w:tcPr>
            <w:tcW w:w="1535" w:type="pct"/>
            <w:vAlign w:val="center"/>
          </w:tcPr>
          <w:p w14:paraId="47FD4E64">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未征询扣1分，未及时做出公布及整改，每漏缺1次扣0.2分，扣完为止</w:t>
            </w:r>
          </w:p>
        </w:tc>
        <w:tc>
          <w:tcPr>
            <w:tcW w:w="507" w:type="pct"/>
            <w:vMerge w:val="continue"/>
            <w:vAlign w:val="center"/>
          </w:tcPr>
          <w:p w14:paraId="56B353CB">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67DDB2A9">
            <w:pPr>
              <w:wordWrap w:val="0"/>
              <w:spacing w:line="280" w:lineRule="exact"/>
              <w:rPr>
                <w:rFonts w:asciiTheme="minorEastAsia" w:hAnsiTheme="minorEastAsia" w:eastAsiaTheme="minorEastAsia" w:cstheme="minorEastAsia"/>
                <w:color w:val="auto"/>
                <w:kern w:val="0"/>
                <w:sz w:val="18"/>
                <w:szCs w:val="18"/>
                <w:highlight w:val="none"/>
              </w:rPr>
            </w:pPr>
          </w:p>
        </w:tc>
      </w:tr>
      <w:tr w14:paraId="1703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048AD60F">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30E04CC3">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11、保障解决学生中午误餐、晚上误餐；2分</w:t>
            </w:r>
          </w:p>
        </w:tc>
        <w:tc>
          <w:tcPr>
            <w:tcW w:w="1535" w:type="pct"/>
            <w:vAlign w:val="center"/>
          </w:tcPr>
          <w:p w14:paraId="32F87FDF">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未保障1次扣0.2分，扣完为止。</w:t>
            </w:r>
          </w:p>
        </w:tc>
        <w:tc>
          <w:tcPr>
            <w:tcW w:w="507" w:type="pct"/>
            <w:vMerge w:val="continue"/>
            <w:vAlign w:val="center"/>
          </w:tcPr>
          <w:p w14:paraId="06B36AA9">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7553B825">
            <w:pPr>
              <w:wordWrap w:val="0"/>
              <w:spacing w:line="280" w:lineRule="exact"/>
              <w:rPr>
                <w:rFonts w:asciiTheme="minorEastAsia" w:hAnsiTheme="minorEastAsia" w:eastAsiaTheme="minorEastAsia" w:cstheme="minorEastAsia"/>
                <w:color w:val="auto"/>
                <w:kern w:val="0"/>
                <w:sz w:val="18"/>
                <w:szCs w:val="18"/>
                <w:highlight w:val="none"/>
              </w:rPr>
            </w:pPr>
          </w:p>
        </w:tc>
      </w:tr>
      <w:tr w14:paraId="1C95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33F4FD4C">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3763FD2C">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12、保证学生饮食花样品种品种丰富，口味适合多种消费人群；2分</w:t>
            </w:r>
          </w:p>
        </w:tc>
        <w:tc>
          <w:tcPr>
            <w:tcW w:w="1535" w:type="pct"/>
            <w:vAlign w:val="center"/>
          </w:tcPr>
          <w:p w14:paraId="43940576">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未符合一次扣0.5分，扣完为止。</w:t>
            </w:r>
          </w:p>
        </w:tc>
        <w:tc>
          <w:tcPr>
            <w:tcW w:w="507" w:type="pct"/>
            <w:vMerge w:val="continue"/>
            <w:vAlign w:val="center"/>
          </w:tcPr>
          <w:p w14:paraId="35171B93">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6C74D5B9">
            <w:pPr>
              <w:wordWrap w:val="0"/>
              <w:spacing w:line="280" w:lineRule="exact"/>
              <w:rPr>
                <w:rFonts w:asciiTheme="minorEastAsia" w:hAnsiTheme="minorEastAsia" w:eastAsiaTheme="minorEastAsia" w:cstheme="minorEastAsia"/>
                <w:color w:val="auto"/>
                <w:kern w:val="0"/>
                <w:sz w:val="18"/>
                <w:szCs w:val="18"/>
                <w:highlight w:val="none"/>
              </w:rPr>
            </w:pPr>
          </w:p>
        </w:tc>
      </w:tr>
      <w:tr w14:paraId="4C8E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7AAEA0B7">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7F039161">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13、操作间、仓库必须干净卫生，各类食品按要求分开放置，严禁存放变质过期食物；2分</w:t>
            </w:r>
          </w:p>
        </w:tc>
        <w:tc>
          <w:tcPr>
            <w:tcW w:w="1535" w:type="pct"/>
            <w:vAlign w:val="center"/>
          </w:tcPr>
          <w:p w14:paraId="27EDFA8E">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有不符合项1次扣0.2分，扣完为止。</w:t>
            </w:r>
          </w:p>
        </w:tc>
        <w:tc>
          <w:tcPr>
            <w:tcW w:w="507" w:type="pct"/>
            <w:vMerge w:val="continue"/>
            <w:vAlign w:val="center"/>
          </w:tcPr>
          <w:p w14:paraId="1C1B8F83">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64B0A8EC">
            <w:pPr>
              <w:wordWrap w:val="0"/>
              <w:spacing w:line="280" w:lineRule="exact"/>
              <w:rPr>
                <w:rFonts w:asciiTheme="minorEastAsia" w:hAnsiTheme="minorEastAsia" w:eastAsiaTheme="minorEastAsia" w:cstheme="minorEastAsia"/>
                <w:color w:val="auto"/>
                <w:kern w:val="0"/>
                <w:sz w:val="18"/>
                <w:szCs w:val="18"/>
                <w:highlight w:val="none"/>
              </w:rPr>
            </w:pPr>
          </w:p>
        </w:tc>
      </w:tr>
      <w:tr w14:paraId="4B61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0088624F">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4D64123F">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14、节约水电气并做好安全防范工作；3分</w:t>
            </w:r>
          </w:p>
        </w:tc>
        <w:tc>
          <w:tcPr>
            <w:tcW w:w="1535" w:type="pct"/>
            <w:vAlign w:val="center"/>
          </w:tcPr>
          <w:p w14:paraId="4FBCF38E">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无制度扣1分，未做到一次扣0.2分，扣完为止。</w:t>
            </w:r>
          </w:p>
        </w:tc>
        <w:tc>
          <w:tcPr>
            <w:tcW w:w="507" w:type="pct"/>
            <w:vMerge w:val="continue"/>
            <w:vAlign w:val="center"/>
          </w:tcPr>
          <w:p w14:paraId="4414B160">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05DE7C9E">
            <w:pPr>
              <w:wordWrap w:val="0"/>
              <w:spacing w:line="280" w:lineRule="exact"/>
              <w:rPr>
                <w:rFonts w:asciiTheme="minorEastAsia" w:hAnsiTheme="minorEastAsia" w:eastAsiaTheme="minorEastAsia" w:cstheme="minorEastAsia"/>
                <w:color w:val="auto"/>
                <w:kern w:val="0"/>
                <w:sz w:val="18"/>
                <w:szCs w:val="18"/>
                <w:highlight w:val="none"/>
              </w:rPr>
            </w:pPr>
          </w:p>
        </w:tc>
      </w:tr>
      <w:tr w14:paraId="3524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14:paraId="6BB5BD27">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1989" w:type="pct"/>
            <w:vAlign w:val="center"/>
          </w:tcPr>
          <w:p w14:paraId="21ADFE5A">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16、物资采购必须符合健康安全的要求，采购渠道正规并定期在食堂公布有关合格证。5分</w:t>
            </w:r>
          </w:p>
        </w:tc>
        <w:tc>
          <w:tcPr>
            <w:tcW w:w="1535" w:type="pct"/>
            <w:vAlign w:val="center"/>
          </w:tcPr>
          <w:p w14:paraId="791DE12C">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采购渠道正规（有无三证），无扣0.5分；发现有采购、食用变质、过期的食品扣1分，扣完为止。</w:t>
            </w:r>
          </w:p>
        </w:tc>
        <w:tc>
          <w:tcPr>
            <w:tcW w:w="507" w:type="pct"/>
            <w:vMerge w:val="continue"/>
            <w:vAlign w:val="center"/>
          </w:tcPr>
          <w:p w14:paraId="21C566B6">
            <w:pPr>
              <w:wordWrap w:val="0"/>
              <w:spacing w:line="280" w:lineRule="exact"/>
              <w:jc w:val="center"/>
              <w:rPr>
                <w:rFonts w:asciiTheme="minorEastAsia" w:hAnsiTheme="minorEastAsia" w:eastAsiaTheme="minorEastAsia" w:cstheme="minorEastAsia"/>
                <w:color w:val="auto"/>
                <w:kern w:val="0"/>
                <w:sz w:val="18"/>
                <w:szCs w:val="18"/>
                <w:highlight w:val="none"/>
              </w:rPr>
            </w:pPr>
          </w:p>
        </w:tc>
        <w:tc>
          <w:tcPr>
            <w:tcW w:w="448" w:type="pct"/>
            <w:vMerge w:val="continue"/>
          </w:tcPr>
          <w:p w14:paraId="58B2467B">
            <w:pPr>
              <w:wordWrap w:val="0"/>
              <w:spacing w:line="280" w:lineRule="exact"/>
              <w:rPr>
                <w:rFonts w:asciiTheme="minorEastAsia" w:hAnsiTheme="minorEastAsia" w:eastAsiaTheme="minorEastAsia" w:cstheme="minorEastAsia"/>
                <w:color w:val="auto"/>
                <w:kern w:val="0"/>
                <w:sz w:val="18"/>
                <w:szCs w:val="18"/>
                <w:highlight w:val="none"/>
              </w:rPr>
            </w:pPr>
          </w:p>
        </w:tc>
      </w:tr>
      <w:tr w14:paraId="3EBE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14:paraId="1B735FAF">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饮食卫生</w:t>
            </w:r>
          </w:p>
          <w:p w14:paraId="34349F84">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（10分）</w:t>
            </w:r>
          </w:p>
        </w:tc>
        <w:tc>
          <w:tcPr>
            <w:tcW w:w="1989" w:type="pct"/>
            <w:vAlign w:val="center"/>
          </w:tcPr>
          <w:p w14:paraId="43E2704F">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1、每餐保证饭菜质量，菜香饭熟，无夹生饭，无不净菜；</w:t>
            </w:r>
          </w:p>
          <w:p w14:paraId="3D074741">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2、汤类经常更换，保证多样性；</w:t>
            </w:r>
          </w:p>
          <w:p w14:paraId="6309913B">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3、不得食用变质食品，无食物中毒现象；</w:t>
            </w:r>
          </w:p>
          <w:p w14:paraId="2F3CF2DA">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4、生熟食品严格分开，独立操作间。</w:t>
            </w:r>
          </w:p>
        </w:tc>
        <w:tc>
          <w:tcPr>
            <w:tcW w:w="1535" w:type="pct"/>
            <w:vAlign w:val="center"/>
          </w:tcPr>
          <w:p w14:paraId="6852CE7C">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饭菜质量不合格，汤类不满意，一次一项扣0.1分；有变质食品一次扣10分；生熟未分开，未做到独立操作，一次扣0.5分。食物中毒一票否决。</w:t>
            </w:r>
          </w:p>
        </w:tc>
        <w:tc>
          <w:tcPr>
            <w:tcW w:w="507" w:type="pct"/>
            <w:vAlign w:val="center"/>
          </w:tcPr>
          <w:p w14:paraId="0B8EADA5">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14:paraId="30179C8F">
            <w:pPr>
              <w:wordWrap w:val="0"/>
              <w:spacing w:line="280" w:lineRule="exact"/>
              <w:rPr>
                <w:rFonts w:asciiTheme="minorEastAsia" w:hAnsiTheme="minorEastAsia" w:eastAsiaTheme="minorEastAsia" w:cstheme="minorEastAsia"/>
                <w:color w:val="auto"/>
                <w:kern w:val="0"/>
                <w:sz w:val="18"/>
                <w:szCs w:val="18"/>
                <w:highlight w:val="none"/>
              </w:rPr>
            </w:pPr>
          </w:p>
        </w:tc>
      </w:tr>
      <w:tr w14:paraId="5336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14:paraId="1104849A">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餐具</w:t>
            </w:r>
          </w:p>
          <w:p w14:paraId="56A267CD">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（10分）</w:t>
            </w:r>
          </w:p>
        </w:tc>
        <w:tc>
          <w:tcPr>
            <w:tcW w:w="1989" w:type="pct"/>
            <w:vAlign w:val="center"/>
          </w:tcPr>
          <w:p w14:paraId="6DA42CA1">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1、食用的碗筷及其他餐具每餐消毒符合标准.餐具清洗做到一洗、二刷、三冲、四消毒、五保洁；对清洗机要经常清洗消毒；</w:t>
            </w:r>
          </w:p>
          <w:p w14:paraId="4466D950">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2、餐具光亮无油迹、分类堆放，食用筷子清洁卫生、不变形、无发霉；</w:t>
            </w:r>
          </w:p>
        </w:tc>
        <w:tc>
          <w:tcPr>
            <w:tcW w:w="1535" w:type="pct"/>
            <w:vAlign w:val="center"/>
          </w:tcPr>
          <w:p w14:paraId="64B1AE15">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未按规定操作，一次一项扣0.2分；餐具有油迹、未分类存放、有不清洁、变形、发霉一次一项扣0.1分；职工用餐具未与病人分开，一次扣0.5分，扣完为止。</w:t>
            </w:r>
          </w:p>
        </w:tc>
        <w:tc>
          <w:tcPr>
            <w:tcW w:w="507" w:type="pct"/>
            <w:vAlign w:val="center"/>
          </w:tcPr>
          <w:p w14:paraId="6C670865">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14:paraId="4EF80EE5">
            <w:pPr>
              <w:wordWrap w:val="0"/>
              <w:spacing w:line="280" w:lineRule="exact"/>
              <w:rPr>
                <w:rFonts w:asciiTheme="minorEastAsia" w:hAnsiTheme="minorEastAsia" w:eastAsiaTheme="minorEastAsia" w:cstheme="minorEastAsia"/>
                <w:color w:val="auto"/>
                <w:kern w:val="0"/>
                <w:sz w:val="18"/>
                <w:szCs w:val="18"/>
                <w:highlight w:val="none"/>
              </w:rPr>
            </w:pPr>
          </w:p>
        </w:tc>
      </w:tr>
      <w:tr w14:paraId="7E3F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14:paraId="40149A6A">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个人卫生</w:t>
            </w:r>
          </w:p>
          <w:p w14:paraId="503D4E7D">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14:paraId="2FD049E0">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1.值班时按规定穿工服、帽子、手套、口罩等确保卫生；</w:t>
            </w:r>
          </w:p>
          <w:p w14:paraId="50A17B55">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2.操作人员符合卫生学标准。</w:t>
            </w:r>
          </w:p>
        </w:tc>
        <w:tc>
          <w:tcPr>
            <w:tcW w:w="1535" w:type="pct"/>
            <w:vAlign w:val="center"/>
          </w:tcPr>
          <w:p w14:paraId="43B4B6D9">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未按规定穿戴，一次扣0.2分，操作人员不符合卫生学标准一人次扣0.2人，扣完为止</w:t>
            </w:r>
          </w:p>
        </w:tc>
        <w:tc>
          <w:tcPr>
            <w:tcW w:w="507" w:type="pct"/>
            <w:vAlign w:val="center"/>
          </w:tcPr>
          <w:p w14:paraId="7B019A13">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随机检查</w:t>
            </w:r>
          </w:p>
        </w:tc>
        <w:tc>
          <w:tcPr>
            <w:tcW w:w="448" w:type="pct"/>
          </w:tcPr>
          <w:p w14:paraId="49A78169">
            <w:pPr>
              <w:wordWrap w:val="0"/>
              <w:spacing w:line="280" w:lineRule="exact"/>
              <w:rPr>
                <w:rFonts w:asciiTheme="minorEastAsia" w:hAnsiTheme="minorEastAsia" w:eastAsiaTheme="minorEastAsia" w:cstheme="minorEastAsia"/>
                <w:color w:val="auto"/>
                <w:kern w:val="0"/>
                <w:sz w:val="18"/>
                <w:szCs w:val="18"/>
                <w:highlight w:val="none"/>
              </w:rPr>
            </w:pPr>
          </w:p>
        </w:tc>
      </w:tr>
      <w:tr w14:paraId="10DB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14:paraId="53730325">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餐厅卫生</w:t>
            </w:r>
          </w:p>
          <w:p w14:paraId="3DE907C2">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（10分）</w:t>
            </w:r>
          </w:p>
        </w:tc>
        <w:tc>
          <w:tcPr>
            <w:tcW w:w="1989" w:type="pct"/>
            <w:vAlign w:val="center"/>
          </w:tcPr>
          <w:p w14:paraId="1DA98C21">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1、桌椅、地面、墙面及其它设施干净光亮卫生、无损坏，摆放整齐，定期消毒，无蚊虫和苍蝇；</w:t>
            </w:r>
          </w:p>
          <w:p w14:paraId="523211BB">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2、餐厅门窗有防蚊蝇门窗及措施。</w:t>
            </w:r>
          </w:p>
        </w:tc>
        <w:tc>
          <w:tcPr>
            <w:tcW w:w="1535" w:type="pct"/>
            <w:vAlign w:val="center"/>
          </w:tcPr>
          <w:p w14:paraId="6F1E8EE4">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卖菜窗口有菜汁、油渍堆积一次一项扣0.1分；无防蚊蝇设备及措施扣1分。扣完为止</w:t>
            </w:r>
          </w:p>
        </w:tc>
        <w:tc>
          <w:tcPr>
            <w:tcW w:w="507" w:type="pct"/>
            <w:vAlign w:val="center"/>
          </w:tcPr>
          <w:p w14:paraId="0C59E110">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14:paraId="6776B8D4">
            <w:pPr>
              <w:wordWrap w:val="0"/>
              <w:spacing w:line="280" w:lineRule="exact"/>
              <w:rPr>
                <w:rFonts w:asciiTheme="minorEastAsia" w:hAnsiTheme="minorEastAsia" w:eastAsiaTheme="minorEastAsia" w:cstheme="minorEastAsia"/>
                <w:color w:val="auto"/>
                <w:kern w:val="0"/>
                <w:sz w:val="18"/>
                <w:szCs w:val="18"/>
                <w:highlight w:val="none"/>
              </w:rPr>
            </w:pPr>
          </w:p>
        </w:tc>
      </w:tr>
      <w:tr w14:paraId="5589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14:paraId="15908F99">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操作间</w:t>
            </w:r>
          </w:p>
          <w:p w14:paraId="01078DFF">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14:paraId="2000A73B">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1、切配间、炉灶间、点心房等管理操作间有消防及安全管理制度；</w:t>
            </w:r>
          </w:p>
          <w:p w14:paraId="7E493228">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2、卫生方面保持清洁干净，各类炊具刀具分别保管、分类放置，及时消毒。</w:t>
            </w:r>
          </w:p>
        </w:tc>
        <w:tc>
          <w:tcPr>
            <w:tcW w:w="1535" w:type="pct"/>
            <w:vAlign w:val="center"/>
          </w:tcPr>
          <w:p w14:paraId="043D529B">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无消防及安全制度、未执行制度有安全隐患未及时整改一次扣1～2分；各种餐具不干净有斑迹、油渍，不按规定进行消毒处理，炊具乱放等每项每次扣0.2分，扣完为止。存在不安全隐患不及时整改的扣1～2分。</w:t>
            </w:r>
          </w:p>
        </w:tc>
        <w:tc>
          <w:tcPr>
            <w:tcW w:w="507" w:type="pct"/>
            <w:vAlign w:val="center"/>
          </w:tcPr>
          <w:p w14:paraId="425DF0F4">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14:paraId="0884C2F8">
            <w:pPr>
              <w:wordWrap w:val="0"/>
              <w:spacing w:line="280" w:lineRule="exact"/>
              <w:rPr>
                <w:rFonts w:asciiTheme="minorEastAsia" w:hAnsiTheme="minorEastAsia" w:eastAsiaTheme="minorEastAsia" w:cstheme="minorEastAsia"/>
                <w:color w:val="auto"/>
                <w:kern w:val="0"/>
                <w:sz w:val="18"/>
                <w:szCs w:val="18"/>
                <w:highlight w:val="none"/>
              </w:rPr>
            </w:pPr>
          </w:p>
        </w:tc>
      </w:tr>
      <w:tr w14:paraId="2ADD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14:paraId="3950C534">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库房管理</w:t>
            </w:r>
          </w:p>
          <w:p w14:paraId="3EBAAF3C">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14:paraId="0E0AB908">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1、各库房管理保持库房干燥，生熟品分库存放，保证库房符合安全、卫生要求。库房有专人管理；</w:t>
            </w:r>
          </w:p>
          <w:p w14:paraId="4B2CA7D5">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2、保证库内物品不变质。下班时锁门关窗关电确保安全。</w:t>
            </w:r>
          </w:p>
        </w:tc>
        <w:tc>
          <w:tcPr>
            <w:tcW w:w="1535" w:type="pct"/>
            <w:vAlign w:val="center"/>
          </w:tcPr>
          <w:p w14:paraId="5F8C6916">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库房内有变质食品（包括异味霉味腐烂味等），地面潮湿、有虫害，每项一次扣0.2分；库房内食品无分类，乱摆乱放，一次一项扣0.2分；无人时未关门窗、电源（冷库根据需要），发现有安全隐患不及时整改的一次一项扣1～2分。</w:t>
            </w:r>
          </w:p>
        </w:tc>
        <w:tc>
          <w:tcPr>
            <w:tcW w:w="507" w:type="pct"/>
            <w:vAlign w:val="center"/>
          </w:tcPr>
          <w:p w14:paraId="6DA7B2F5">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14:paraId="6B4F76D9">
            <w:pPr>
              <w:wordWrap w:val="0"/>
              <w:spacing w:line="280" w:lineRule="exact"/>
              <w:rPr>
                <w:rFonts w:asciiTheme="minorEastAsia" w:hAnsiTheme="minorEastAsia" w:eastAsiaTheme="minorEastAsia" w:cstheme="minorEastAsia"/>
                <w:color w:val="auto"/>
                <w:kern w:val="0"/>
                <w:sz w:val="18"/>
                <w:szCs w:val="18"/>
                <w:highlight w:val="none"/>
              </w:rPr>
            </w:pPr>
          </w:p>
        </w:tc>
      </w:tr>
      <w:tr w14:paraId="68C9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14:paraId="613282D9">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食品价格</w:t>
            </w:r>
          </w:p>
          <w:p w14:paraId="7913FCD8">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14:paraId="67DCC25D">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1、对学生食堂经营的各种食品采取按全成本销售；</w:t>
            </w:r>
          </w:p>
          <w:p w14:paraId="456156C1">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2、饭菜足量、质量好。</w:t>
            </w:r>
          </w:p>
        </w:tc>
        <w:tc>
          <w:tcPr>
            <w:tcW w:w="1535" w:type="pct"/>
            <w:vAlign w:val="center"/>
          </w:tcPr>
          <w:p w14:paraId="40014A5C">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食品价格未按规定标准执行，每发现一个品种扣0.5分，扣完为止。</w:t>
            </w:r>
          </w:p>
        </w:tc>
        <w:tc>
          <w:tcPr>
            <w:tcW w:w="507" w:type="pct"/>
            <w:vAlign w:val="center"/>
          </w:tcPr>
          <w:p w14:paraId="6EC59D78">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征询意见与抽查相结合</w:t>
            </w:r>
          </w:p>
        </w:tc>
        <w:tc>
          <w:tcPr>
            <w:tcW w:w="448" w:type="pct"/>
          </w:tcPr>
          <w:p w14:paraId="2A336BCC">
            <w:pPr>
              <w:wordWrap w:val="0"/>
              <w:spacing w:line="280" w:lineRule="exact"/>
              <w:rPr>
                <w:rFonts w:asciiTheme="minorEastAsia" w:hAnsiTheme="minorEastAsia" w:eastAsiaTheme="minorEastAsia" w:cstheme="minorEastAsia"/>
                <w:color w:val="auto"/>
                <w:kern w:val="0"/>
                <w:sz w:val="18"/>
                <w:szCs w:val="18"/>
                <w:highlight w:val="none"/>
              </w:rPr>
            </w:pPr>
          </w:p>
        </w:tc>
      </w:tr>
      <w:tr w14:paraId="6661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14:paraId="6920952B">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设备设施</w:t>
            </w:r>
          </w:p>
          <w:p w14:paraId="492C67C9">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14:paraId="0AD32385">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1、设备设施完好率100%；</w:t>
            </w:r>
          </w:p>
          <w:p w14:paraId="2337F8F9">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2、各种设备的保管由专人负责，对因保管不善造成的遗失、损坏货移做他用负全责。</w:t>
            </w:r>
          </w:p>
        </w:tc>
        <w:tc>
          <w:tcPr>
            <w:tcW w:w="1535" w:type="pct"/>
            <w:vAlign w:val="center"/>
          </w:tcPr>
          <w:p w14:paraId="2E57B2CE">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设备设施损坏后未及时上报修理或更换，设备设施存在油污，一次一项扣0.2分，扣完为止；无专人负责，造成遗失、损坏扣1分，并照价赔偿。</w:t>
            </w:r>
          </w:p>
        </w:tc>
        <w:tc>
          <w:tcPr>
            <w:tcW w:w="507" w:type="pct"/>
            <w:vAlign w:val="center"/>
          </w:tcPr>
          <w:p w14:paraId="37D2C3C3">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现场抽查</w:t>
            </w:r>
          </w:p>
        </w:tc>
        <w:tc>
          <w:tcPr>
            <w:tcW w:w="448" w:type="pct"/>
          </w:tcPr>
          <w:p w14:paraId="1D1DD24A">
            <w:pPr>
              <w:wordWrap w:val="0"/>
              <w:spacing w:line="280" w:lineRule="exact"/>
              <w:rPr>
                <w:rFonts w:asciiTheme="minorEastAsia" w:hAnsiTheme="minorEastAsia" w:eastAsiaTheme="minorEastAsia" w:cstheme="minorEastAsia"/>
                <w:color w:val="auto"/>
                <w:kern w:val="0"/>
                <w:sz w:val="18"/>
                <w:szCs w:val="18"/>
                <w:highlight w:val="none"/>
              </w:rPr>
            </w:pPr>
          </w:p>
        </w:tc>
      </w:tr>
      <w:tr w14:paraId="23AE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20" w:type="pct"/>
            <w:vAlign w:val="center"/>
          </w:tcPr>
          <w:p w14:paraId="3B2DAC8C">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满意率</w:t>
            </w:r>
          </w:p>
          <w:p w14:paraId="09584D3E">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（5分）</w:t>
            </w:r>
          </w:p>
        </w:tc>
        <w:tc>
          <w:tcPr>
            <w:tcW w:w="1989" w:type="pct"/>
            <w:vAlign w:val="center"/>
          </w:tcPr>
          <w:p w14:paraId="2C41322E">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1、餐饮服务满意率须符合相关要求，达到80%，虚心听取各方不同意见，对存在的问题及时整改；</w:t>
            </w:r>
          </w:p>
          <w:p w14:paraId="41EC8FA5">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2、保质保量地完成甲方下达的临时性任务；</w:t>
            </w:r>
          </w:p>
          <w:p w14:paraId="6C501301">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3、如发生食物中毒现象，一票否决。</w:t>
            </w:r>
          </w:p>
        </w:tc>
        <w:tc>
          <w:tcPr>
            <w:tcW w:w="1535" w:type="pct"/>
            <w:vAlign w:val="center"/>
          </w:tcPr>
          <w:p w14:paraId="213B94BF">
            <w:pPr>
              <w:wordWrap w:val="0"/>
              <w:spacing w:line="280" w:lineRule="exac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不到80%，每低1个百分点扣1分，对发现问题不及时整改，一次扣1分；不能保证完成甲方下达的临时性任务一次扣1分；扣完为止。</w:t>
            </w:r>
          </w:p>
        </w:tc>
        <w:tc>
          <w:tcPr>
            <w:tcW w:w="507" w:type="pct"/>
            <w:vAlign w:val="center"/>
          </w:tcPr>
          <w:p w14:paraId="3EC4F451">
            <w:pPr>
              <w:wordWrap w:val="0"/>
              <w:spacing w:line="280" w:lineRule="exact"/>
              <w:jc w:val="center"/>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不定期征求相应职工意见</w:t>
            </w:r>
          </w:p>
        </w:tc>
        <w:tc>
          <w:tcPr>
            <w:tcW w:w="448" w:type="pct"/>
          </w:tcPr>
          <w:p w14:paraId="7B762242">
            <w:pPr>
              <w:wordWrap w:val="0"/>
              <w:spacing w:line="280" w:lineRule="exact"/>
              <w:rPr>
                <w:rFonts w:asciiTheme="minorEastAsia" w:hAnsiTheme="minorEastAsia" w:eastAsiaTheme="minorEastAsia" w:cstheme="minorEastAsia"/>
                <w:color w:val="auto"/>
                <w:kern w:val="0"/>
                <w:sz w:val="18"/>
                <w:szCs w:val="18"/>
                <w:highlight w:val="none"/>
              </w:rPr>
            </w:pPr>
          </w:p>
        </w:tc>
      </w:tr>
    </w:tbl>
    <w:p w14:paraId="7ACFC083">
      <w:pPr>
        <w:wordWrap w:val="0"/>
        <w:spacing w:line="280" w:lineRule="exact"/>
        <w:rPr>
          <w:rFonts w:ascii="宋体" w:hAnsi="宋体" w:cs="宋体"/>
          <w:snapToGrid w:val="0"/>
          <w:color w:val="auto"/>
          <w:kern w:val="0"/>
          <w:highlight w:val="none"/>
        </w:rPr>
      </w:pPr>
    </w:p>
    <w:p w14:paraId="03497770">
      <w:pPr>
        <w:wordWrap w:val="0"/>
        <w:spacing w:line="28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考评综合得分：</w:t>
      </w:r>
    </w:p>
    <w:p w14:paraId="09CE3468">
      <w:pPr>
        <w:wordWrap w:val="0"/>
        <w:rPr>
          <w:rFonts w:ascii="宋体" w:hAnsi="宋体" w:cs="宋体"/>
          <w:snapToGrid w:val="0"/>
          <w:color w:val="auto"/>
          <w:kern w:val="0"/>
          <w:highlight w:val="none"/>
        </w:rPr>
      </w:pPr>
    </w:p>
    <w:p w14:paraId="7D941DFC">
      <w:pPr>
        <w:rPr>
          <w:rFonts w:ascii="宋体" w:hAnsi="宋体" w:cs="宋体"/>
          <w:snapToGrid w:val="0"/>
          <w:color w:val="auto"/>
          <w:kern w:val="0"/>
          <w:highlight w:val="none"/>
        </w:rPr>
      </w:pPr>
      <w:r>
        <w:rPr>
          <w:rFonts w:hint="eastAsia" w:ascii="宋体" w:hAnsi="宋体" w:cs="宋体"/>
          <w:snapToGrid w:val="0"/>
          <w:color w:val="auto"/>
          <w:kern w:val="0"/>
          <w:highlight w:val="none"/>
        </w:rPr>
        <w:br w:type="page"/>
      </w:r>
    </w:p>
    <w:p w14:paraId="5B9D58DB">
      <w:pPr>
        <w:wordWrap w:val="0"/>
        <w:spacing w:line="360" w:lineRule="auto"/>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附件2：师生餐饮满意度调查表</w:t>
      </w:r>
    </w:p>
    <w:p w14:paraId="5429DCF5">
      <w:pPr>
        <w:pStyle w:val="23"/>
        <w:ind w:firstLine="0" w:firstLineChars="0"/>
        <w:rPr>
          <w:color w:val="auto"/>
          <w:sz w:val="24"/>
          <w:szCs w:val="24"/>
          <w:highlight w:val="none"/>
        </w:rPr>
      </w:pPr>
      <w:r>
        <w:rPr>
          <w:rFonts w:hint="eastAsia"/>
          <w:color w:val="auto"/>
          <w:sz w:val="24"/>
          <w:szCs w:val="24"/>
          <w:highlight w:val="none"/>
        </w:rPr>
        <w:t>各位老师、同学们：</w:t>
      </w:r>
    </w:p>
    <w:p w14:paraId="4E3B8DE1">
      <w:pPr>
        <w:pStyle w:val="23"/>
        <w:ind w:firstLine="480"/>
        <w:rPr>
          <w:color w:val="auto"/>
          <w:sz w:val="24"/>
          <w:szCs w:val="24"/>
          <w:highlight w:val="none"/>
        </w:rPr>
      </w:pPr>
      <w:r>
        <w:rPr>
          <w:rFonts w:hint="eastAsia"/>
          <w:color w:val="auto"/>
          <w:sz w:val="24"/>
          <w:szCs w:val="24"/>
          <w:highlight w:val="none"/>
        </w:rPr>
        <w:t>大家好！为营造食堂良好的经营服务环境，加强对食堂的监督管理和日常考核，根据学校食堂招标文件要求和合同约定，学校总务处定期开展各食堂经营服务情况满意度调查，请广大老师、同学们根据实际就餐情况和日常所见，对各家食堂的相关情况给予客观实事求是的</w:t>
      </w:r>
      <w:r>
        <w:rPr>
          <w:rFonts w:hint="eastAsia"/>
          <w:color w:val="auto"/>
          <w:sz w:val="24"/>
          <w:szCs w:val="24"/>
          <w:highlight w:val="none"/>
          <w:lang w:val="en-US" w:eastAsia="zh-CN"/>
        </w:rPr>
        <w:t>评分</w:t>
      </w:r>
      <w:r>
        <w:rPr>
          <w:rFonts w:hint="eastAsia"/>
          <w:color w:val="auto"/>
          <w:sz w:val="24"/>
          <w:szCs w:val="24"/>
          <w:highlight w:val="none"/>
        </w:rPr>
        <w:t>，并提出宝贵的意见</w:t>
      </w:r>
      <w:r>
        <w:rPr>
          <w:rFonts w:hint="eastAsia"/>
          <w:color w:val="auto"/>
          <w:sz w:val="24"/>
          <w:szCs w:val="24"/>
          <w:highlight w:val="none"/>
          <w:lang w:val="en-US" w:eastAsia="zh-CN"/>
        </w:rPr>
        <w:t>和</w:t>
      </w:r>
      <w:r>
        <w:rPr>
          <w:rFonts w:hint="eastAsia"/>
          <w:color w:val="auto"/>
          <w:sz w:val="24"/>
          <w:szCs w:val="24"/>
          <w:highlight w:val="none"/>
        </w:rPr>
        <w:t>建议，学校将以此考评结果作为食堂合同续签的重要依据，并督促各食堂改进经营管理，为大家提供</w:t>
      </w:r>
      <w:r>
        <w:rPr>
          <w:rFonts w:hint="eastAsia"/>
          <w:color w:val="auto"/>
          <w:sz w:val="24"/>
          <w:szCs w:val="24"/>
          <w:highlight w:val="none"/>
          <w:lang w:val="en-US" w:eastAsia="zh-CN"/>
        </w:rPr>
        <w:t>更加优质</w:t>
      </w:r>
      <w:r>
        <w:rPr>
          <w:rFonts w:hint="eastAsia"/>
          <w:color w:val="auto"/>
          <w:sz w:val="24"/>
          <w:szCs w:val="24"/>
          <w:highlight w:val="none"/>
        </w:rPr>
        <w:t>的餐饮体验服务。谢谢！</w:t>
      </w:r>
    </w:p>
    <w:p w14:paraId="33ED6ABD">
      <w:pPr>
        <w:pStyle w:val="23"/>
        <w:spacing w:line="400" w:lineRule="exact"/>
        <w:ind w:firstLine="480"/>
        <w:rPr>
          <w:color w:val="auto"/>
          <w:sz w:val="24"/>
          <w:szCs w:val="24"/>
          <w:highlight w:val="none"/>
        </w:rPr>
      </w:pPr>
    </w:p>
    <w:tbl>
      <w:tblPr>
        <w:tblStyle w:val="20"/>
        <w:tblW w:w="5267" w:type="pct"/>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9"/>
        <w:gridCol w:w="1274"/>
        <w:gridCol w:w="3343"/>
      </w:tblGrid>
      <w:tr w14:paraId="154D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00" w:type="pct"/>
            <w:gridSpan w:val="4"/>
            <w:vAlign w:val="center"/>
          </w:tcPr>
          <w:p w14:paraId="3621990C">
            <w:pPr>
              <w:spacing w:line="400" w:lineRule="exact"/>
              <w:jc w:val="center"/>
              <w:rPr>
                <w:rFonts w:ascii="宋体" w:hAnsi="宋体"/>
                <w:b/>
                <w:bCs/>
                <w:color w:val="auto"/>
                <w:sz w:val="24"/>
                <w:szCs w:val="24"/>
                <w:highlight w:val="none"/>
              </w:rPr>
            </w:pPr>
            <w:r>
              <w:rPr>
                <w:rFonts w:hint="eastAsia" w:ascii="宋体" w:hAnsi="宋体"/>
                <w:b/>
                <w:color w:val="auto"/>
                <w:sz w:val="28"/>
                <w:szCs w:val="28"/>
                <w:highlight w:val="none"/>
              </w:rPr>
              <w:t>师生餐饮满意度调查表</w:t>
            </w:r>
          </w:p>
        </w:tc>
      </w:tr>
      <w:tr w14:paraId="5807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14:paraId="41A3168B">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姓名</w:t>
            </w:r>
          </w:p>
        </w:tc>
        <w:tc>
          <w:tcPr>
            <w:tcW w:w="2111" w:type="pct"/>
            <w:vAlign w:val="center"/>
          </w:tcPr>
          <w:p w14:paraId="1538522D">
            <w:pPr>
              <w:spacing w:line="400" w:lineRule="exact"/>
              <w:jc w:val="center"/>
              <w:rPr>
                <w:rFonts w:ascii="宋体" w:hAnsi="宋体"/>
                <w:b/>
                <w:bCs/>
                <w:color w:val="auto"/>
                <w:sz w:val="24"/>
                <w:szCs w:val="24"/>
                <w:highlight w:val="none"/>
              </w:rPr>
            </w:pPr>
          </w:p>
        </w:tc>
        <w:tc>
          <w:tcPr>
            <w:tcW w:w="669" w:type="pct"/>
            <w:vAlign w:val="center"/>
          </w:tcPr>
          <w:p w14:paraId="1EEB9042">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填表日期</w:t>
            </w:r>
          </w:p>
        </w:tc>
        <w:tc>
          <w:tcPr>
            <w:tcW w:w="1754" w:type="pct"/>
            <w:vAlign w:val="center"/>
          </w:tcPr>
          <w:p w14:paraId="5D98EBCA">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年月日</w:t>
            </w:r>
          </w:p>
        </w:tc>
      </w:tr>
      <w:tr w14:paraId="71A3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tcPr>
          <w:p w14:paraId="244E7136">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111" w:type="pct"/>
          </w:tcPr>
          <w:p w14:paraId="3F2177D4">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调查事项</w:t>
            </w:r>
          </w:p>
        </w:tc>
        <w:tc>
          <w:tcPr>
            <w:tcW w:w="669" w:type="pct"/>
          </w:tcPr>
          <w:p w14:paraId="6870CB70">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分值</w:t>
            </w:r>
          </w:p>
        </w:tc>
        <w:tc>
          <w:tcPr>
            <w:tcW w:w="1754" w:type="pct"/>
          </w:tcPr>
          <w:p w14:paraId="5E12BB18">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备注（建议意见）</w:t>
            </w:r>
          </w:p>
        </w:tc>
      </w:tr>
      <w:tr w14:paraId="4DC2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14:paraId="02F6CFD8">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1</w:t>
            </w:r>
          </w:p>
        </w:tc>
        <w:tc>
          <w:tcPr>
            <w:tcW w:w="2111" w:type="pct"/>
          </w:tcPr>
          <w:p w14:paraId="2EA00893">
            <w:pPr>
              <w:spacing w:line="400" w:lineRule="exact"/>
              <w:rPr>
                <w:rFonts w:ascii="宋体" w:hAnsi="宋体"/>
                <w:b/>
                <w:bCs/>
                <w:color w:val="auto"/>
                <w:szCs w:val="21"/>
                <w:highlight w:val="none"/>
              </w:rPr>
            </w:pPr>
            <w:r>
              <w:rPr>
                <w:rFonts w:hint="eastAsia" w:ascii="宋体" w:hAnsi="宋体"/>
                <w:color w:val="auto"/>
                <w:szCs w:val="21"/>
                <w:highlight w:val="none"/>
              </w:rPr>
              <w:t>食堂的饭菜价格是否合理、明码标价、重量称量等情况</w:t>
            </w:r>
          </w:p>
        </w:tc>
        <w:tc>
          <w:tcPr>
            <w:tcW w:w="669" w:type="pct"/>
            <w:vAlign w:val="center"/>
          </w:tcPr>
          <w:p w14:paraId="46538EFB">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253AC54F">
            <w:pPr>
              <w:spacing w:line="400" w:lineRule="exact"/>
              <w:rPr>
                <w:rFonts w:ascii="宋体" w:hAnsi="宋体"/>
                <w:b/>
                <w:bCs/>
                <w:color w:val="auto"/>
                <w:szCs w:val="21"/>
                <w:highlight w:val="none"/>
              </w:rPr>
            </w:pPr>
          </w:p>
        </w:tc>
      </w:tr>
      <w:tr w14:paraId="50D0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14:paraId="3CB89D03">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2</w:t>
            </w:r>
          </w:p>
        </w:tc>
        <w:tc>
          <w:tcPr>
            <w:tcW w:w="2111" w:type="pct"/>
          </w:tcPr>
          <w:p w14:paraId="05D7D553">
            <w:pPr>
              <w:spacing w:line="400" w:lineRule="exact"/>
              <w:rPr>
                <w:rFonts w:ascii="宋体" w:hAnsi="宋体"/>
                <w:b/>
                <w:bCs/>
                <w:color w:val="auto"/>
                <w:szCs w:val="21"/>
                <w:highlight w:val="none"/>
              </w:rPr>
            </w:pPr>
            <w:r>
              <w:rPr>
                <w:rFonts w:hint="eastAsia" w:ascii="宋体" w:hAnsi="宋体"/>
                <w:color w:val="auto"/>
                <w:szCs w:val="21"/>
                <w:highlight w:val="none"/>
              </w:rPr>
              <w:t>食堂经营服务人员的工作态度情况</w:t>
            </w:r>
          </w:p>
        </w:tc>
        <w:tc>
          <w:tcPr>
            <w:tcW w:w="669" w:type="pct"/>
            <w:vAlign w:val="center"/>
          </w:tcPr>
          <w:p w14:paraId="4B84F35F">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383047C0">
            <w:pPr>
              <w:spacing w:line="400" w:lineRule="exact"/>
              <w:rPr>
                <w:rFonts w:ascii="宋体" w:hAnsi="宋体"/>
                <w:b/>
                <w:bCs/>
                <w:color w:val="auto"/>
                <w:szCs w:val="21"/>
                <w:highlight w:val="none"/>
              </w:rPr>
            </w:pPr>
          </w:p>
        </w:tc>
      </w:tr>
      <w:tr w14:paraId="0594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14:paraId="553D5AAE">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3</w:t>
            </w:r>
          </w:p>
        </w:tc>
        <w:tc>
          <w:tcPr>
            <w:tcW w:w="2111" w:type="pct"/>
          </w:tcPr>
          <w:p w14:paraId="6309FCE0">
            <w:pPr>
              <w:spacing w:line="400" w:lineRule="exact"/>
              <w:rPr>
                <w:rFonts w:ascii="宋体" w:hAnsi="宋体"/>
                <w:b/>
                <w:bCs/>
                <w:color w:val="auto"/>
                <w:szCs w:val="21"/>
                <w:highlight w:val="none"/>
              </w:rPr>
            </w:pPr>
            <w:r>
              <w:rPr>
                <w:rFonts w:hint="eastAsia" w:ascii="宋体" w:hAnsi="宋体"/>
                <w:color w:val="auto"/>
                <w:szCs w:val="21"/>
                <w:highlight w:val="none"/>
              </w:rPr>
              <w:t>食堂餐饮的花色品种、特色餐饮和大伙档口比例、免费汤分量口味情况</w:t>
            </w:r>
          </w:p>
        </w:tc>
        <w:tc>
          <w:tcPr>
            <w:tcW w:w="669" w:type="pct"/>
            <w:vAlign w:val="center"/>
          </w:tcPr>
          <w:p w14:paraId="356B1AE8">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47CC1AF0">
            <w:pPr>
              <w:spacing w:line="400" w:lineRule="exact"/>
              <w:rPr>
                <w:rFonts w:ascii="宋体" w:hAnsi="宋体"/>
                <w:b/>
                <w:bCs/>
                <w:color w:val="auto"/>
                <w:szCs w:val="21"/>
                <w:highlight w:val="none"/>
              </w:rPr>
            </w:pPr>
          </w:p>
        </w:tc>
      </w:tr>
      <w:tr w14:paraId="662E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14:paraId="1E59739D">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4</w:t>
            </w:r>
          </w:p>
        </w:tc>
        <w:tc>
          <w:tcPr>
            <w:tcW w:w="2111" w:type="pct"/>
          </w:tcPr>
          <w:p w14:paraId="0EA07705">
            <w:pPr>
              <w:spacing w:line="400" w:lineRule="exact"/>
              <w:rPr>
                <w:rFonts w:ascii="宋体" w:hAnsi="宋体"/>
                <w:b/>
                <w:bCs/>
                <w:color w:val="auto"/>
                <w:szCs w:val="21"/>
                <w:highlight w:val="none"/>
              </w:rPr>
            </w:pPr>
            <w:r>
              <w:rPr>
                <w:rFonts w:hint="eastAsia" w:ascii="宋体" w:hAnsi="宋体"/>
                <w:color w:val="auto"/>
                <w:szCs w:val="21"/>
                <w:highlight w:val="none"/>
              </w:rPr>
              <w:t>食堂非转基因油、一卡通使用、杜绝饮料添加剂使用情况</w:t>
            </w:r>
          </w:p>
        </w:tc>
        <w:tc>
          <w:tcPr>
            <w:tcW w:w="669" w:type="pct"/>
            <w:vAlign w:val="center"/>
          </w:tcPr>
          <w:p w14:paraId="291864A9">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4231B50D">
            <w:pPr>
              <w:spacing w:line="400" w:lineRule="exact"/>
              <w:rPr>
                <w:rFonts w:ascii="宋体" w:hAnsi="宋体"/>
                <w:b/>
                <w:bCs/>
                <w:color w:val="auto"/>
                <w:szCs w:val="21"/>
                <w:highlight w:val="none"/>
              </w:rPr>
            </w:pPr>
          </w:p>
        </w:tc>
      </w:tr>
      <w:tr w14:paraId="454F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14:paraId="4F48F9EE">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5</w:t>
            </w:r>
          </w:p>
        </w:tc>
        <w:tc>
          <w:tcPr>
            <w:tcW w:w="2111" w:type="pct"/>
          </w:tcPr>
          <w:p w14:paraId="149D7690">
            <w:pPr>
              <w:spacing w:line="400" w:lineRule="exact"/>
              <w:rPr>
                <w:rFonts w:ascii="宋体" w:hAnsi="宋体"/>
                <w:b/>
                <w:bCs/>
                <w:color w:val="auto"/>
                <w:szCs w:val="21"/>
                <w:highlight w:val="none"/>
              </w:rPr>
            </w:pPr>
            <w:r>
              <w:rPr>
                <w:rFonts w:hint="eastAsia" w:ascii="宋体" w:hAnsi="宋体"/>
                <w:color w:val="auto"/>
                <w:szCs w:val="21"/>
                <w:highlight w:val="none"/>
              </w:rPr>
              <w:t>食堂环境卫生、防蚊防蝇防鼠、人员仪表着装、餐桌椅摆放、餐具清洗消毒情况</w:t>
            </w:r>
          </w:p>
        </w:tc>
        <w:tc>
          <w:tcPr>
            <w:tcW w:w="669" w:type="pct"/>
            <w:vAlign w:val="center"/>
          </w:tcPr>
          <w:p w14:paraId="06691B77">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6CEC58B0">
            <w:pPr>
              <w:spacing w:line="400" w:lineRule="exact"/>
              <w:rPr>
                <w:rFonts w:ascii="宋体" w:hAnsi="宋体"/>
                <w:b/>
                <w:bCs/>
                <w:color w:val="auto"/>
                <w:szCs w:val="21"/>
                <w:highlight w:val="none"/>
              </w:rPr>
            </w:pPr>
          </w:p>
        </w:tc>
      </w:tr>
      <w:tr w14:paraId="3239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14:paraId="7BAAD687">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6</w:t>
            </w:r>
          </w:p>
        </w:tc>
        <w:tc>
          <w:tcPr>
            <w:tcW w:w="2111" w:type="pct"/>
          </w:tcPr>
          <w:p w14:paraId="7C216880">
            <w:pPr>
              <w:wordWrap w:val="0"/>
              <w:spacing w:line="400" w:lineRule="exact"/>
              <w:rPr>
                <w:rFonts w:ascii="宋体" w:hAnsi="宋体"/>
                <w:color w:val="auto"/>
                <w:szCs w:val="21"/>
                <w:highlight w:val="none"/>
              </w:rPr>
            </w:pPr>
            <w:r>
              <w:rPr>
                <w:rFonts w:hint="eastAsia" w:ascii="宋体" w:hAnsi="宋体"/>
                <w:color w:val="auto"/>
                <w:szCs w:val="21"/>
                <w:highlight w:val="none"/>
              </w:rPr>
              <w:t>饭菜质量方面菜香饭熟，无夹生饭，无头发丝、钢丝球、虫子或不净菜情况</w:t>
            </w:r>
          </w:p>
        </w:tc>
        <w:tc>
          <w:tcPr>
            <w:tcW w:w="669" w:type="pct"/>
            <w:vAlign w:val="center"/>
          </w:tcPr>
          <w:p w14:paraId="6D6383A3">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0B12EBEE">
            <w:pPr>
              <w:spacing w:line="400" w:lineRule="exact"/>
              <w:rPr>
                <w:rFonts w:ascii="宋体" w:hAnsi="宋体"/>
                <w:b/>
                <w:bCs/>
                <w:color w:val="auto"/>
                <w:szCs w:val="21"/>
                <w:highlight w:val="none"/>
              </w:rPr>
            </w:pPr>
          </w:p>
        </w:tc>
      </w:tr>
      <w:tr w14:paraId="7AFE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14:paraId="33F71606">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7</w:t>
            </w:r>
          </w:p>
        </w:tc>
        <w:tc>
          <w:tcPr>
            <w:tcW w:w="2111" w:type="pct"/>
          </w:tcPr>
          <w:p w14:paraId="65D8C09F">
            <w:pPr>
              <w:wordWrap w:val="0"/>
              <w:spacing w:line="400" w:lineRule="exact"/>
              <w:rPr>
                <w:rFonts w:ascii="宋体" w:hAnsi="宋体"/>
                <w:color w:val="auto"/>
                <w:szCs w:val="21"/>
                <w:highlight w:val="none"/>
              </w:rPr>
            </w:pPr>
            <w:r>
              <w:rPr>
                <w:rFonts w:hint="eastAsia" w:ascii="宋体" w:hAnsi="宋体"/>
                <w:color w:val="auto"/>
                <w:szCs w:val="21"/>
                <w:highlight w:val="none"/>
              </w:rPr>
              <w:t>操作间和库房管理规范有序，符合安全、卫生要求情况</w:t>
            </w:r>
          </w:p>
        </w:tc>
        <w:tc>
          <w:tcPr>
            <w:tcW w:w="669" w:type="pct"/>
            <w:vAlign w:val="center"/>
          </w:tcPr>
          <w:p w14:paraId="111123F0">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76427E62">
            <w:pPr>
              <w:spacing w:line="400" w:lineRule="exact"/>
              <w:rPr>
                <w:rFonts w:ascii="宋体" w:hAnsi="宋体"/>
                <w:b/>
                <w:bCs/>
                <w:color w:val="auto"/>
                <w:szCs w:val="21"/>
                <w:highlight w:val="none"/>
              </w:rPr>
            </w:pPr>
          </w:p>
        </w:tc>
      </w:tr>
      <w:tr w14:paraId="565D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14:paraId="66760257">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8</w:t>
            </w:r>
          </w:p>
        </w:tc>
        <w:tc>
          <w:tcPr>
            <w:tcW w:w="2111" w:type="pct"/>
          </w:tcPr>
          <w:p w14:paraId="5169FC15">
            <w:pPr>
              <w:spacing w:line="400" w:lineRule="exact"/>
              <w:rPr>
                <w:rFonts w:ascii="宋体" w:hAnsi="宋体"/>
                <w:color w:val="auto"/>
                <w:szCs w:val="21"/>
                <w:highlight w:val="none"/>
              </w:rPr>
            </w:pPr>
            <w:r>
              <w:rPr>
                <w:rFonts w:hint="eastAsia" w:ascii="宋体" w:hAnsi="宋体"/>
                <w:color w:val="auto"/>
                <w:szCs w:val="21"/>
                <w:highlight w:val="none"/>
              </w:rPr>
              <w:t>物资采购符合健康安全的要求，采购渠道正规并定期在食堂公布有关合格证情况</w:t>
            </w:r>
          </w:p>
        </w:tc>
        <w:tc>
          <w:tcPr>
            <w:tcW w:w="669" w:type="pct"/>
            <w:vAlign w:val="center"/>
          </w:tcPr>
          <w:p w14:paraId="3BB8D08B">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0DF36F2B">
            <w:pPr>
              <w:spacing w:line="400" w:lineRule="exact"/>
              <w:rPr>
                <w:rFonts w:ascii="宋体" w:hAnsi="宋体"/>
                <w:b/>
                <w:bCs/>
                <w:color w:val="auto"/>
                <w:szCs w:val="21"/>
                <w:highlight w:val="none"/>
              </w:rPr>
            </w:pPr>
          </w:p>
        </w:tc>
      </w:tr>
      <w:tr w14:paraId="5FB2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14:paraId="234DAA09">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9</w:t>
            </w:r>
          </w:p>
        </w:tc>
        <w:tc>
          <w:tcPr>
            <w:tcW w:w="2111" w:type="pct"/>
          </w:tcPr>
          <w:p w14:paraId="14BA2F29">
            <w:pPr>
              <w:spacing w:line="400" w:lineRule="exact"/>
              <w:rPr>
                <w:rFonts w:ascii="宋体" w:hAnsi="宋体"/>
                <w:color w:val="auto"/>
                <w:szCs w:val="21"/>
                <w:highlight w:val="none"/>
              </w:rPr>
            </w:pPr>
            <w:r>
              <w:rPr>
                <w:rFonts w:hint="eastAsia" w:ascii="宋体" w:hAnsi="宋体"/>
                <w:color w:val="auto"/>
                <w:szCs w:val="21"/>
                <w:highlight w:val="none"/>
              </w:rPr>
              <w:t>留样记录、各类制度上墙及专业人员配备情况</w:t>
            </w:r>
          </w:p>
        </w:tc>
        <w:tc>
          <w:tcPr>
            <w:tcW w:w="669" w:type="pct"/>
            <w:vAlign w:val="center"/>
          </w:tcPr>
          <w:p w14:paraId="45796B66">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4065AFCF">
            <w:pPr>
              <w:spacing w:line="400" w:lineRule="exact"/>
              <w:rPr>
                <w:rFonts w:ascii="宋体" w:hAnsi="宋体"/>
                <w:b/>
                <w:bCs/>
                <w:color w:val="auto"/>
                <w:szCs w:val="21"/>
                <w:highlight w:val="none"/>
              </w:rPr>
            </w:pPr>
          </w:p>
        </w:tc>
      </w:tr>
      <w:tr w14:paraId="6D06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64" w:type="pct"/>
            <w:vAlign w:val="center"/>
          </w:tcPr>
          <w:p w14:paraId="46C51A41">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10</w:t>
            </w:r>
          </w:p>
        </w:tc>
        <w:tc>
          <w:tcPr>
            <w:tcW w:w="2111" w:type="pct"/>
          </w:tcPr>
          <w:p w14:paraId="0EAF4037">
            <w:pPr>
              <w:spacing w:line="400" w:lineRule="exact"/>
              <w:rPr>
                <w:rFonts w:ascii="宋体" w:hAnsi="宋体"/>
                <w:color w:val="auto"/>
                <w:szCs w:val="21"/>
                <w:highlight w:val="none"/>
              </w:rPr>
            </w:pPr>
            <w:r>
              <w:rPr>
                <w:rFonts w:hint="eastAsia" w:ascii="宋体" w:hAnsi="宋体"/>
                <w:color w:val="auto"/>
                <w:szCs w:val="21"/>
                <w:highlight w:val="none"/>
              </w:rPr>
              <w:t>光盘行动宣传、节约水电气并做好安全防范工作情况</w:t>
            </w:r>
          </w:p>
        </w:tc>
        <w:tc>
          <w:tcPr>
            <w:tcW w:w="669" w:type="pct"/>
            <w:vAlign w:val="center"/>
          </w:tcPr>
          <w:p w14:paraId="5B6955EE">
            <w:pPr>
              <w:spacing w:line="400" w:lineRule="exact"/>
              <w:jc w:val="center"/>
              <w:rPr>
                <w:rFonts w:ascii="宋体" w:hAnsi="宋体"/>
                <w:b/>
                <w:bCs/>
                <w:color w:val="auto"/>
                <w:szCs w:val="21"/>
                <w:highlight w:val="none"/>
              </w:rPr>
            </w:pPr>
            <w:r>
              <w:rPr>
                <w:rFonts w:hint="eastAsia" w:ascii="宋体" w:hAnsi="宋体"/>
                <w:color w:val="auto"/>
                <w:szCs w:val="21"/>
                <w:highlight w:val="none"/>
              </w:rPr>
              <w:t>10</w:t>
            </w:r>
          </w:p>
        </w:tc>
        <w:tc>
          <w:tcPr>
            <w:tcW w:w="1754" w:type="pct"/>
          </w:tcPr>
          <w:p w14:paraId="2FF0F472">
            <w:pPr>
              <w:spacing w:line="400" w:lineRule="exact"/>
              <w:rPr>
                <w:rFonts w:ascii="宋体" w:hAnsi="宋体"/>
                <w:b/>
                <w:bCs/>
                <w:color w:val="auto"/>
                <w:szCs w:val="21"/>
                <w:highlight w:val="none"/>
              </w:rPr>
            </w:pPr>
          </w:p>
        </w:tc>
      </w:tr>
    </w:tbl>
    <w:p w14:paraId="62982587">
      <w:pPr>
        <w:pStyle w:val="23"/>
        <w:spacing w:line="440" w:lineRule="exact"/>
        <w:ind w:firstLine="0" w:firstLineChars="0"/>
        <w:rPr>
          <w:snapToGrid w:val="0"/>
          <w:color w:val="auto"/>
          <w:kern w:val="0"/>
          <w:highlight w:val="none"/>
        </w:rPr>
      </w:pPr>
      <w:r>
        <w:rPr>
          <w:rFonts w:hint="eastAsia"/>
          <w:snapToGrid w:val="0"/>
          <w:color w:val="auto"/>
          <w:kern w:val="0"/>
          <w:highlight w:val="none"/>
        </w:rPr>
        <w:br w:type="page"/>
      </w:r>
    </w:p>
    <w:bookmarkEnd w:id="182"/>
    <w:bookmarkEnd w:id="183"/>
    <w:bookmarkEnd w:id="184"/>
    <w:p w14:paraId="43C1F5EA">
      <w:pPr>
        <w:pStyle w:val="7"/>
        <w:outlineLvl w:val="0"/>
        <w:rPr>
          <w:snapToGrid w:val="0"/>
          <w:color w:val="auto"/>
          <w:kern w:val="0"/>
          <w:highlight w:val="none"/>
        </w:rPr>
      </w:pPr>
      <w:bookmarkStart w:id="185" w:name="_Toc8643"/>
      <w:bookmarkStart w:id="186" w:name="_Toc20747"/>
      <w:bookmarkStart w:id="187" w:name="_Toc27546"/>
      <w:bookmarkStart w:id="188" w:name="_Toc13530"/>
      <w:r>
        <w:rPr>
          <w:rFonts w:hint="eastAsia"/>
          <w:snapToGrid w:val="0"/>
          <w:color w:val="auto"/>
          <w:kern w:val="0"/>
          <w:highlight w:val="none"/>
        </w:rPr>
        <w:t>第七章 投标文件格式</w:t>
      </w:r>
      <w:bookmarkEnd w:id="178"/>
      <w:bookmarkEnd w:id="185"/>
      <w:bookmarkEnd w:id="186"/>
      <w:bookmarkEnd w:id="187"/>
      <w:bookmarkEnd w:id="188"/>
    </w:p>
    <w:p w14:paraId="28D0CC50">
      <w:pPr>
        <w:wordWrap w:val="0"/>
        <w:jc w:val="center"/>
        <w:outlineLvl w:val="1"/>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投标书格式</w:t>
      </w:r>
    </w:p>
    <w:p w14:paraId="583A8583">
      <w:pPr>
        <w:wordWrap w:val="0"/>
        <w:spacing w:line="500" w:lineRule="exact"/>
        <w:rPr>
          <w:rFonts w:ascii="宋体" w:hAnsi="宋体" w:cs="宋体"/>
          <w:snapToGrid w:val="0"/>
          <w:color w:val="auto"/>
          <w:kern w:val="0"/>
          <w:szCs w:val="21"/>
          <w:highlight w:val="none"/>
        </w:rPr>
      </w:pPr>
    </w:p>
    <w:p w14:paraId="597AE261">
      <w:pPr>
        <w:wordWrap w:val="0"/>
        <w:spacing w:line="500" w:lineRule="exact"/>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项目名称：</w:t>
      </w:r>
    </w:p>
    <w:p w14:paraId="51104904">
      <w:pPr>
        <w:wordWrap w:val="0"/>
        <w:spacing w:line="500" w:lineRule="exact"/>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项目编号：</w:t>
      </w:r>
    </w:p>
    <w:p w14:paraId="45A591F5">
      <w:pPr>
        <w:wordWrap w:val="0"/>
        <w:spacing w:line="500" w:lineRule="exact"/>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所投包号：</w:t>
      </w:r>
    </w:p>
    <w:p w14:paraId="508F5B1F">
      <w:pPr>
        <w:wordWrap w:val="0"/>
        <w:spacing w:line="900" w:lineRule="exact"/>
        <w:rPr>
          <w:rFonts w:ascii="宋体" w:hAnsi="宋体" w:cs="宋体"/>
          <w:snapToGrid w:val="0"/>
          <w:color w:val="auto"/>
          <w:kern w:val="0"/>
          <w:szCs w:val="21"/>
          <w:highlight w:val="none"/>
        </w:rPr>
      </w:pPr>
    </w:p>
    <w:p w14:paraId="24A92470">
      <w:pPr>
        <w:wordWrap w:val="0"/>
        <w:spacing w:line="1200" w:lineRule="auto"/>
        <w:jc w:val="center"/>
        <w:rPr>
          <w:rFonts w:ascii="宋体" w:hAnsi="宋体" w:cs="宋体"/>
          <w:b/>
          <w:bCs/>
          <w:snapToGrid w:val="0"/>
          <w:color w:val="auto"/>
          <w:kern w:val="0"/>
          <w:sz w:val="84"/>
          <w:szCs w:val="84"/>
          <w:highlight w:val="none"/>
        </w:rPr>
      </w:pPr>
      <w:r>
        <w:rPr>
          <w:rFonts w:hint="eastAsia" w:ascii="宋体" w:hAnsi="宋体" w:cs="宋体"/>
          <w:b/>
          <w:bCs/>
          <w:snapToGrid w:val="0"/>
          <w:color w:val="auto"/>
          <w:kern w:val="0"/>
          <w:sz w:val="84"/>
          <w:szCs w:val="84"/>
          <w:highlight w:val="none"/>
        </w:rPr>
        <w:t>投</w:t>
      </w:r>
    </w:p>
    <w:p w14:paraId="03116BEE">
      <w:pPr>
        <w:wordWrap w:val="0"/>
        <w:spacing w:line="1200" w:lineRule="auto"/>
        <w:jc w:val="center"/>
        <w:rPr>
          <w:rFonts w:ascii="宋体" w:hAnsi="宋体" w:cs="宋体"/>
          <w:b/>
          <w:bCs/>
          <w:snapToGrid w:val="0"/>
          <w:color w:val="auto"/>
          <w:kern w:val="0"/>
          <w:sz w:val="84"/>
          <w:szCs w:val="84"/>
          <w:highlight w:val="none"/>
        </w:rPr>
      </w:pPr>
      <w:r>
        <w:rPr>
          <w:rFonts w:hint="eastAsia" w:ascii="宋体" w:hAnsi="宋体" w:cs="宋体"/>
          <w:b/>
          <w:bCs/>
          <w:snapToGrid w:val="0"/>
          <w:color w:val="auto"/>
          <w:kern w:val="0"/>
          <w:sz w:val="84"/>
          <w:szCs w:val="84"/>
          <w:highlight w:val="none"/>
        </w:rPr>
        <w:t>标</w:t>
      </w:r>
    </w:p>
    <w:p w14:paraId="2CD36BE7">
      <w:pPr>
        <w:wordWrap w:val="0"/>
        <w:spacing w:line="1200" w:lineRule="auto"/>
        <w:jc w:val="center"/>
        <w:rPr>
          <w:rFonts w:ascii="宋体" w:hAnsi="宋体" w:cs="宋体"/>
          <w:b/>
          <w:bCs/>
          <w:snapToGrid w:val="0"/>
          <w:color w:val="auto"/>
          <w:kern w:val="0"/>
          <w:sz w:val="84"/>
          <w:szCs w:val="84"/>
          <w:highlight w:val="none"/>
        </w:rPr>
      </w:pPr>
      <w:r>
        <w:rPr>
          <w:rFonts w:hint="eastAsia" w:ascii="宋体" w:hAnsi="宋体" w:cs="宋体"/>
          <w:b/>
          <w:bCs/>
          <w:snapToGrid w:val="0"/>
          <w:color w:val="auto"/>
          <w:kern w:val="0"/>
          <w:sz w:val="84"/>
          <w:szCs w:val="84"/>
          <w:highlight w:val="none"/>
        </w:rPr>
        <w:t>书</w:t>
      </w:r>
    </w:p>
    <w:p w14:paraId="2A868AA3">
      <w:pPr>
        <w:wordWrap w:val="0"/>
        <w:spacing w:line="900" w:lineRule="exact"/>
        <w:jc w:val="center"/>
        <w:rPr>
          <w:rFonts w:ascii="宋体" w:hAnsi="宋体" w:cs="宋体"/>
          <w:snapToGrid w:val="0"/>
          <w:color w:val="auto"/>
          <w:kern w:val="0"/>
          <w:sz w:val="84"/>
          <w:szCs w:val="84"/>
          <w:highlight w:val="none"/>
        </w:rPr>
      </w:pPr>
    </w:p>
    <w:p w14:paraId="34258C57">
      <w:pPr>
        <w:wordWrap w:val="0"/>
        <w:spacing w:line="500" w:lineRule="exact"/>
        <w:jc w:val="center"/>
        <w:rPr>
          <w:rFonts w:ascii="宋体" w:hAnsi="宋体" w:cs="宋体"/>
          <w:snapToGrid w:val="0"/>
          <w:color w:val="auto"/>
          <w:kern w:val="0"/>
          <w:szCs w:val="21"/>
          <w:highlight w:val="none"/>
        </w:rPr>
      </w:pPr>
    </w:p>
    <w:p w14:paraId="0DF3C8D2">
      <w:pPr>
        <w:wordWrap w:val="0"/>
        <w:spacing w:line="500" w:lineRule="exact"/>
        <w:rPr>
          <w:rFonts w:ascii="宋体" w:hAnsi="宋体" w:cs="宋体"/>
          <w:snapToGrid w:val="0"/>
          <w:color w:val="auto"/>
          <w:kern w:val="0"/>
          <w:szCs w:val="21"/>
          <w:highlight w:val="none"/>
        </w:rPr>
      </w:pPr>
    </w:p>
    <w:p w14:paraId="179E4EA4">
      <w:pPr>
        <w:pStyle w:val="12"/>
        <w:rPr>
          <w:color w:val="auto"/>
          <w:highlight w:val="none"/>
        </w:rPr>
      </w:pPr>
    </w:p>
    <w:p w14:paraId="1D682373">
      <w:pPr>
        <w:wordWrap w:val="0"/>
        <w:spacing w:line="500" w:lineRule="exact"/>
        <w:jc w:val="center"/>
        <w:rPr>
          <w:rFonts w:ascii="宋体" w:hAnsi="宋体" w:cs="宋体"/>
          <w:snapToGrid w:val="0"/>
          <w:color w:val="auto"/>
          <w:kern w:val="0"/>
          <w:szCs w:val="21"/>
          <w:highlight w:val="none"/>
        </w:rPr>
      </w:pPr>
    </w:p>
    <w:p w14:paraId="6A6F8E82">
      <w:pPr>
        <w:wordWrap w:val="0"/>
        <w:spacing w:line="720" w:lineRule="auto"/>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投 标 人：                  （签章）</w:t>
      </w:r>
    </w:p>
    <w:p w14:paraId="628A907F">
      <w:pPr>
        <w:wordWrap w:val="0"/>
        <w:spacing w:line="720" w:lineRule="auto"/>
        <w:jc w:val="center"/>
        <w:rPr>
          <w:rFonts w:ascii="宋体" w:hAnsi="宋体" w:cs="宋体"/>
          <w:snapToGrid w:val="0"/>
          <w:color w:val="auto"/>
          <w:kern w:val="0"/>
          <w:sz w:val="32"/>
          <w:szCs w:val="32"/>
          <w:highlight w:val="none"/>
        </w:rPr>
      </w:pPr>
      <w:r>
        <w:rPr>
          <w:rFonts w:hint="eastAsia" w:ascii="宋体" w:hAnsi="宋体" w:cs="宋体"/>
          <w:snapToGrid w:val="0"/>
          <w:color w:val="auto"/>
          <w:kern w:val="0"/>
          <w:sz w:val="32"/>
          <w:szCs w:val="32"/>
          <w:highlight w:val="none"/>
        </w:rPr>
        <w:t>年      月      日</w:t>
      </w:r>
      <w:bookmarkStart w:id="189" w:name="_Toc293560330"/>
      <w:bookmarkStart w:id="190" w:name="_Hlk450146465"/>
      <w:bookmarkStart w:id="191" w:name="_Toc19920"/>
      <w:bookmarkStart w:id="192" w:name="_Toc482084478"/>
      <w:bookmarkStart w:id="193" w:name="_Toc17819"/>
      <w:bookmarkStart w:id="194" w:name="_Toc22457"/>
      <w:bookmarkStart w:id="195" w:name="_Toc462234316"/>
      <w:bookmarkStart w:id="196" w:name="_Toc272141473"/>
      <w:bookmarkStart w:id="197" w:name="_Toc11303"/>
    </w:p>
    <w:bookmarkEnd w:id="189"/>
    <w:bookmarkEnd w:id="190"/>
    <w:bookmarkEnd w:id="191"/>
    <w:bookmarkEnd w:id="192"/>
    <w:bookmarkEnd w:id="193"/>
    <w:bookmarkEnd w:id="194"/>
    <w:bookmarkEnd w:id="195"/>
    <w:bookmarkEnd w:id="196"/>
    <w:bookmarkEnd w:id="197"/>
    <w:p w14:paraId="1960174D">
      <w:pPr>
        <w:spacing w:beforeLines="50" w:afterLines="50"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一、</w:t>
      </w:r>
      <w:r>
        <w:rPr>
          <w:rFonts w:ascii="宋体" w:hAnsi="宋体"/>
          <w:b/>
          <w:color w:val="auto"/>
          <w:sz w:val="32"/>
          <w:szCs w:val="32"/>
          <w:highlight w:val="none"/>
        </w:rPr>
        <w:t>投标</w:t>
      </w:r>
      <w:r>
        <w:rPr>
          <w:rFonts w:hint="eastAsia" w:ascii="宋体" w:hAnsi="宋体"/>
          <w:b/>
          <w:color w:val="auto"/>
          <w:sz w:val="32"/>
          <w:szCs w:val="32"/>
          <w:highlight w:val="none"/>
        </w:rPr>
        <w:t>声明</w:t>
      </w:r>
    </w:p>
    <w:p w14:paraId="0497B959">
      <w:pPr>
        <w:spacing w:line="360" w:lineRule="auto"/>
        <w:rPr>
          <w:rFonts w:ascii="宋体" w:hAnsi="宋体"/>
          <w:color w:val="auto"/>
          <w:sz w:val="24"/>
          <w:highlight w:val="none"/>
        </w:rPr>
      </w:pPr>
      <w:r>
        <w:rPr>
          <w:rFonts w:hint="eastAsia" w:ascii="宋体" w:hAnsi="宋体"/>
          <w:color w:val="auto"/>
          <w:sz w:val="24"/>
          <w:highlight w:val="none"/>
        </w:rPr>
        <w:t>皖北卫生</w:t>
      </w:r>
      <w:r>
        <w:rPr>
          <w:rFonts w:ascii="宋体" w:hAnsi="宋体"/>
          <w:color w:val="auto"/>
          <w:sz w:val="24"/>
          <w:highlight w:val="none"/>
        </w:rPr>
        <w:t>职业学院：</w:t>
      </w:r>
    </w:p>
    <w:p w14:paraId="771FD2A2">
      <w:pPr>
        <w:autoSpaceDE w:val="0"/>
        <w:autoSpaceDN w:val="0"/>
        <w:adjustRightInd w:val="0"/>
        <w:spacing w:line="360" w:lineRule="auto"/>
        <w:rPr>
          <w:rFonts w:ascii="宋体" w:hAnsi="宋体"/>
          <w:color w:val="auto"/>
          <w:sz w:val="24"/>
          <w:highlight w:val="none"/>
        </w:rPr>
      </w:pPr>
      <w:r>
        <w:rPr>
          <w:rFonts w:ascii="宋体" w:hAnsi="宋体"/>
          <w:color w:val="auto"/>
          <w:sz w:val="24"/>
          <w:highlight w:val="none"/>
        </w:rPr>
        <w:t>(投标单位全称)授权(姓名)(职务)为全权代表，参加你</w:t>
      </w:r>
      <w:r>
        <w:rPr>
          <w:rFonts w:hint="eastAsia" w:ascii="宋体" w:hAnsi="宋体"/>
          <w:color w:val="auto"/>
          <w:sz w:val="24"/>
          <w:highlight w:val="none"/>
        </w:rPr>
        <w:t>院采购项目</w:t>
      </w:r>
      <w:r>
        <w:rPr>
          <w:rFonts w:ascii="宋体" w:hAnsi="宋体"/>
          <w:color w:val="auto"/>
          <w:sz w:val="24"/>
          <w:highlight w:val="none"/>
        </w:rPr>
        <w:t>招标的有关活动，并宣布同意如下：</w:t>
      </w:r>
    </w:p>
    <w:p w14:paraId="2F47D90F">
      <w:pPr>
        <w:spacing w:line="360" w:lineRule="auto"/>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w:t>
      </w:r>
      <w:r>
        <w:rPr>
          <w:rFonts w:ascii="宋体" w:hAnsi="宋体"/>
          <w:color w:val="auto"/>
          <w:sz w:val="24"/>
          <w:highlight w:val="none"/>
        </w:rPr>
        <w:t>我方愿意按照招标文件的全部要求进行投标(投标内容及价格以投标文件为准)；</w:t>
      </w:r>
    </w:p>
    <w:p w14:paraId="6D5034CF">
      <w:pPr>
        <w:spacing w:line="360" w:lineRule="auto"/>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w:t>
      </w:r>
      <w:r>
        <w:rPr>
          <w:rFonts w:ascii="宋体" w:hAnsi="宋体"/>
          <w:color w:val="auto"/>
          <w:sz w:val="24"/>
          <w:highlight w:val="none"/>
        </w:rPr>
        <w:t>我方完全同意放弃对招标文件有误解的辩解权利；</w:t>
      </w:r>
    </w:p>
    <w:p w14:paraId="2780F6EE">
      <w:pPr>
        <w:spacing w:line="360" w:lineRule="auto"/>
        <w:rPr>
          <w:rFonts w:ascii="宋体" w:hAnsi="宋体"/>
          <w:color w:val="auto"/>
          <w:sz w:val="24"/>
          <w:highlight w:val="none"/>
        </w:rPr>
      </w:pPr>
      <w:r>
        <w:rPr>
          <w:rFonts w:ascii="宋体" w:hAnsi="宋体"/>
          <w:color w:val="auto"/>
          <w:sz w:val="24"/>
          <w:highlight w:val="none"/>
        </w:rPr>
        <w:t xml:space="preserve">    3</w:t>
      </w:r>
      <w:r>
        <w:rPr>
          <w:rFonts w:hint="eastAsia" w:ascii="宋体" w:hAnsi="宋体"/>
          <w:color w:val="auto"/>
          <w:sz w:val="24"/>
          <w:highlight w:val="none"/>
        </w:rPr>
        <w:t>.</w:t>
      </w:r>
      <w:r>
        <w:rPr>
          <w:rFonts w:ascii="宋体" w:hAnsi="宋体"/>
          <w:color w:val="auto"/>
          <w:sz w:val="24"/>
          <w:highlight w:val="none"/>
        </w:rPr>
        <w:t>我方将按招标文件的规定履行合同责任和义务；</w:t>
      </w:r>
    </w:p>
    <w:p w14:paraId="293041A6">
      <w:pPr>
        <w:spacing w:line="360" w:lineRule="auto"/>
        <w:rPr>
          <w:rFonts w:ascii="宋体" w:hAnsi="宋体"/>
          <w:color w:val="auto"/>
          <w:sz w:val="24"/>
          <w:highlight w:val="none"/>
        </w:rPr>
      </w:pPr>
      <w:r>
        <w:rPr>
          <w:rFonts w:ascii="宋体" w:hAnsi="宋体"/>
          <w:color w:val="auto"/>
          <w:sz w:val="24"/>
          <w:highlight w:val="none"/>
        </w:rPr>
        <w:t xml:space="preserve">    4</w:t>
      </w:r>
      <w:r>
        <w:rPr>
          <w:rFonts w:hint="eastAsia" w:ascii="宋体" w:hAnsi="宋体"/>
          <w:color w:val="auto"/>
          <w:sz w:val="24"/>
          <w:highlight w:val="none"/>
        </w:rPr>
        <w:t>.</w:t>
      </w:r>
      <w:r>
        <w:rPr>
          <w:rFonts w:ascii="宋体" w:hAnsi="宋体"/>
          <w:color w:val="auto"/>
          <w:sz w:val="24"/>
          <w:highlight w:val="none"/>
        </w:rPr>
        <w:t>如果我方在投标有效期内撤回投标，投标保证金将被贵方没收；</w:t>
      </w:r>
    </w:p>
    <w:p w14:paraId="2D7D03DA">
      <w:pPr>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我方同意提供按照贵方要求的与其投标有关的一切数据或资料，理解贵方选择的评标方法；</w:t>
      </w:r>
    </w:p>
    <w:p w14:paraId="4215D183">
      <w:pPr>
        <w:spacing w:line="360" w:lineRule="auto"/>
        <w:ind w:firstLine="480" w:firstLineChars="200"/>
        <w:outlineLvl w:val="2"/>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与本投标有关的一切正式往来通讯请寄：</w:t>
      </w:r>
    </w:p>
    <w:p w14:paraId="4761E94E">
      <w:pPr>
        <w:spacing w:line="360" w:lineRule="auto"/>
        <w:rPr>
          <w:rFonts w:ascii="宋体" w:hAnsi="宋体"/>
          <w:color w:val="auto"/>
          <w:sz w:val="24"/>
          <w:highlight w:val="none"/>
        </w:rPr>
      </w:pPr>
      <w:r>
        <w:rPr>
          <w:rFonts w:ascii="宋体" w:hAnsi="宋体"/>
          <w:color w:val="auto"/>
          <w:sz w:val="24"/>
          <w:highlight w:val="none"/>
        </w:rPr>
        <w:t xml:space="preserve">    地址：                                       邮编：</w:t>
      </w:r>
    </w:p>
    <w:p w14:paraId="4C96BFE5">
      <w:pPr>
        <w:spacing w:line="360" w:lineRule="auto"/>
        <w:rPr>
          <w:rFonts w:ascii="宋体" w:hAnsi="宋体"/>
          <w:color w:val="auto"/>
          <w:sz w:val="24"/>
          <w:highlight w:val="none"/>
        </w:rPr>
      </w:pPr>
      <w:r>
        <w:rPr>
          <w:rFonts w:ascii="宋体" w:hAnsi="宋体"/>
          <w:color w:val="auto"/>
          <w:sz w:val="24"/>
          <w:highlight w:val="none"/>
        </w:rPr>
        <w:t xml:space="preserve">    电话：                                       传真：</w:t>
      </w:r>
    </w:p>
    <w:p w14:paraId="522E33E7">
      <w:pPr>
        <w:spacing w:line="360" w:lineRule="auto"/>
        <w:rPr>
          <w:rFonts w:ascii="宋体" w:hAnsi="宋体"/>
          <w:color w:val="auto"/>
          <w:sz w:val="24"/>
          <w:highlight w:val="none"/>
        </w:rPr>
      </w:pPr>
      <w:r>
        <w:rPr>
          <w:rFonts w:ascii="宋体" w:hAnsi="宋体"/>
          <w:color w:val="auto"/>
          <w:sz w:val="24"/>
          <w:highlight w:val="none"/>
        </w:rPr>
        <w:t xml:space="preserve">    投标方代表姓名、职务：</w:t>
      </w:r>
    </w:p>
    <w:p w14:paraId="246C04B6">
      <w:pPr>
        <w:spacing w:line="360" w:lineRule="auto"/>
        <w:ind w:left="4560" w:hanging="4560" w:hangingChars="1900"/>
        <w:rPr>
          <w:rFonts w:ascii="宋体" w:hAnsi="宋体"/>
          <w:color w:val="auto"/>
          <w:sz w:val="24"/>
          <w:highlight w:val="none"/>
        </w:rPr>
      </w:pPr>
    </w:p>
    <w:p w14:paraId="39754942">
      <w:pPr>
        <w:spacing w:line="360" w:lineRule="auto"/>
        <w:ind w:left="4560" w:hanging="4560" w:hangingChars="1900"/>
        <w:rPr>
          <w:rFonts w:ascii="宋体" w:hAnsi="宋体"/>
          <w:color w:val="auto"/>
          <w:sz w:val="24"/>
          <w:highlight w:val="none"/>
        </w:rPr>
      </w:pPr>
    </w:p>
    <w:p w14:paraId="7B303860">
      <w:pPr>
        <w:spacing w:line="360" w:lineRule="auto"/>
        <w:ind w:left="4560" w:hanging="4560" w:hangingChars="1900"/>
        <w:jc w:val="right"/>
        <w:rPr>
          <w:rFonts w:ascii="宋体" w:hAnsi="宋体"/>
          <w:color w:val="auto"/>
          <w:sz w:val="24"/>
          <w:highlight w:val="none"/>
        </w:rPr>
      </w:pPr>
      <w:r>
        <w:rPr>
          <w:rFonts w:ascii="宋体" w:hAnsi="宋体"/>
          <w:color w:val="auto"/>
          <w:sz w:val="24"/>
          <w:highlight w:val="none"/>
        </w:rPr>
        <w:t>投标单位名称(加盖单位公章)</w:t>
      </w:r>
    </w:p>
    <w:p w14:paraId="5FF24DC0">
      <w:pPr>
        <w:spacing w:line="360" w:lineRule="auto"/>
        <w:ind w:firstLine="3360" w:firstLineChars="1400"/>
        <w:jc w:val="right"/>
        <w:rPr>
          <w:rFonts w:ascii="宋体" w:hAnsi="宋体"/>
          <w:color w:val="auto"/>
          <w:sz w:val="24"/>
          <w:highlight w:val="none"/>
        </w:rPr>
      </w:pPr>
      <w:r>
        <w:rPr>
          <w:rFonts w:ascii="宋体" w:hAnsi="宋体"/>
          <w:color w:val="auto"/>
          <w:sz w:val="24"/>
          <w:highlight w:val="none"/>
        </w:rPr>
        <w:t>日期：    年    月    日</w:t>
      </w:r>
    </w:p>
    <w:p w14:paraId="210DB870">
      <w:pPr>
        <w:spacing w:line="360" w:lineRule="auto"/>
        <w:ind w:firstLine="3360" w:firstLineChars="1400"/>
        <w:jc w:val="right"/>
        <w:rPr>
          <w:rFonts w:ascii="宋体" w:hAnsi="宋体"/>
          <w:color w:val="auto"/>
          <w:sz w:val="24"/>
          <w:highlight w:val="none"/>
        </w:rPr>
      </w:pPr>
    </w:p>
    <w:p w14:paraId="5466BDF0">
      <w:pPr>
        <w:spacing w:line="440" w:lineRule="exact"/>
        <w:ind w:left="4578" w:hanging="4578" w:hangingChars="1900"/>
        <w:rPr>
          <w:rFonts w:ascii="宋体" w:hAnsi="宋体" w:cs="宋体"/>
          <w:b/>
          <w:bCs/>
          <w:color w:val="auto"/>
          <w:sz w:val="24"/>
          <w:highlight w:val="none"/>
        </w:rPr>
      </w:pPr>
    </w:p>
    <w:p w14:paraId="442A8A03">
      <w:pPr>
        <w:spacing w:line="440" w:lineRule="exact"/>
        <w:ind w:left="4578" w:hanging="4578" w:hangingChars="1900"/>
        <w:rPr>
          <w:rFonts w:ascii="宋体" w:hAnsi="宋体" w:cs="宋体"/>
          <w:b/>
          <w:bCs/>
          <w:color w:val="auto"/>
          <w:sz w:val="24"/>
          <w:highlight w:val="none"/>
        </w:rPr>
      </w:pPr>
    </w:p>
    <w:p w14:paraId="6666F52D">
      <w:pPr>
        <w:spacing w:line="440" w:lineRule="exact"/>
        <w:ind w:left="4578" w:hanging="4578" w:hangingChars="1900"/>
        <w:rPr>
          <w:rFonts w:ascii="宋体" w:hAnsi="宋体" w:cs="宋体"/>
          <w:b/>
          <w:bCs/>
          <w:color w:val="auto"/>
          <w:sz w:val="24"/>
          <w:highlight w:val="none"/>
        </w:rPr>
      </w:pPr>
    </w:p>
    <w:p w14:paraId="1DAE472D">
      <w:pPr>
        <w:spacing w:line="440" w:lineRule="exact"/>
        <w:ind w:left="4578" w:hanging="4578" w:hangingChars="1900"/>
        <w:rPr>
          <w:rFonts w:ascii="宋体" w:hAnsi="宋体" w:cs="宋体"/>
          <w:b/>
          <w:bCs/>
          <w:color w:val="auto"/>
          <w:sz w:val="24"/>
          <w:highlight w:val="none"/>
        </w:rPr>
      </w:pPr>
    </w:p>
    <w:p w14:paraId="6D006548">
      <w:pPr>
        <w:pStyle w:val="12"/>
        <w:rPr>
          <w:color w:val="auto"/>
          <w:highlight w:val="none"/>
        </w:rPr>
      </w:pPr>
    </w:p>
    <w:p w14:paraId="608E5B64">
      <w:pPr>
        <w:spacing w:line="440" w:lineRule="exact"/>
        <w:ind w:left="4578" w:hanging="4578" w:hangingChars="1900"/>
        <w:rPr>
          <w:rFonts w:ascii="宋体" w:hAnsi="宋体" w:cs="宋体"/>
          <w:b/>
          <w:bCs/>
          <w:color w:val="auto"/>
          <w:sz w:val="24"/>
          <w:highlight w:val="none"/>
        </w:rPr>
      </w:pPr>
    </w:p>
    <w:p w14:paraId="4545D3E5">
      <w:pPr>
        <w:spacing w:line="440" w:lineRule="exact"/>
        <w:ind w:left="4578" w:hanging="4578" w:hangingChars="1900"/>
        <w:rPr>
          <w:rFonts w:ascii="宋体" w:hAnsi="宋体" w:cs="宋体"/>
          <w:b/>
          <w:bCs/>
          <w:color w:val="auto"/>
          <w:sz w:val="24"/>
          <w:highlight w:val="none"/>
        </w:rPr>
      </w:pPr>
    </w:p>
    <w:p w14:paraId="1ACEA9BA">
      <w:pPr>
        <w:spacing w:beforeLines="50" w:afterLines="50" w:line="360" w:lineRule="auto"/>
        <w:jc w:val="center"/>
        <w:rPr>
          <w:rFonts w:hint="eastAsia" w:ascii="宋体" w:hAnsi="宋体"/>
          <w:b/>
          <w:color w:val="auto"/>
          <w:sz w:val="32"/>
          <w:szCs w:val="32"/>
          <w:highlight w:val="none"/>
        </w:rPr>
      </w:pPr>
    </w:p>
    <w:p w14:paraId="1DC38DB7">
      <w:pPr>
        <w:spacing w:beforeLines="50" w:afterLines="50"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二、法定代表人身份证明</w:t>
      </w:r>
    </w:p>
    <w:p w14:paraId="4F70AFB1">
      <w:pPr>
        <w:pStyle w:val="1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 </w:t>
      </w:r>
    </w:p>
    <w:p w14:paraId="423C8293">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投标人名称：</w:t>
      </w:r>
    </w:p>
    <w:p w14:paraId="073AB9A0">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单位性质：</w:t>
      </w:r>
    </w:p>
    <w:p w14:paraId="27705006">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p>
    <w:p w14:paraId="0BCBEE30">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成立时间：年月日</w:t>
      </w:r>
    </w:p>
    <w:p w14:paraId="7622D37E">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经营期限：</w:t>
      </w:r>
    </w:p>
    <w:p w14:paraId="7C20DB1C">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姓    名：性别：年龄：______</w:t>
      </w:r>
    </w:p>
    <w:p w14:paraId="032A8938">
      <w:pPr>
        <w:pStyle w:val="1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职务：系：</w:t>
      </w:r>
      <w:r>
        <w:rPr>
          <w:rFonts w:hint="eastAsia" w:ascii="宋体" w:hAnsi="宋体" w:cs="宋体"/>
          <w:color w:val="auto"/>
          <w:sz w:val="24"/>
          <w:szCs w:val="24"/>
          <w:highlight w:val="none"/>
          <w:u w:val="single"/>
        </w:rPr>
        <w:t xml:space="preserve">          (投标人单位名称)            </w:t>
      </w:r>
    </w:p>
    <w:p w14:paraId="771DF99E">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的法定代表人。</w:t>
      </w:r>
    </w:p>
    <w:p w14:paraId="5CA712C7">
      <w:pPr>
        <w:pStyle w:val="10"/>
        <w:spacing w:line="440" w:lineRule="exact"/>
        <w:ind w:firstLine="480" w:firstLineChars="200"/>
        <w:rPr>
          <w:rFonts w:ascii="宋体" w:hAnsi="宋体" w:cs="宋体"/>
          <w:color w:val="auto"/>
          <w:sz w:val="24"/>
          <w:szCs w:val="24"/>
          <w:highlight w:val="none"/>
        </w:rPr>
      </w:pPr>
    </w:p>
    <w:p w14:paraId="17DA1534">
      <w:pPr>
        <w:pStyle w:val="1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66ABB184">
      <w:pPr>
        <w:pStyle w:val="10"/>
        <w:spacing w:line="440" w:lineRule="exact"/>
        <w:ind w:firstLine="480" w:firstLineChars="200"/>
        <w:rPr>
          <w:rFonts w:ascii="宋体" w:hAnsi="宋体" w:cs="宋体"/>
          <w:color w:val="auto"/>
          <w:sz w:val="24"/>
          <w:szCs w:val="24"/>
          <w:highlight w:val="none"/>
        </w:rPr>
      </w:pPr>
    </w:p>
    <w:p w14:paraId="53F472C3">
      <w:pPr>
        <w:pStyle w:val="10"/>
        <w:spacing w:line="440" w:lineRule="exact"/>
        <w:ind w:firstLine="3700" w:firstLineChars="1542"/>
        <w:rPr>
          <w:rFonts w:ascii="宋体" w:hAnsi="宋体" w:cs="宋体"/>
          <w:color w:val="auto"/>
          <w:sz w:val="24"/>
          <w:szCs w:val="24"/>
          <w:highlight w:val="none"/>
        </w:rPr>
      </w:pPr>
      <w:r>
        <w:rPr>
          <w:rFonts w:hint="eastAsia" w:ascii="宋体" w:hAnsi="宋体" w:cs="宋体"/>
          <w:color w:val="auto"/>
          <w:sz w:val="24"/>
          <w:szCs w:val="24"/>
          <w:highlight w:val="none"/>
        </w:rPr>
        <w:t>投标人(盖法人章)：</w:t>
      </w:r>
    </w:p>
    <w:p w14:paraId="0C86F7BE">
      <w:pPr>
        <w:pStyle w:val="10"/>
        <w:spacing w:line="440" w:lineRule="exact"/>
        <w:ind w:firstLine="3720" w:firstLineChars="1550"/>
        <w:rPr>
          <w:rFonts w:ascii="宋体" w:hAnsi="宋体" w:cs="宋体"/>
          <w:color w:val="auto"/>
          <w:sz w:val="24"/>
          <w:szCs w:val="24"/>
          <w:highlight w:val="none"/>
        </w:rPr>
      </w:pPr>
      <w:r>
        <w:rPr>
          <w:rFonts w:hint="eastAsia" w:ascii="宋体" w:hAnsi="宋体" w:cs="宋体"/>
          <w:color w:val="auto"/>
          <w:sz w:val="24"/>
          <w:szCs w:val="24"/>
          <w:highlight w:val="none"/>
        </w:rPr>
        <w:t>日   期：年月日</w:t>
      </w:r>
    </w:p>
    <w:p w14:paraId="7ED3F1E5">
      <w:pPr>
        <w:pStyle w:val="10"/>
        <w:kinsoku w:val="0"/>
        <w:topLinePunct/>
        <w:autoSpaceDE w:val="0"/>
        <w:autoSpaceDN w:val="0"/>
        <w:snapToGrid w:val="0"/>
        <w:spacing w:before="100" w:beforeAutospacing="1" w:after="100" w:afterAutospacing="1" w:line="440" w:lineRule="exact"/>
        <w:ind w:right="210" w:firstLine="0"/>
        <w:rPr>
          <w:rFonts w:ascii="宋体" w:hAnsi="宋体" w:cs="宋体"/>
          <w:b/>
          <w:color w:val="auto"/>
          <w:sz w:val="24"/>
          <w:szCs w:val="24"/>
          <w:highlight w:val="none"/>
        </w:rPr>
      </w:pPr>
      <w:r>
        <w:rPr>
          <w:rFonts w:hint="eastAsia" w:ascii="宋体" w:hAnsi="宋体" w:cs="宋体"/>
          <w:b/>
          <w:color w:val="auto"/>
          <w:sz w:val="24"/>
          <w:szCs w:val="24"/>
          <w:highlight w:val="none"/>
        </w:rPr>
        <w:t>（粘身份证复印件）</w:t>
      </w:r>
    </w:p>
    <w:p w14:paraId="1D861C67">
      <w:pPr>
        <w:spacing w:line="440" w:lineRule="exact"/>
        <w:ind w:left="4560" w:hanging="4560" w:hangingChars="1900"/>
        <w:rPr>
          <w:rFonts w:ascii="宋体" w:hAnsi="宋体" w:cs="宋体"/>
          <w:color w:val="auto"/>
          <w:sz w:val="24"/>
          <w:highlight w:val="none"/>
        </w:rPr>
      </w:pPr>
    </w:p>
    <w:p w14:paraId="72EA3B59">
      <w:pPr>
        <w:spacing w:line="440" w:lineRule="exact"/>
        <w:ind w:left="4560" w:hanging="4560" w:hangingChars="1900"/>
        <w:rPr>
          <w:rFonts w:ascii="宋体" w:hAnsi="宋体" w:cs="宋体"/>
          <w:color w:val="auto"/>
          <w:sz w:val="24"/>
          <w:highlight w:val="none"/>
        </w:rPr>
      </w:pPr>
    </w:p>
    <w:p w14:paraId="7DD68E7B">
      <w:pPr>
        <w:spacing w:line="360" w:lineRule="auto"/>
        <w:ind w:firstLine="3920" w:firstLineChars="1400"/>
        <w:jc w:val="right"/>
        <w:rPr>
          <w:rFonts w:ascii="宋体" w:hAnsi="宋体"/>
          <w:color w:val="auto"/>
          <w:sz w:val="28"/>
          <w:szCs w:val="28"/>
          <w:highlight w:val="none"/>
        </w:rPr>
      </w:pPr>
    </w:p>
    <w:p w14:paraId="1FDDC44E">
      <w:pPr>
        <w:widowControl/>
        <w:spacing w:line="360" w:lineRule="auto"/>
        <w:outlineLvl w:val="9"/>
        <w:rPr>
          <w:rFonts w:ascii="宋体" w:hAnsi="宋体"/>
          <w:b/>
          <w:color w:val="auto"/>
          <w:sz w:val="32"/>
          <w:szCs w:val="32"/>
          <w:highlight w:val="none"/>
        </w:rPr>
        <w:sectPr>
          <w:footerReference r:id="rId7" w:type="default"/>
          <w:pgSz w:w="11906" w:h="16838"/>
          <w:pgMar w:top="1440" w:right="1566" w:bottom="1440" w:left="1520" w:header="851" w:footer="992" w:gutter="0"/>
          <w:pgNumType w:fmt="decimal" w:start="1"/>
          <w:cols w:space="720" w:num="1"/>
          <w:docGrid w:type="lines" w:linePitch="312" w:charSpace="0"/>
        </w:sectPr>
      </w:pPr>
    </w:p>
    <w:p w14:paraId="7BB6556D">
      <w:pPr>
        <w:widowControl/>
        <w:spacing w:beforeLines="50" w:afterLines="50"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三、</w:t>
      </w:r>
      <w:r>
        <w:rPr>
          <w:rFonts w:ascii="宋体" w:hAnsi="宋体"/>
          <w:b/>
          <w:color w:val="auto"/>
          <w:sz w:val="32"/>
          <w:szCs w:val="32"/>
          <w:highlight w:val="none"/>
        </w:rPr>
        <w:t>法定代表人委托书</w:t>
      </w:r>
    </w:p>
    <w:p w14:paraId="16365251">
      <w:pPr>
        <w:widowControl/>
        <w:spacing w:line="360" w:lineRule="auto"/>
        <w:jc w:val="center"/>
        <w:outlineLvl w:val="2"/>
        <w:rPr>
          <w:rFonts w:ascii="宋体" w:hAnsi="宋体"/>
          <w:b/>
          <w:color w:val="auto"/>
          <w:sz w:val="32"/>
          <w:szCs w:val="32"/>
          <w:highlight w:val="none"/>
        </w:rPr>
      </w:pPr>
      <w:r>
        <w:rPr>
          <w:rFonts w:ascii="宋体" w:hAnsi="宋体"/>
          <w:color w:val="auto"/>
          <w:sz w:val="24"/>
          <w:highlight w:val="none"/>
        </w:rPr>
        <w:t>(说明：法定代表人参加投标，不用此委托书)</w:t>
      </w:r>
    </w:p>
    <w:p w14:paraId="0B618CA7">
      <w:pPr>
        <w:spacing w:line="360" w:lineRule="auto"/>
        <w:rPr>
          <w:rFonts w:ascii="宋体" w:hAnsi="宋体"/>
          <w:color w:val="auto"/>
          <w:sz w:val="24"/>
          <w:highlight w:val="none"/>
        </w:rPr>
      </w:pPr>
      <w:r>
        <w:rPr>
          <w:rFonts w:hint="eastAsia" w:ascii="宋体" w:hAnsi="宋体"/>
          <w:color w:val="auto"/>
          <w:sz w:val="24"/>
          <w:highlight w:val="none"/>
        </w:rPr>
        <w:t>皖北卫生</w:t>
      </w:r>
      <w:r>
        <w:rPr>
          <w:rFonts w:ascii="宋体" w:hAnsi="宋体"/>
          <w:color w:val="auto"/>
          <w:sz w:val="24"/>
          <w:highlight w:val="none"/>
        </w:rPr>
        <w:t>职业学院：</w:t>
      </w:r>
    </w:p>
    <w:p w14:paraId="20FEAA7F">
      <w:pPr>
        <w:spacing w:line="360" w:lineRule="auto"/>
        <w:ind w:firstLine="480"/>
        <w:rPr>
          <w:rFonts w:ascii="宋体" w:hAnsi="宋体"/>
          <w:color w:val="auto"/>
          <w:sz w:val="24"/>
          <w:highlight w:val="none"/>
        </w:rPr>
      </w:pPr>
      <w:r>
        <w:rPr>
          <w:rFonts w:ascii="宋体" w:hAnsi="宋体"/>
          <w:color w:val="auto"/>
          <w:sz w:val="24"/>
          <w:highlight w:val="none"/>
        </w:rPr>
        <w:t>兹委托参加贵单位组织的项目招标活动，全权代表我单位处理有关事宜。附全权代表情况：</w:t>
      </w:r>
    </w:p>
    <w:p w14:paraId="608E8C3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姓名：       性别：        年龄：        职务：        </w:t>
      </w:r>
    </w:p>
    <w:p w14:paraId="59B3DC6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电话：       传真：        邮政编码：   </w:t>
      </w:r>
    </w:p>
    <w:p w14:paraId="3213B88E">
      <w:pPr>
        <w:spacing w:line="360" w:lineRule="auto"/>
        <w:ind w:firstLine="480"/>
        <w:rPr>
          <w:rFonts w:ascii="宋体" w:hAnsi="宋体"/>
          <w:color w:val="auto"/>
          <w:sz w:val="24"/>
          <w:highlight w:val="none"/>
        </w:rPr>
      </w:pPr>
      <w:r>
        <w:rPr>
          <w:rFonts w:ascii="宋体" w:hAnsi="宋体"/>
          <w:color w:val="auto"/>
          <w:sz w:val="24"/>
          <w:highlight w:val="none"/>
        </w:rPr>
        <w:t>身份证号码：               详细通讯地址：</w:t>
      </w:r>
    </w:p>
    <w:p w14:paraId="4B84A663">
      <w:pPr>
        <w:spacing w:line="360" w:lineRule="auto"/>
        <w:ind w:left="6540" w:leftChars="2600" w:hanging="1080" w:hangingChars="450"/>
        <w:rPr>
          <w:rFonts w:ascii="宋体" w:hAnsi="宋体"/>
          <w:color w:val="auto"/>
          <w:sz w:val="24"/>
          <w:highlight w:val="none"/>
        </w:rPr>
      </w:pPr>
    </w:p>
    <w:p w14:paraId="67F14E73">
      <w:pPr>
        <w:spacing w:line="360" w:lineRule="auto"/>
        <w:ind w:left="6540" w:leftChars="2600" w:hanging="1080" w:hangingChars="450"/>
        <w:rPr>
          <w:rFonts w:ascii="宋体" w:hAnsi="宋体"/>
          <w:color w:val="auto"/>
          <w:sz w:val="24"/>
          <w:highlight w:val="none"/>
        </w:rPr>
      </w:pPr>
      <w:r>
        <w:rPr>
          <w:rFonts w:ascii="宋体" w:hAnsi="宋体"/>
          <w:color w:val="auto"/>
          <w:sz w:val="24"/>
          <w:highlight w:val="none"/>
        </w:rPr>
        <w:t>单位名称(公章)</w:t>
      </w:r>
      <w:r>
        <w:rPr>
          <w:rFonts w:hint="eastAsia" w:ascii="宋体" w:hAnsi="宋体"/>
          <w:color w:val="auto"/>
          <w:sz w:val="24"/>
          <w:highlight w:val="none"/>
        </w:rPr>
        <w:t>：</w:t>
      </w:r>
    </w:p>
    <w:p w14:paraId="36525CA4">
      <w:pPr>
        <w:spacing w:line="360" w:lineRule="auto"/>
        <w:ind w:left="6540" w:leftChars="2600" w:hanging="1080" w:hangingChars="450"/>
        <w:rPr>
          <w:rFonts w:ascii="宋体" w:hAnsi="宋体"/>
          <w:color w:val="auto"/>
          <w:sz w:val="24"/>
          <w:highlight w:val="none"/>
        </w:rPr>
      </w:pPr>
      <w:r>
        <w:rPr>
          <w:rFonts w:ascii="宋体" w:hAnsi="宋体"/>
          <w:color w:val="auto"/>
          <w:sz w:val="24"/>
          <w:highlight w:val="none"/>
        </w:rPr>
        <w:t>法定代表人(签字)</w:t>
      </w:r>
      <w:r>
        <w:rPr>
          <w:rFonts w:hint="eastAsia" w:ascii="宋体" w:hAnsi="宋体"/>
          <w:color w:val="auto"/>
          <w:sz w:val="24"/>
          <w:highlight w:val="none"/>
        </w:rPr>
        <w:t>：</w:t>
      </w:r>
    </w:p>
    <w:p w14:paraId="3A8CDDED">
      <w:pPr>
        <w:spacing w:line="360" w:lineRule="auto"/>
        <w:jc w:val="right"/>
        <w:rPr>
          <w:rFonts w:ascii="宋体" w:hAnsi="宋体"/>
          <w:color w:val="auto"/>
          <w:sz w:val="24"/>
          <w:highlight w:val="none"/>
        </w:rPr>
      </w:pPr>
      <w:r>
        <w:rPr>
          <w:rFonts w:hint="eastAsia" w:ascii="宋体" w:hAnsi="宋体" w:cs="宋体"/>
          <w:color w:val="auto"/>
          <w:sz w:val="24"/>
          <w:szCs w:val="24"/>
          <w:highlight w:val="none"/>
        </w:rPr>
        <w:t>日   期：</w:t>
      </w:r>
      <w:r>
        <w:rPr>
          <w:rFonts w:ascii="宋体" w:hAnsi="宋体"/>
          <w:color w:val="auto"/>
          <w:sz w:val="24"/>
          <w:highlight w:val="none"/>
        </w:rPr>
        <w:t>年     月     日</w:t>
      </w:r>
    </w:p>
    <w:p w14:paraId="04684080">
      <w:pPr>
        <w:ind w:firstLine="140" w:firstLineChars="50"/>
        <w:rPr>
          <w:rFonts w:ascii="宋体" w:hAnsi="宋体"/>
          <w:color w:val="auto"/>
          <w:sz w:val="28"/>
          <w:szCs w:val="28"/>
          <w:highlight w:val="none"/>
        </w:rPr>
      </w:pPr>
      <w:r>
        <w:rPr>
          <w:rFonts w:hint="eastAsia" w:ascii="宋体" w:hAnsi="宋体"/>
          <w:color w:val="auto"/>
          <w:sz w:val="28"/>
          <w:szCs w:val="28"/>
          <w:highlight w:val="none"/>
        </w:rPr>
        <w:t>附：身份证复印件</w:t>
      </w:r>
    </w:p>
    <w:p w14:paraId="25960CAB">
      <w:pPr>
        <w:spacing w:line="360" w:lineRule="auto"/>
        <w:ind w:left="5601" w:leftChars="2667"/>
        <w:rPr>
          <w:rFonts w:ascii="宋体" w:hAnsi="宋体"/>
          <w:color w:val="auto"/>
          <w:sz w:val="24"/>
          <w:highlight w:val="none"/>
        </w:rPr>
      </w:pPr>
    </w:p>
    <w:p w14:paraId="31296B39">
      <w:pPr>
        <w:pStyle w:val="10"/>
        <w:kinsoku w:val="0"/>
        <w:topLinePunct/>
        <w:autoSpaceDE w:val="0"/>
        <w:autoSpaceDN w:val="0"/>
        <w:snapToGrid w:val="0"/>
        <w:spacing w:before="100" w:beforeAutospacing="1" w:after="100" w:afterAutospacing="1" w:line="360" w:lineRule="auto"/>
        <w:ind w:right="210" w:firstLine="0"/>
        <w:rPr>
          <w:rFonts w:ascii="宋体" w:hAnsi="宋体"/>
          <w:b/>
          <w:color w:val="auto"/>
          <w:sz w:val="32"/>
          <w:szCs w:val="32"/>
          <w:highlight w:val="none"/>
        </w:rPr>
      </w:pPr>
    </w:p>
    <w:p w14:paraId="16DCFF8F">
      <w:pPr>
        <w:pStyle w:val="10"/>
        <w:kinsoku w:val="0"/>
        <w:topLinePunct/>
        <w:autoSpaceDE w:val="0"/>
        <w:autoSpaceDN w:val="0"/>
        <w:snapToGrid w:val="0"/>
        <w:spacing w:before="100" w:beforeAutospacing="1" w:after="100" w:afterAutospacing="1" w:line="360" w:lineRule="auto"/>
        <w:ind w:right="210" w:firstLine="0"/>
        <w:rPr>
          <w:rFonts w:ascii="宋体" w:hAnsi="宋体"/>
          <w:b/>
          <w:color w:val="auto"/>
          <w:sz w:val="32"/>
          <w:szCs w:val="32"/>
          <w:highlight w:val="none"/>
        </w:rPr>
      </w:pPr>
    </w:p>
    <w:p w14:paraId="094D5A62">
      <w:pPr>
        <w:pStyle w:val="10"/>
        <w:kinsoku w:val="0"/>
        <w:topLinePunct/>
        <w:autoSpaceDE w:val="0"/>
        <w:autoSpaceDN w:val="0"/>
        <w:snapToGrid w:val="0"/>
        <w:spacing w:before="100" w:beforeAutospacing="1" w:after="100" w:afterAutospacing="1" w:line="360" w:lineRule="auto"/>
        <w:ind w:right="210" w:firstLine="0"/>
        <w:rPr>
          <w:rFonts w:ascii="宋体" w:hAnsi="宋体"/>
          <w:b/>
          <w:color w:val="auto"/>
          <w:sz w:val="32"/>
          <w:szCs w:val="32"/>
          <w:highlight w:val="none"/>
        </w:rPr>
      </w:pPr>
    </w:p>
    <w:p w14:paraId="0AC9101F">
      <w:pPr>
        <w:pStyle w:val="10"/>
        <w:kinsoku w:val="0"/>
        <w:topLinePunct/>
        <w:autoSpaceDE w:val="0"/>
        <w:autoSpaceDN w:val="0"/>
        <w:snapToGrid w:val="0"/>
        <w:spacing w:before="100" w:beforeAutospacing="1" w:after="100" w:afterAutospacing="1" w:line="360" w:lineRule="auto"/>
        <w:ind w:right="210" w:firstLine="0"/>
        <w:rPr>
          <w:rFonts w:ascii="宋体" w:hAnsi="宋体"/>
          <w:b/>
          <w:color w:val="auto"/>
          <w:sz w:val="32"/>
          <w:szCs w:val="32"/>
          <w:highlight w:val="none"/>
        </w:rPr>
        <w:sectPr>
          <w:pgSz w:w="11906" w:h="16838"/>
          <w:pgMar w:top="1440" w:right="1586" w:bottom="1440" w:left="1500" w:header="851" w:footer="992" w:gutter="0"/>
          <w:pgNumType w:fmt="decimal"/>
          <w:cols w:space="720" w:num="1"/>
          <w:docGrid w:type="lines" w:linePitch="312" w:charSpace="0"/>
        </w:sectPr>
      </w:pPr>
    </w:p>
    <w:p w14:paraId="13017ABD">
      <w:pPr>
        <w:pStyle w:val="10"/>
        <w:kinsoku w:val="0"/>
        <w:topLinePunct/>
        <w:autoSpaceDE w:val="0"/>
        <w:autoSpaceDN w:val="0"/>
        <w:snapToGrid w:val="0"/>
        <w:spacing w:beforeLines="50" w:afterLines="50" w:line="360" w:lineRule="auto"/>
        <w:ind w:right="210" w:firstLine="0"/>
        <w:jc w:val="center"/>
        <w:outlineLvl w:val="1"/>
        <w:rPr>
          <w:rFonts w:ascii="宋体" w:hAnsi="宋体"/>
          <w:b/>
          <w:color w:val="auto"/>
          <w:sz w:val="32"/>
          <w:szCs w:val="32"/>
          <w:highlight w:val="none"/>
        </w:rPr>
      </w:pPr>
      <w:r>
        <w:rPr>
          <w:rFonts w:hint="eastAsia" w:ascii="宋体" w:hAnsi="宋体"/>
          <w:b/>
          <w:color w:val="auto"/>
          <w:sz w:val="32"/>
          <w:szCs w:val="32"/>
          <w:highlight w:val="none"/>
        </w:rPr>
        <w:t>四、廉政承诺书</w:t>
      </w:r>
    </w:p>
    <w:p w14:paraId="0C46082E">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一、为了保证皖北卫生职业学院公开招标活动的公平竞争，促进廉政建设，我公司承诺在参加学校采购活动时做到遵守法纪、法规和廉政建设各项规定，诚实守信，坚决拒绝商业贿赂，不发生如下不当行为：</w:t>
      </w:r>
    </w:p>
    <w:p w14:paraId="60348618">
      <w:pPr>
        <w:spacing w:line="500" w:lineRule="exact"/>
        <w:rPr>
          <w:rFonts w:ascii="宋体" w:hAnsi="宋体"/>
          <w:color w:val="auto"/>
          <w:sz w:val="24"/>
          <w:highlight w:val="none"/>
        </w:rPr>
      </w:pPr>
      <w:r>
        <w:rPr>
          <w:rFonts w:hint="eastAsia" w:ascii="宋体" w:hAnsi="宋体"/>
          <w:color w:val="auto"/>
          <w:sz w:val="24"/>
          <w:highlight w:val="none"/>
        </w:rPr>
        <w:t xml:space="preserve">  （一）不向采购组织方工作人员及其家庭成员提供以下不正当利益：</w:t>
      </w:r>
    </w:p>
    <w:p w14:paraId="13E884C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1.以任何理由送给现金、有价证券、支付凭证和高档礼品；</w:t>
      </w:r>
    </w:p>
    <w:p w14:paraId="5E37C2F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2.报销或支付应由其个人负担的费用；</w:t>
      </w:r>
    </w:p>
    <w:p w14:paraId="3D12D5A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3.宴请或邀请去营业性娱乐场所活动； </w:t>
      </w:r>
    </w:p>
    <w:p w14:paraId="2B83297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4.其它行贿及提供不正当利益的行为。</w:t>
      </w:r>
    </w:p>
    <w:p w14:paraId="3C74BF0D">
      <w:pPr>
        <w:spacing w:line="500" w:lineRule="exact"/>
        <w:rPr>
          <w:rFonts w:ascii="宋体" w:hAnsi="宋体"/>
          <w:color w:val="auto"/>
          <w:sz w:val="24"/>
          <w:highlight w:val="none"/>
        </w:rPr>
      </w:pPr>
      <w:r>
        <w:rPr>
          <w:rFonts w:hint="eastAsia" w:ascii="宋体" w:hAnsi="宋体"/>
          <w:color w:val="auto"/>
          <w:sz w:val="24"/>
          <w:highlight w:val="none"/>
        </w:rPr>
        <w:t xml:space="preserve">  （二）不和他人串通，或者利用不正当手段谋求中标。 </w:t>
      </w:r>
    </w:p>
    <w:p w14:paraId="41C40B90">
      <w:pPr>
        <w:spacing w:line="500" w:lineRule="exact"/>
        <w:rPr>
          <w:rFonts w:ascii="宋体" w:hAnsi="宋体"/>
          <w:color w:val="auto"/>
          <w:sz w:val="24"/>
          <w:highlight w:val="none"/>
        </w:rPr>
      </w:pPr>
      <w:r>
        <w:rPr>
          <w:rFonts w:hint="eastAsia" w:ascii="宋体" w:hAnsi="宋体"/>
          <w:color w:val="auto"/>
          <w:sz w:val="24"/>
          <w:highlight w:val="none"/>
        </w:rPr>
        <w:t xml:space="preserve">  （三）违反法律、法规和廉政规定，影响工程质量和供应质量</w:t>
      </w:r>
    </w:p>
    <w:p w14:paraId="7850FFA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二、我公司如实施了上述行为之一，自愿接受学校采购部门根据《政府采购法》及其相关法规给予的如下处罚：</w:t>
      </w:r>
    </w:p>
    <w:p w14:paraId="579C6A3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1.参加采购的成交无效；</w:t>
      </w:r>
    </w:p>
    <w:p w14:paraId="0F5606E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2.处以采购金额千分之五以上千分之十以下的罚款；</w:t>
      </w:r>
    </w:p>
    <w:p w14:paraId="3682109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3.对不良行为予以记录并公告；</w:t>
      </w:r>
    </w:p>
    <w:p w14:paraId="3CD3865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4.三年内禁止参加皖北卫生职业学院集中采购活动；</w:t>
      </w:r>
    </w:p>
    <w:p w14:paraId="4AC9ED0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5.情节严重的，报请有关部门依法追究相关责任。</w:t>
      </w:r>
    </w:p>
    <w:p w14:paraId="4D647F28">
      <w:pPr>
        <w:spacing w:line="500" w:lineRule="exact"/>
        <w:ind w:firstLine="6480" w:firstLineChars="2700"/>
        <w:rPr>
          <w:rFonts w:ascii="宋体" w:hAnsi="宋体"/>
          <w:color w:val="auto"/>
          <w:sz w:val="24"/>
          <w:highlight w:val="none"/>
        </w:rPr>
      </w:pPr>
    </w:p>
    <w:p w14:paraId="28E705A8">
      <w:pPr>
        <w:spacing w:line="500" w:lineRule="exact"/>
        <w:ind w:firstLine="6480" w:firstLineChars="2700"/>
        <w:rPr>
          <w:rFonts w:ascii="宋体" w:hAnsi="宋体"/>
          <w:color w:val="auto"/>
          <w:sz w:val="24"/>
          <w:highlight w:val="none"/>
        </w:rPr>
      </w:pPr>
    </w:p>
    <w:p w14:paraId="3B0FFFDE">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承 诺 人：</w:t>
      </w:r>
    </w:p>
    <w:p w14:paraId="010E0565">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承诺单位（盖章）：</w:t>
      </w:r>
    </w:p>
    <w:p w14:paraId="64B9FEB3">
      <w:pPr>
        <w:spacing w:line="500" w:lineRule="exact"/>
        <w:ind w:firstLine="6240" w:firstLineChars="2600"/>
        <w:rPr>
          <w:rFonts w:ascii="宋体" w:hAnsi="宋体"/>
          <w:color w:val="auto"/>
          <w:sz w:val="24"/>
          <w:highlight w:val="none"/>
        </w:rPr>
      </w:pPr>
      <w:r>
        <w:rPr>
          <w:rFonts w:hint="eastAsia" w:ascii="宋体" w:hAnsi="宋体"/>
          <w:color w:val="auto"/>
          <w:sz w:val="24"/>
          <w:highlight w:val="none"/>
        </w:rPr>
        <w:t>日  期：  年  月   日</w:t>
      </w:r>
    </w:p>
    <w:p w14:paraId="58C77AAD">
      <w:pPr>
        <w:spacing w:line="500" w:lineRule="exact"/>
        <w:ind w:firstLine="480" w:firstLineChars="200"/>
        <w:rPr>
          <w:rFonts w:ascii="宋体" w:hAnsi="宋体"/>
          <w:color w:val="auto"/>
          <w:sz w:val="24"/>
          <w:highlight w:val="none"/>
        </w:rPr>
      </w:pPr>
    </w:p>
    <w:p w14:paraId="465F49D3">
      <w:pPr>
        <w:rPr>
          <w:rFonts w:ascii="宋体" w:hAnsi="宋体"/>
          <w:color w:val="auto"/>
          <w:highlight w:val="none"/>
        </w:rPr>
      </w:pPr>
    </w:p>
    <w:p w14:paraId="5190CE39">
      <w:pPr>
        <w:rPr>
          <w:rFonts w:ascii="宋体" w:hAnsi="宋体"/>
          <w:color w:val="auto"/>
          <w:highlight w:val="none"/>
        </w:rPr>
      </w:pPr>
    </w:p>
    <w:p w14:paraId="47216927">
      <w:pPr>
        <w:rPr>
          <w:rFonts w:ascii="宋体" w:hAnsi="宋体"/>
          <w:color w:val="auto"/>
          <w:highlight w:val="none"/>
        </w:rPr>
      </w:pPr>
    </w:p>
    <w:p w14:paraId="78CDB595">
      <w:pPr>
        <w:spacing w:beforeLines="50" w:afterLines="50"/>
        <w:jc w:val="center"/>
        <w:rPr>
          <w:rFonts w:ascii="宋体" w:hAnsi="宋体"/>
          <w:b/>
          <w:color w:val="auto"/>
          <w:sz w:val="32"/>
          <w:szCs w:val="32"/>
          <w:highlight w:val="none"/>
        </w:rPr>
      </w:pPr>
      <w:r>
        <w:rPr>
          <w:rFonts w:hint="eastAsia" w:ascii="宋体" w:hAnsi="宋体"/>
          <w:b/>
          <w:color w:val="auto"/>
          <w:sz w:val="32"/>
          <w:szCs w:val="32"/>
          <w:highlight w:val="none"/>
        </w:rPr>
        <w:br w:type="page"/>
      </w:r>
      <w:bookmarkStart w:id="198" w:name="_Toc84297300"/>
      <w:bookmarkStart w:id="199" w:name="_Toc155661878"/>
      <w:bookmarkStart w:id="200" w:name="_Toc172597285"/>
      <w:r>
        <w:rPr>
          <w:rFonts w:hint="eastAsia" w:ascii="宋体" w:hAnsi="宋体"/>
          <w:b/>
          <w:color w:val="auto"/>
          <w:sz w:val="32"/>
          <w:szCs w:val="32"/>
          <w:highlight w:val="none"/>
        </w:rPr>
        <w:t>五、投标人资质材及投标人认为需要提供的其他材料</w:t>
      </w:r>
    </w:p>
    <w:p w14:paraId="01EF0B52">
      <w:pPr>
        <w:spacing w:line="360" w:lineRule="auto"/>
        <w:jc w:val="center"/>
        <w:rPr>
          <w:rFonts w:ascii="宋体" w:hAnsi="宋体"/>
          <w:color w:val="auto"/>
          <w:sz w:val="24"/>
          <w:highlight w:val="none"/>
        </w:rPr>
      </w:pPr>
    </w:p>
    <w:p w14:paraId="12268AA0">
      <w:pPr>
        <w:spacing w:line="360" w:lineRule="auto"/>
        <w:jc w:val="center"/>
        <w:rPr>
          <w:rFonts w:ascii="宋体" w:hAnsi="宋体"/>
          <w:color w:val="auto"/>
          <w:sz w:val="24"/>
          <w:highlight w:val="none"/>
        </w:rPr>
      </w:pPr>
    </w:p>
    <w:p w14:paraId="27DB49D8">
      <w:pPr>
        <w:spacing w:beforeLines="50" w:afterLines="50"/>
        <w:jc w:val="center"/>
        <w:rPr>
          <w:rFonts w:ascii="宋体" w:hAnsi="宋体"/>
          <w:b/>
          <w:color w:val="auto"/>
          <w:sz w:val="32"/>
          <w:szCs w:val="32"/>
          <w:highlight w:val="none"/>
        </w:rPr>
      </w:pPr>
      <w:r>
        <w:rPr>
          <w:rFonts w:hint="eastAsia" w:ascii="宋体" w:hAnsi="宋体"/>
          <w:b/>
          <w:color w:val="auto"/>
          <w:sz w:val="32"/>
          <w:szCs w:val="32"/>
          <w:highlight w:val="none"/>
        </w:rPr>
        <w:t>六、技术支持方案</w:t>
      </w:r>
    </w:p>
    <w:p w14:paraId="39D898AD">
      <w:pPr>
        <w:spacing w:line="360" w:lineRule="auto"/>
        <w:jc w:val="center"/>
        <w:rPr>
          <w:rFonts w:ascii="宋体" w:hAnsi="宋体"/>
          <w:color w:val="auto"/>
          <w:sz w:val="24"/>
          <w:highlight w:val="none"/>
        </w:rPr>
      </w:pPr>
    </w:p>
    <w:p w14:paraId="36A86AA4">
      <w:pPr>
        <w:spacing w:line="360" w:lineRule="auto"/>
        <w:jc w:val="center"/>
        <w:rPr>
          <w:rFonts w:ascii="宋体" w:hAnsi="宋体"/>
          <w:color w:val="auto"/>
          <w:sz w:val="24"/>
          <w:highlight w:val="none"/>
        </w:rPr>
      </w:pPr>
    </w:p>
    <w:bookmarkEnd w:id="198"/>
    <w:bookmarkEnd w:id="199"/>
    <w:bookmarkEnd w:id="200"/>
    <w:p w14:paraId="15157077">
      <w:pPr>
        <w:jc w:val="center"/>
        <w:rPr>
          <w:rFonts w:ascii="宋体" w:hAnsi="宋体"/>
          <w:b/>
          <w:color w:val="auto"/>
          <w:sz w:val="32"/>
          <w:szCs w:val="32"/>
          <w:highlight w:val="none"/>
        </w:rPr>
      </w:pPr>
    </w:p>
    <w:p w14:paraId="144EE342">
      <w:pPr>
        <w:spacing w:beforeLines="50" w:afterLines="50"/>
        <w:jc w:val="center"/>
        <w:rPr>
          <w:rFonts w:ascii="宋体" w:hAnsi="宋体"/>
          <w:b/>
          <w:color w:val="auto"/>
          <w:sz w:val="32"/>
          <w:szCs w:val="32"/>
          <w:highlight w:val="none"/>
        </w:rPr>
        <w:sectPr>
          <w:pgSz w:w="11906" w:h="16838"/>
          <w:pgMar w:top="1440" w:right="1586" w:bottom="1440" w:left="1500" w:header="851" w:footer="992" w:gutter="0"/>
          <w:pgNumType w:fmt="decimal"/>
          <w:cols w:space="720" w:num="1"/>
          <w:docGrid w:type="lines" w:linePitch="312" w:charSpace="0"/>
        </w:sectPr>
      </w:pPr>
    </w:p>
    <w:p w14:paraId="56B1BF79">
      <w:pPr>
        <w:spacing w:beforeLines="50" w:afterLines="50"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七、服务承诺书</w:t>
      </w:r>
    </w:p>
    <w:p w14:paraId="13211419">
      <w:pPr>
        <w:spacing w:line="400" w:lineRule="exact"/>
        <w:jc w:val="left"/>
        <w:rPr>
          <w:rFonts w:ascii="宋体" w:hAnsi="宋体"/>
          <w:color w:val="auto"/>
          <w:sz w:val="24"/>
          <w:highlight w:val="none"/>
        </w:rPr>
      </w:pPr>
      <w:r>
        <w:rPr>
          <w:rFonts w:hint="eastAsia" w:ascii="宋体" w:hAnsi="宋体"/>
          <w:color w:val="auto"/>
          <w:sz w:val="24"/>
          <w:highlight w:val="none"/>
        </w:rPr>
        <w:t>致：皖北卫生职业学院</w:t>
      </w:r>
    </w:p>
    <w:p w14:paraId="1B5E262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如果我单位中标经营贵院食堂，在经营期间我司承诺如下事项：</w:t>
      </w:r>
    </w:p>
    <w:p w14:paraId="4CC6F737">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、严格遵守《中华人民共和国食品安全法》、《中华人民共和国劳动法》、《学校食品安全与营养健康管理规定》及皖北卫生职业学院各项管理制度等规章制度。</w:t>
      </w:r>
    </w:p>
    <w:p w14:paraId="4600E1D1">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、具备高校食堂经营的准入条件。</w:t>
      </w:r>
    </w:p>
    <w:p w14:paraId="553B5FB8">
      <w:pPr>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、承诺维护保管好学校的资产，不随意改动房屋结构和设施位置；</w:t>
      </w:r>
      <w:r>
        <w:rPr>
          <w:rFonts w:hint="eastAsia" w:ascii="宋体" w:hAnsi="宋体"/>
          <w:b/>
          <w:bCs/>
          <w:color w:val="auto"/>
          <w:sz w:val="24"/>
          <w:highlight w:val="none"/>
        </w:rPr>
        <w:t>不在操作功能区以外的地方增设摊位和售卖点；</w:t>
      </w:r>
      <w:r>
        <w:rPr>
          <w:rFonts w:hint="eastAsia" w:ascii="宋体" w:hAnsi="宋体"/>
          <w:color w:val="auto"/>
          <w:sz w:val="24"/>
          <w:highlight w:val="none"/>
        </w:rPr>
        <w:t>不占用食堂外围搞其他经营项目；不将经营场地分包、转包、转租、转让、分租；不私自增设大功率的电器或私自改动电线路。</w:t>
      </w:r>
    </w:p>
    <w:p w14:paraId="1C740F47">
      <w:pPr>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、承诺办理有效餐饮服务许可证，到期及时验证换证。所有从事食品生产、经营和销售的人员必须持合法、有效的健康证，并经卫生知识培训合格；经营期间内不更换食堂项目经理；更换食堂项目经理时至少提前</w:t>
      </w:r>
      <w:r>
        <w:rPr>
          <w:rFonts w:ascii="宋体" w:hAnsi="宋体"/>
          <w:color w:val="auto"/>
          <w:sz w:val="24"/>
          <w:highlight w:val="none"/>
        </w:rPr>
        <w:t>15</w:t>
      </w:r>
      <w:r>
        <w:rPr>
          <w:rFonts w:hint="eastAsia" w:ascii="宋体" w:hAnsi="宋体"/>
          <w:color w:val="auto"/>
          <w:sz w:val="24"/>
          <w:highlight w:val="none"/>
        </w:rPr>
        <w:t>天告知校方。</w:t>
      </w:r>
    </w:p>
    <w:p w14:paraId="353192BE">
      <w:pPr>
        <w:spacing w:line="4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提交详细的食堂经营服务方案，有完整的组织机构和健全的规章制度，包括财务管理、人事管理、价格管理、工作规范、安全防患、卫生保障、用工培训、社保福利、民主管理、文明服务、物资采购、质量监督等制度；</w:t>
      </w:r>
    </w:p>
    <w:p w14:paraId="79D14E15">
      <w:pPr>
        <w:spacing w:line="40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、承诺所购主料、辅料必须有商家有效证件、电话号码、经营地址、产品检验合格证或者化验单。不采用霉烂、变质或不新鲜的食物和三无（无生产厂家、无生产日期、无保质期）成品原料。</w:t>
      </w:r>
    </w:p>
    <w:p w14:paraId="7A7F1D3D">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、承诺如经营中出现食物中毒或人为事故，则承担经济、行政、法律等全部责任，以及患者抢救治疗的一切费用及善后工作的费用。</w:t>
      </w:r>
    </w:p>
    <w:p w14:paraId="736F9C99">
      <w:pPr>
        <w:spacing w:line="40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、承诺配合学校对饮食质量、成本等的核算检查工作，承诺不使用转基因食品，使用一卡通售卖，建设智慧食堂，明码标价，未经学校同意不擅自调高各种主副食品的价格。</w:t>
      </w:r>
    </w:p>
    <w:p w14:paraId="7383FC86">
      <w:pPr>
        <w:spacing w:line="400" w:lineRule="exact"/>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、承诺自觉维护校园的和谐稳定，维护学校的荣誉，积极配合校方迎接上级教育、卫生部门的检查工作，确保检查顺利通过。</w:t>
      </w:r>
    </w:p>
    <w:p w14:paraId="2F5C2C9D">
      <w:pPr>
        <w:spacing w:line="400" w:lineRule="exact"/>
        <w:ind w:firstLine="480" w:firstLineChars="200"/>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、承诺经营亏损风险由经营方承担，经营方不得以国家、省、市政策规定之外的任何理由向学校申请减免费用。</w:t>
      </w:r>
    </w:p>
    <w:p w14:paraId="2E9D32DE">
      <w:pPr>
        <w:spacing w:line="400" w:lineRule="exact"/>
        <w:ind w:firstLine="480" w:firstLineChars="200"/>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、承诺在收到中标通知书</w:t>
      </w:r>
      <w:r>
        <w:rPr>
          <w:rFonts w:ascii="宋体" w:hAnsi="宋体"/>
          <w:color w:val="auto"/>
          <w:sz w:val="24"/>
          <w:highlight w:val="none"/>
        </w:rPr>
        <w:t>5</w:t>
      </w:r>
      <w:r>
        <w:rPr>
          <w:rFonts w:hint="eastAsia" w:ascii="宋体" w:hAnsi="宋体"/>
          <w:color w:val="auto"/>
          <w:sz w:val="24"/>
          <w:highlight w:val="none"/>
        </w:rPr>
        <w:t>个工作日内与校方签订经营合同，并提交履约保证金及在规定的时间内完成交接、各项投入、装备及其他开餐准备工作。</w:t>
      </w:r>
    </w:p>
    <w:p w14:paraId="284B51BB">
      <w:pPr>
        <w:spacing w:line="400" w:lineRule="exact"/>
        <w:ind w:firstLine="480" w:firstLineChars="200"/>
        <w:rPr>
          <w:rFonts w:ascii="宋体" w:hAnsi="宋体"/>
          <w:color w:val="auto"/>
          <w:sz w:val="24"/>
          <w:highlight w:val="none"/>
        </w:rPr>
      </w:pPr>
    </w:p>
    <w:p w14:paraId="025CDEB3">
      <w:pPr>
        <w:spacing w:line="400" w:lineRule="exact"/>
        <w:rPr>
          <w:rFonts w:ascii="宋体" w:hAnsi="宋体"/>
          <w:color w:val="auto"/>
          <w:sz w:val="24"/>
          <w:highlight w:val="none"/>
        </w:rPr>
      </w:pPr>
    </w:p>
    <w:p w14:paraId="184AAF77">
      <w:pPr>
        <w:spacing w:line="400" w:lineRule="exact"/>
        <w:ind w:firstLine="4560" w:firstLineChars="1900"/>
        <w:rPr>
          <w:rFonts w:ascii="宋体" w:hAnsi="宋体"/>
          <w:color w:val="auto"/>
          <w:sz w:val="24"/>
          <w:highlight w:val="none"/>
        </w:rPr>
      </w:pPr>
      <w:r>
        <w:rPr>
          <w:rFonts w:hint="eastAsia" w:ascii="宋体" w:hAnsi="宋体"/>
          <w:color w:val="auto"/>
          <w:sz w:val="24"/>
          <w:highlight w:val="none"/>
        </w:rPr>
        <w:t>承诺人（单位公章）：</w:t>
      </w:r>
    </w:p>
    <w:p w14:paraId="6DC0FD90">
      <w:pPr>
        <w:spacing w:line="400" w:lineRule="exact"/>
        <w:rPr>
          <w:rFonts w:ascii="宋体" w:hAnsi="宋体"/>
          <w:color w:val="auto"/>
          <w:sz w:val="24"/>
          <w:highlight w:val="none"/>
        </w:rPr>
      </w:pPr>
      <w:r>
        <w:rPr>
          <w:rFonts w:hint="eastAsia" w:ascii="宋体" w:hAnsi="宋体"/>
          <w:color w:val="auto"/>
          <w:sz w:val="24"/>
          <w:highlight w:val="none"/>
        </w:rPr>
        <w:t xml:space="preserve">                                    法定代表人或授权代表（签字）：</w:t>
      </w:r>
    </w:p>
    <w:p w14:paraId="7C950564">
      <w:pPr>
        <w:spacing w:line="4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43843D3B">
      <w:pPr>
        <w:spacing w:beforeLines="50" w:afterLines="50"/>
        <w:rPr>
          <w:rFonts w:ascii="宋体" w:hAnsi="宋体"/>
          <w:b/>
          <w:color w:val="auto"/>
          <w:sz w:val="32"/>
          <w:szCs w:val="32"/>
          <w:highlight w:val="none"/>
        </w:rPr>
        <w:sectPr>
          <w:pgSz w:w="11906" w:h="16838"/>
          <w:pgMar w:top="1440" w:right="1586" w:bottom="1440" w:left="1500" w:header="851" w:footer="992" w:gutter="0"/>
          <w:pgNumType w:fmt="decimal"/>
          <w:cols w:space="720" w:num="1"/>
          <w:docGrid w:type="lines" w:linePitch="312" w:charSpace="0"/>
        </w:sectPr>
      </w:pPr>
    </w:p>
    <w:p w14:paraId="58FDDD12">
      <w:pPr>
        <w:spacing w:beforeLines="50" w:afterLines="50"/>
        <w:jc w:val="center"/>
        <w:outlineLvl w:val="1"/>
        <w:rPr>
          <w:rFonts w:ascii="宋体" w:hAnsi="宋体"/>
          <w:b/>
          <w:color w:val="auto"/>
          <w:sz w:val="32"/>
          <w:szCs w:val="32"/>
          <w:highlight w:val="none"/>
        </w:rPr>
      </w:pPr>
      <w:r>
        <w:rPr>
          <w:rFonts w:hint="eastAsia" w:ascii="宋体" w:hAnsi="宋体"/>
          <w:b/>
          <w:color w:val="auto"/>
          <w:sz w:val="32"/>
          <w:szCs w:val="32"/>
          <w:highlight w:val="none"/>
        </w:rPr>
        <w:t>八、投标报价书</w:t>
      </w:r>
    </w:p>
    <w:p w14:paraId="6875322C">
      <w:pPr>
        <w:jc w:val="center"/>
        <w:outlineLvl w:val="2"/>
        <w:rPr>
          <w:rFonts w:ascii="宋体" w:hAnsi="宋体"/>
          <w:b/>
          <w:color w:val="auto"/>
          <w:sz w:val="28"/>
          <w:szCs w:val="28"/>
          <w:highlight w:val="none"/>
        </w:rPr>
      </w:pPr>
      <w:r>
        <w:rPr>
          <w:rFonts w:hint="eastAsia" w:ascii="宋体" w:hAnsi="宋体"/>
          <w:b/>
          <w:color w:val="auto"/>
          <w:sz w:val="28"/>
          <w:szCs w:val="28"/>
          <w:highlight w:val="none"/>
        </w:rPr>
        <w:t>投标报价书（单独密封）</w:t>
      </w:r>
    </w:p>
    <w:p w14:paraId="64412740">
      <w:pPr>
        <w:rPr>
          <w:rFonts w:ascii="宋体" w:hAnsi="宋体"/>
          <w:b/>
          <w:color w:val="auto"/>
          <w:sz w:val="28"/>
          <w:szCs w:val="28"/>
          <w:highlight w:val="none"/>
        </w:rPr>
      </w:pPr>
    </w:p>
    <w:p w14:paraId="613A7A6C">
      <w:pPr>
        <w:adjustRightInd w:val="0"/>
        <w:snapToGrid w:val="0"/>
        <w:rPr>
          <w:rFonts w:ascii="宋体" w:hAnsi="宋体" w:cs="Arial"/>
          <w:b/>
          <w:color w:val="auto"/>
          <w:sz w:val="32"/>
          <w:szCs w:val="32"/>
          <w:highlight w:val="none"/>
        </w:rPr>
      </w:pPr>
      <w:r>
        <w:rPr>
          <w:rFonts w:hint="eastAsia" w:ascii="宋体" w:hAnsi="宋体" w:cs="Arial"/>
          <w:b/>
          <w:color w:val="auto"/>
          <w:sz w:val="32"/>
          <w:szCs w:val="32"/>
          <w:highlight w:val="none"/>
        </w:rPr>
        <w:t>致：皖北卫生职业学院</w:t>
      </w:r>
    </w:p>
    <w:p w14:paraId="7B8BC04B">
      <w:pPr>
        <w:adjustRightInd w:val="0"/>
        <w:snapToGrid w:val="0"/>
        <w:spacing w:line="720" w:lineRule="auto"/>
        <w:rPr>
          <w:rFonts w:ascii="宋体" w:hAnsi="宋体" w:cs="Arial"/>
          <w:b/>
          <w:color w:val="auto"/>
          <w:sz w:val="28"/>
          <w:szCs w:val="28"/>
          <w:highlight w:val="none"/>
        </w:rPr>
      </w:pPr>
    </w:p>
    <w:p w14:paraId="4DD8E47F">
      <w:pPr>
        <w:adjustRightInd w:val="0"/>
        <w:snapToGrid w:val="0"/>
        <w:spacing w:line="360" w:lineRule="auto"/>
        <w:ind w:firstLine="522" w:firstLineChars="200"/>
        <w:rPr>
          <w:rFonts w:ascii="宋体" w:hAnsi="宋体"/>
          <w:b/>
          <w:color w:val="auto"/>
          <w:sz w:val="28"/>
          <w:szCs w:val="28"/>
          <w:highlight w:val="none"/>
        </w:rPr>
      </w:pPr>
      <w:r>
        <w:rPr>
          <w:rFonts w:hint="eastAsia" w:ascii="宋体" w:hAnsi="宋体" w:cs="Arial"/>
          <w:color w:val="auto"/>
          <w:sz w:val="28"/>
          <w:szCs w:val="28"/>
          <w:highlight w:val="none"/>
        </w:rPr>
        <w:t>根据贵方的要求，授权代表经授权并代表报价方对本项目合同期内学校投资装饰装修与设备管理投资，及缴纳水资源管理费、污水处理费、垃圾清运及垃圾处理费、水电管理费（不含水电费）、食品卫生监督费、校园一卡通系统及明厨亮灶监控维护维修费、饮食文化活动及其公共建设费等上浮费用：</w:t>
      </w:r>
    </w:p>
    <w:p w14:paraId="4D6C6B8F">
      <w:pPr>
        <w:adjustRightInd w:val="0"/>
        <w:snapToGrid w:val="0"/>
        <w:spacing w:line="440" w:lineRule="exact"/>
        <w:rPr>
          <w:rFonts w:ascii="宋体" w:hAnsi="宋体"/>
          <w:b/>
          <w:color w:val="auto"/>
          <w:sz w:val="28"/>
          <w:szCs w:val="28"/>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968"/>
        <w:gridCol w:w="2574"/>
        <w:gridCol w:w="1215"/>
        <w:gridCol w:w="1556"/>
      </w:tblGrid>
      <w:tr w14:paraId="6802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07" w:type="dxa"/>
            <w:vAlign w:val="center"/>
          </w:tcPr>
          <w:p w14:paraId="15B065C7">
            <w:pPr>
              <w:jc w:val="center"/>
              <w:rPr>
                <w:rFonts w:ascii="宋体" w:hAnsi="宋体"/>
                <w:b/>
                <w:bCs/>
                <w:color w:val="auto"/>
                <w:kern w:val="0"/>
                <w:szCs w:val="21"/>
                <w:highlight w:val="none"/>
              </w:rPr>
            </w:pPr>
            <w:r>
              <w:rPr>
                <w:rFonts w:hint="eastAsia" w:ascii="宋体" w:hAnsi="宋体"/>
                <w:b/>
                <w:bCs/>
                <w:color w:val="auto"/>
                <w:kern w:val="0"/>
                <w:szCs w:val="21"/>
                <w:highlight w:val="none"/>
              </w:rPr>
              <w:t>序号</w:t>
            </w:r>
          </w:p>
        </w:tc>
        <w:tc>
          <w:tcPr>
            <w:tcW w:w="2968" w:type="dxa"/>
            <w:vAlign w:val="center"/>
          </w:tcPr>
          <w:p w14:paraId="20D423B2">
            <w:pPr>
              <w:jc w:val="center"/>
              <w:rPr>
                <w:rFonts w:ascii="宋体" w:hAnsi="宋体"/>
                <w:b/>
                <w:bCs/>
                <w:color w:val="auto"/>
                <w:kern w:val="0"/>
                <w:szCs w:val="21"/>
                <w:highlight w:val="none"/>
              </w:rPr>
            </w:pPr>
            <w:r>
              <w:rPr>
                <w:rFonts w:hint="eastAsia" w:ascii="宋体" w:hAnsi="宋体"/>
                <w:b/>
                <w:bCs/>
                <w:color w:val="auto"/>
                <w:kern w:val="0"/>
                <w:szCs w:val="21"/>
                <w:highlight w:val="none"/>
              </w:rPr>
              <w:t>商务竞争名称</w:t>
            </w:r>
          </w:p>
        </w:tc>
        <w:tc>
          <w:tcPr>
            <w:tcW w:w="2574" w:type="dxa"/>
            <w:vAlign w:val="center"/>
          </w:tcPr>
          <w:p w14:paraId="76DA33E4">
            <w:pPr>
              <w:jc w:val="center"/>
              <w:rPr>
                <w:rFonts w:ascii="宋体" w:hAnsi="宋体"/>
                <w:b/>
                <w:bCs/>
                <w:color w:val="auto"/>
                <w:kern w:val="0"/>
                <w:szCs w:val="21"/>
                <w:highlight w:val="none"/>
              </w:rPr>
            </w:pPr>
            <w:r>
              <w:rPr>
                <w:rFonts w:hint="eastAsia" w:ascii="宋体" w:hAnsi="宋体"/>
                <w:b/>
                <w:bCs/>
                <w:color w:val="auto"/>
                <w:kern w:val="0"/>
                <w:szCs w:val="21"/>
                <w:highlight w:val="none"/>
              </w:rPr>
              <w:t>上浮费用</w:t>
            </w:r>
          </w:p>
        </w:tc>
        <w:tc>
          <w:tcPr>
            <w:tcW w:w="1215" w:type="dxa"/>
            <w:vAlign w:val="center"/>
          </w:tcPr>
          <w:p w14:paraId="517ABDEC">
            <w:pPr>
              <w:jc w:val="center"/>
              <w:rPr>
                <w:rFonts w:ascii="宋体" w:hAnsi="宋体"/>
                <w:b/>
                <w:bCs/>
                <w:color w:val="auto"/>
                <w:kern w:val="0"/>
                <w:szCs w:val="21"/>
                <w:highlight w:val="none"/>
              </w:rPr>
            </w:pPr>
            <w:r>
              <w:rPr>
                <w:rFonts w:hint="eastAsia" w:ascii="宋体" w:hAnsi="宋体"/>
                <w:b/>
                <w:bCs/>
                <w:color w:val="auto"/>
                <w:kern w:val="0"/>
                <w:szCs w:val="21"/>
                <w:highlight w:val="none"/>
              </w:rPr>
              <w:t>总得分</w:t>
            </w:r>
          </w:p>
        </w:tc>
        <w:tc>
          <w:tcPr>
            <w:tcW w:w="1556" w:type="dxa"/>
            <w:vAlign w:val="center"/>
          </w:tcPr>
          <w:p w14:paraId="42A137A1">
            <w:pPr>
              <w:jc w:val="center"/>
              <w:rPr>
                <w:rFonts w:ascii="宋体" w:hAnsi="宋体"/>
                <w:b/>
                <w:bCs/>
                <w:color w:val="auto"/>
                <w:kern w:val="0"/>
                <w:szCs w:val="21"/>
                <w:highlight w:val="none"/>
              </w:rPr>
            </w:pPr>
            <w:r>
              <w:rPr>
                <w:rFonts w:hint="eastAsia" w:ascii="宋体" w:hAnsi="宋体"/>
                <w:b/>
                <w:bCs/>
                <w:color w:val="auto"/>
                <w:kern w:val="0"/>
                <w:szCs w:val="21"/>
                <w:highlight w:val="none"/>
              </w:rPr>
              <w:t>备注</w:t>
            </w:r>
          </w:p>
        </w:tc>
      </w:tr>
      <w:tr w14:paraId="36A3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07" w:type="dxa"/>
            <w:vAlign w:val="center"/>
          </w:tcPr>
          <w:p w14:paraId="33F073EE">
            <w:pPr>
              <w:jc w:val="center"/>
              <w:rPr>
                <w:rFonts w:ascii="宋体" w:hAnsi="宋体"/>
                <w:b/>
                <w:bCs/>
                <w:color w:val="auto"/>
                <w:kern w:val="0"/>
                <w:szCs w:val="21"/>
                <w:highlight w:val="none"/>
              </w:rPr>
            </w:pPr>
            <w:r>
              <w:rPr>
                <w:rFonts w:hint="eastAsia" w:ascii="宋体" w:hAnsi="宋体"/>
                <w:b/>
                <w:bCs/>
                <w:color w:val="auto"/>
                <w:kern w:val="0"/>
                <w:szCs w:val="21"/>
                <w:highlight w:val="none"/>
              </w:rPr>
              <w:t>1</w:t>
            </w:r>
          </w:p>
        </w:tc>
        <w:tc>
          <w:tcPr>
            <w:tcW w:w="2968" w:type="dxa"/>
            <w:vAlign w:val="center"/>
          </w:tcPr>
          <w:p w14:paraId="2705DC26">
            <w:pPr>
              <w:jc w:val="center"/>
              <w:rPr>
                <w:rFonts w:ascii="宋体" w:hAnsi="宋体"/>
                <w:b/>
                <w:bCs/>
                <w:color w:val="auto"/>
                <w:kern w:val="0"/>
                <w:szCs w:val="21"/>
                <w:highlight w:val="none"/>
              </w:rPr>
            </w:pPr>
            <w:r>
              <w:rPr>
                <w:rFonts w:hint="eastAsia" w:ascii="宋体" w:hAnsi="宋体"/>
                <w:b/>
                <w:bCs/>
                <w:color w:val="auto"/>
                <w:kern w:val="0"/>
                <w:szCs w:val="21"/>
                <w:highlight w:val="none"/>
              </w:rPr>
              <w:t>投资装饰装修与设备费用</w:t>
            </w:r>
          </w:p>
        </w:tc>
        <w:tc>
          <w:tcPr>
            <w:tcW w:w="2574" w:type="dxa"/>
            <w:vAlign w:val="center"/>
          </w:tcPr>
          <w:p w14:paraId="39DF8643">
            <w:pPr>
              <w:jc w:val="center"/>
              <w:rPr>
                <w:rFonts w:ascii="宋体" w:hAnsi="宋体"/>
                <w:b/>
                <w:bCs/>
                <w:color w:val="auto"/>
                <w:kern w:val="0"/>
                <w:szCs w:val="21"/>
                <w:highlight w:val="none"/>
              </w:rPr>
            </w:pPr>
          </w:p>
        </w:tc>
        <w:tc>
          <w:tcPr>
            <w:tcW w:w="1215" w:type="dxa"/>
            <w:vAlign w:val="center"/>
          </w:tcPr>
          <w:p w14:paraId="5151CC41">
            <w:pPr>
              <w:jc w:val="center"/>
              <w:rPr>
                <w:rFonts w:ascii="宋体" w:hAnsi="宋体"/>
                <w:b/>
                <w:bCs/>
                <w:color w:val="auto"/>
                <w:kern w:val="0"/>
                <w:szCs w:val="21"/>
                <w:highlight w:val="none"/>
              </w:rPr>
            </w:pPr>
          </w:p>
        </w:tc>
        <w:tc>
          <w:tcPr>
            <w:tcW w:w="1556" w:type="dxa"/>
            <w:vAlign w:val="center"/>
          </w:tcPr>
          <w:p w14:paraId="0410B291">
            <w:pPr>
              <w:jc w:val="center"/>
              <w:rPr>
                <w:rFonts w:ascii="宋体" w:hAnsi="宋体"/>
                <w:b/>
                <w:bCs/>
                <w:color w:val="auto"/>
                <w:kern w:val="0"/>
                <w:szCs w:val="21"/>
                <w:highlight w:val="none"/>
              </w:rPr>
            </w:pPr>
            <w:r>
              <w:rPr>
                <w:rFonts w:hint="eastAsia" w:ascii="宋体" w:hAnsi="宋体"/>
                <w:b/>
                <w:bCs/>
                <w:color w:val="auto"/>
                <w:kern w:val="0"/>
                <w:szCs w:val="21"/>
                <w:highlight w:val="none"/>
              </w:rPr>
              <w:t>低于100万</w:t>
            </w:r>
            <w:r>
              <w:rPr>
                <w:rFonts w:hint="eastAsia" w:ascii="宋体" w:hAnsi="宋体"/>
                <w:b/>
                <w:bCs/>
                <w:color w:val="auto"/>
                <w:kern w:val="0"/>
                <w:szCs w:val="21"/>
                <w:highlight w:val="none"/>
                <w:lang w:val="en-US" w:eastAsia="zh-CN"/>
              </w:rPr>
              <w:t>为无效标</w:t>
            </w:r>
          </w:p>
        </w:tc>
      </w:tr>
      <w:tr w14:paraId="44A8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07" w:type="dxa"/>
            <w:vAlign w:val="center"/>
          </w:tcPr>
          <w:p w14:paraId="2850AA34">
            <w:pPr>
              <w:jc w:val="center"/>
              <w:rPr>
                <w:rFonts w:ascii="宋体" w:hAnsi="宋体"/>
                <w:b/>
                <w:bCs/>
                <w:color w:val="auto"/>
                <w:kern w:val="0"/>
                <w:szCs w:val="21"/>
                <w:highlight w:val="none"/>
              </w:rPr>
            </w:pPr>
            <w:r>
              <w:rPr>
                <w:rFonts w:hint="eastAsia" w:ascii="宋体" w:hAnsi="宋体"/>
                <w:b/>
                <w:bCs/>
                <w:color w:val="auto"/>
                <w:kern w:val="0"/>
                <w:szCs w:val="21"/>
                <w:highlight w:val="none"/>
              </w:rPr>
              <w:t>2</w:t>
            </w:r>
          </w:p>
        </w:tc>
        <w:tc>
          <w:tcPr>
            <w:tcW w:w="2968" w:type="dxa"/>
            <w:vAlign w:val="center"/>
          </w:tcPr>
          <w:p w14:paraId="2F262F70">
            <w:pPr>
              <w:jc w:val="center"/>
              <w:rPr>
                <w:rFonts w:ascii="宋体" w:hAnsi="宋体"/>
                <w:b/>
                <w:bCs/>
                <w:color w:val="auto"/>
                <w:sz w:val="24"/>
                <w:highlight w:val="none"/>
              </w:rPr>
            </w:pPr>
            <w:r>
              <w:rPr>
                <w:rFonts w:hint="eastAsia" w:ascii="宋体" w:hAnsi="宋体" w:cs="宋体"/>
                <w:b/>
                <w:bCs/>
                <w:color w:val="auto"/>
                <w:sz w:val="24"/>
                <w:highlight w:val="none"/>
              </w:rPr>
              <w:t>水资源管理费、污水处理费、垃圾清运及垃圾处理费等费用</w:t>
            </w:r>
          </w:p>
        </w:tc>
        <w:tc>
          <w:tcPr>
            <w:tcW w:w="2574" w:type="dxa"/>
            <w:vAlign w:val="center"/>
          </w:tcPr>
          <w:p w14:paraId="62720D0B">
            <w:pPr>
              <w:jc w:val="center"/>
              <w:rPr>
                <w:rFonts w:ascii="宋体" w:hAnsi="宋体"/>
                <w:b/>
                <w:bCs/>
                <w:color w:val="auto"/>
                <w:kern w:val="0"/>
                <w:szCs w:val="21"/>
                <w:highlight w:val="none"/>
              </w:rPr>
            </w:pPr>
          </w:p>
        </w:tc>
        <w:tc>
          <w:tcPr>
            <w:tcW w:w="1215" w:type="dxa"/>
            <w:vAlign w:val="center"/>
          </w:tcPr>
          <w:p w14:paraId="2DFF90FD">
            <w:pPr>
              <w:jc w:val="center"/>
              <w:rPr>
                <w:rFonts w:ascii="宋体" w:hAnsi="宋体"/>
                <w:b/>
                <w:bCs/>
                <w:color w:val="auto"/>
                <w:kern w:val="0"/>
                <w:szCs w:val="21"/>
                <w:highlight w:val="none"/>
              </w:rPr>
            </w:pPr>
          </w:p>
        </w:tc>
        <w:tc>
          <w:tcPr>
            <w:tcW w:w="1556" w:type="dxa"/>
            <w:vAlign w:val="center"/>
          </w:tcPr>
          <w:p w14:paraId="72153777">
            <w:pPr>
              <w:jc w:val="center"/>
              <w:rPr>
                <w:rFonts w:ascii="宋体" w:hAnsi="宋体"/>
                <w:b/>
                <w:bCs/>
                <w:color w:val="auto"/>
                <w:kern w:val="0"/>
                <w:szCs w:val="21"/>
                <w:highlight w:val="none"/>
              </w:rPr>
            </w:pPr>
            <w:r>
              <w:rPr>
                <w:rFonts w:hint="eastAsia" w:ascii="宋体" w:hAnsi="宋体"/>
                <w:b/>
                <w:bCs/>
                <w:color w:val="auto"/>
                <w:kern w:val="0"/>
                <w:szCs w:val="21"/>
                <w:highlight w:val="none"/>
              </w:rPr>
              <w:t>低于</w:t>
            </w:r>
            <w:r>
              <w:rPr>
                <w:rFonts w:hint="eastAsia" w:ascii="宋体" w:hAnsi="宋体"/>
                <w:b/>
                <w:bCs/>
                <w:color w:val="auto"/>
                <w:kern w:val="0"/>
                <w:szCs w:val="21"/>
                <w:highlight w:val="none"/>
                <w:lang w:val="en-US" w:eastAsia="zh-CN"/>
              </w:rPr>
              <w:t>2</w:t>
            </w:r>
            <w:r>
              <w:rPr>
                <w:rFonts w:hint="eastAsia" w:ascii="宋体" w:hAnsi="宋体"/>
                <w:b/>
                <w:bCs/>
                <w:color w:val="auto"/>
                <w:kern w:val="0"/>
                <w:szCs w:val="21"/>
                <w:highlight w:val="none"/>
              </w:rPr>
              <w:t>0万</w:t>
            </w:r>
            <w:r>
              <w:rPr>
                <w:rFonts w:hint="eastAsia" w:ascii="宋体" w:hAnsi="宋体"/>
                <w:b/>
                <w:bCs/>
                <w:color w:val="auto"/>
                <w:kern w:val="0"/>
                <w:szCs w:val="21"/>
                <w:highlight w:val="none"/>
                <w:lang w:val="en-US" w:eastAsia="zh-CN"/>
              </w:rPr>
              <w:t>为无效标</w:t>
            </w:r>
          </w:p>
        </w:tc>
      </w:tr>
    </w:tbl>
    <w:p w14:paraId="519C756D">
      <w:pPr>
        <w:spacing w:line="500" w:lineRule="exact"/>
        <w:rPr>
          <w:rFonts w:ascii="宋体" w:hAnsi="宋体" w:cs="宋体"/>
          <w:bCs/>
          <w:color w:val="auto"/>
          <w:kern w:val="0"/>
          <w:sz w:val="24"/>
          <w:highlight w:val="none"/>
        </w:rPr>
      </w:pPr>
    </w:p>
    <w:p w14:paraId="64B327AC">
      <w:pPr>
        <w:adjustRightInd w:val="0"/>
        <w:snapToGrid w:val="0"/>
        <w:spacing w:line="440" w:lineRule="exact"/>
        <w:rPr>
          <w:rFonts w:ascii="宋体" w:hAnsi="宋体"/>
          <w:b/>
          <w:color w:val="auto"/>
          <w:sz w:val="28"/>
          <w:szCs w:val="28"/>
          <w:highlight w:val="none"/>
        </w:rPr>
      </w:pPr>
    </w:p>
    <w:p w14:paraId="77016486">
      <w:pPr>
        <w:adjustRightInd w:val="0"/>
        <w:snapToGrid w:val="0"/>
        <w:spacing w:line="440" w:lineRule="exact"/>
        <w:rPr>
          <w:rFonts w:ascii="宋体" w:hAnsi="宋体"/>
          <w:b/>
          <w:color w:val="auto"/>
          <w:sz w:val="28"/>
          <w:szCs w:val="28"/>
          <w:highlight w:val="none"/>
        </w:rPr>
      </w:pPr>
    </w:p>
    <w:p w14:paraId="2D5F03BD">
      <w:pPr>
        <w:adjustRightInd w:val="0"/>
        <w:snapToGrid w:val="0"/>
        <w:spacing w:line="440" w:lineRule="exact"/>
        <w:rPr>
          <w:rFonts w:ascii="宋体" w:hAnsi="宋体"/>
          <w:b/>
          <w:color w:val="auto"/>
          <w:sz w:val="28"/>
          <w:szCs w:val="28"/>
          <w:highlight w:val="none"/>
        </w:rPr>
      </w:pPr>
    </w:p>
    <w:p w14:paraId="150D6EBF">
      <w:pPr>
        <w:adjustRightInd w:val="0"/>
        <w:snapToGrid w:val="0"/>
        <w:spacing w:line="440" w:lineRule="exact"/>
        <w:ind w:firstLine="3654" w:firstLineChars="1400"/>
        <w:rPr>
          <w:rFonts w:ascii="宋体" w:hAnsi="宋体"/>
          <w:b/>
          <w:color w:val="auto"/>
          <w:sz w:val="28"/>
          <w:szCs w:val="28"/>
          <w:highlight w:val="none"/>
        </w:rPr>
      </w:pPr>
      <w:r>
        <w:rPr>
          <w:rFonts w:hint="eastAsia" w:ascii="宋体" w:hAnsi="宋体"/>
          <w:b/>
          <w:color w:val="auto"/>
          <w:sz w:val="28"/>
          <w:szCs w:val="28"/>
          <w:highlight w:val="none"/>
        </w:rPr>
        <w:t xml:space="preserve">  投标报价单位（公章）：</w:t>
      </w:r>
    </w:p>
    <w:p w14:paraId="644B7519">
      <w:pPr>
        <w:adjustRightInd w:val="0"/>
        <w:snapToGrid w:val="0"/>
        <w:spacing w:line="440" w:lineRule="exact"/>
        <w:rPr>
          <w:rFonts w:ascii="宋体" w:hAnsi="宋体"/>
          <w:b/>
          <w:color w:val="auto"/>
          <w:sz w:val="28"/>
          <w:szCs w:val="28"/>
          <w:highlight w:val="none"/>
        </w:rPr>
      </w:pPr>
      <w:r>
        <w:rPr>
          <w:rFonts w:hint="eastAsia" w:ascii="宋体" w:hAnsi="宋体"/>
          <w:b/>
          <w:color w:val="auto"/>
          <w:sz w:val="28"/>
          <w:szCs w:val="28"/>
          <w:highlight w:val="none"/>
        </w:rPr>
        <w:t xml:space="preserve">                        法定代表人或授权代表（签字）：</w:t>
      </w:r>
    </w:p>
    <w:p w14:paraId="4C4122FA">
      <w:pPr>
        <w:adjustRightInd w:val="0"/>
        <w:snapToGrid w:val="0"/>
        <w:spacing w:line="440" w:lineRule="exact"/>
        <w:rPr>
          <w:color w:val="auto"/>
          <w:sz w:val="44"/>
          <w:szCs w:val="44"/>
          <w:highlight w:val="none"/>
        </w:rPr>
      </w:pPr>
      <w:r>
        <w:rPr>
          <w:rFonts w:hint="eastAsia" w:ascii="宋体" w:hAnsi="宋体"/>
          <w:b/>
          <w:color w:val="auto"/>
          <w:sz w:val="28"/>
          <w:szCs w:val="28"/>
          <w:highlight w:val="none"/>
        </w:rPr>
        <w:t xml:space="preserve">                                    日期：</w:t>
      </w:r>
    </w:p>
    <w:p w14:paraId="16B2B954">
      <w:pPr>
        <w:jc w:val="center"/>
        <w:rPr>
          <w:rFonts w:hint="eastAsia" w:ascii="宋体" w:hAnsi="宋体"/>
          <w:b/>
          <w:color w:val="auto"/>
          <w:sz w:val="32"/>
          <w:szCs w:val="32"/>
          <w:highlight w:val="none"/>
        </w:rPr>
      </w:pPr>
    </w:p>
    <w:p w14:paraId="22C1E69F">
      <w:pPr>
        <w:jc w:val="center"/>
        <w:rPr>
          <w:rFonts w:hint="eastAsia" w:ascii="宋体" w:hAnsi="宋体"/>
          <w:b/>
          <w:color w:val="auto"/>
          <w:sz w:val="32"/>
          <w:szCs w:val="32"/>
          <w:highlight w:val="none"/>
        </w:rPr>
      </w:pPr>
    </w:p>
    <w:p w14:paraId="4010879A">
      <w:pPr>
        <w:jc w:val="center"/>
        <w:rPr>
          <w:rFonts w:ascii="宋体" w:hAnsi="宋体"/>
          <w:b/>
          <w:color w:val="auto"/>
          <w:sz w:val="32"/>
          <w:szCs w:val="32"/>
          <w:highlight w:val="none"/>
        </w:rPr>
      </w:pPr>
      <w:r>
        <w:rPr>
          <w:rFonts w:hint="eastAsia" w:ascii="宋体" w:hAnsi="宋体"/>
          <w:b/>
          <w:color w:val="auto"/>
          <w:sz w:val="32"/>
          <w:szCs w:val="32"/>
          <w:highlight w:val="none"/>
        </w:rPr>
        <w:t>投标报价书（单独密封）</w:t>
      </w:r>
    </w:p>
    <w:p w14:paraId="148D4EE7">
      <w:pPr>
        <w:adjustRightInd w:val="0"/>
        <w:snapToGrid w:val="0"/>
        <w:rPr>
          <w:rFonts w:ascii="宋体" w:hAnsi="宋体" w:cs="Arial"/>
          <w:b/>
          <w:color w:val="auto"/>
          <w:sz w:val="24"/>
          <w:szCs w:val="24"/>
          <w:highlight w:val="none"/>
        </w:rPr>
      </w:pPr>
      <w:r>
        <w:rPr>
          <w:rFonts w:hint="eastAsia" w:ascii="宋体" w:hAnsi="宋体" w:cs="Arial"/>
          <w:b/>
          <w:color w:val="auto"/>
          <w:sz w:val="24"/>
          <w:szCs w:val="24"/>
          <w:highlight w:val="none"/>
        </w:rPr>
        <w:t>致：皖北卫生职业学院</w:t>
      </w:r>
    </w:p>
    <w:p w14:paraId="11E81AE2">
      <w:pPr>
        <w:ind w:firstLine="442"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根据贵方的要求，授权代表经授权并代表报价方对本项目合同期内学校食堂基本大伙品目参考报价单为：</w:t>
      </w:r>
    </w:p>
    <w:tbl>
      <w:tblPr>
        <w:tblStyle w:val="19"/>
        <w:tblW w:w="10072"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156"/>
        <w:gridCol w:w="899"/>
        <w:gridCol w:w="1099"/>
        <w:gridCol w:w="4863"/>
      </w:tblGrid>
      <w:tr w14:paraId="7A8C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14:paraId="0D61D672">
            <w:pPr>
              <w:jc w:val="center"/>
              <w:rPr>
                <w:rFonts w:ascii="宋体" w:hAnsi="宋体" w:cs="宋体"/>
                <w:b/>
                <w:bCs/>
                <w:color w:val="auto"/>
                <w:sz w:val="24"/>
                <w:highlight w:val="none"/>
              </w:rPr>
            </w:pPr>
            <w:r>
              <w:rPr>
                <w:rFonts w:hint="eastAsia" w:ascii="宋体" w:hAnsi="宋体" w:cs="宋体"/>
                <w:b/>
                <w:bCs/>
                <w:color w:val="auto"/>
                <w:sz w:val="24"/>
                <w:highlight w:val="none"/>
              </w:rPr>
              <w:t>菜品名称</w:t>
            </w:r>
          </w:p>
        </w:tc>
        <w:tc>
          <w:tcPr>
            <w:tcW w:w="2055" w:type="dxa"/>
            <w:gridSpan w:val="2"/>
            <w:tcBorders>
              <w:top w:val="single" w:color="auto" w:sz="4" w:space="0"/>
              <w:left w:val="single" w:color="auto" w:sz="4" w:space="0"/>
              <w:bottom w:val="single" w:color="auto" w:sz="4" w:space="0"/>
              <w:right w:val="single" w:color="auto" w:sz="4" w:space="0"/>
            </w:tcBorders>
            <w:vAlign w:val="center"/>
          </w:tcPr>
          <w:p w14:paraId="6AEC5B1E">
            <w:pPr>
              <w:jc w:val="center"/>
              <w:rPr>
                <w:rFonts w:ascii="宋体" w:hAnsi="宋体" w:cs="宋体"/>
                <w:b/>
                <w:bCs/>
                <w:color w:val="auto"/>
                <w:sz w:val="24"/>
                <w:highlight w:val="none"/>
              </w:rPr>
            </w:pPr>
            <w:r>
              <w:rPr>
                <w:rFonts w:hint="eastAsia" w:ascii="宋体" w:hAnsi="宋体" w:cs="宋体"/>
                <w:b/>
                <w:bCs/>
                <w:color w:val="auto"/>
                <w:sz w:val="24"/>
                <w:highlight w:val="none"/>
              </w:rPr>
              <w:t>份量</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14:paraId="75EB42A2">
            <w:pPr>
              <w:jc w:val="center"/>
              <w:rPr>
                <w:rFonts w:ascii="宋体" w:hAnsi="宋体" w:cs="宋体"/>
                <w:b/>
                <w:bCs/>
                <w:color w:val="auto"/>
                <w:sz w:val="24"/>
                <w:highlight w:val="none"/>
              </w:rPr>
            </w:pPr>
            <w:r>
              <w:rPr>
                <w:rFonts w:hint="eastAsia" w:ascii="宋体" w:hAnsi="宋体" w:cs="宋体"/>
                <w:b/>
                <w:bCs/>
                <w:color w:val="auto"/>
                <w:sz w:val="24"/>
                <w:highlight w:val="none"/>
              </w:rPr>
              <w:t>报价</w:t>
            </w:r>
          </w:p>
          <w:p w14:paraId="18EDAF81">
            <w:pPr>
              <w:jc w:val="center"/>
              <w:rPr>
                <w:rFonts w:ascii="宋体" w:hAnsi="宋体" w:cs="宋体"/>
                <w:b/>
                <w:bCs/>
                <w:color w:val="auto"/>
                <w:sz w:val="24"/>
                <w:highlight w:val="none"/>
              </w:rPr>
            </w:pPr>
            <w:r>
              <w:rPr>
                <w:rFonts w:hint="eastAsia" w:ascii="宋体" w:hAnsi="宋体" w:cs="宋体"/>
                <w:b/>
                <w:bCs/>
                <w:color w:val="auto"/>
                <w:sz w:val="24"/>
                <w:highlight w:val="none"/>
              </w:rPr>
              <w:t>（元）</w:t>
            </w:r>
          </w:p>
        </w:tc>
        <w:tc>
          <w:tcPr>
            <w:tcW w:w="4863" w:type="dxa"/>
            <w:vMerge w:val="restart"/>
            <w:tcBorders>
              <w:top w:val="single" w:color="auto" w:sz="4" w:space="0"/>
              <w:left w:val="single" w:color="auto" w:sz="4" w:space="0"/>
              <w:bottom w:val="single" w:color="auto" w:sz="4" w:space="0"/>
              <w:right w:val="single" w:color="auto" w:sz="4" w:space="0"/>
            </w:tcBorders>
            <w:vAlign w:val="center"/>
          </w:tcPr>
          <w:p w14:paraId="3529D3F9">
            <w:pPr>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CAF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14:paraId="60E978E6">
            <w:pPr>
              <w:jc w:val="center"/>
              <w:rPr>
                <w:rFonts w:ascii="宋体" w:hAnsi="宋体" w:cs="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14:paraId="598BBA3D">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899" w:type="dxa"/>
            <w:tcBorders>
              <w:top w:val="single" w:color="auto" w:sz="4" w:space="0"/>
              <w:left w:val="single" w:color="auto" w:sz="4" w:space="0"/>
              <w:bottom w:val="single" w:color="auto" w:sz="4" w:space="0"/>
              <w:right w:val="single" w:color="auto" w:sz="4" w:space="0"/>
            </w:tcBorders>
            <w:vAlign w:val="center"/>
          </w:tcPr>
          <w:p w14:paraId="26809A2E">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14:paraId="52A7BE5A">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14:paraId="6AFC1F16">
            <w:pPr>
              <w:jc w:val="center"/>
              <w:rPr>
                <w:rFonts w:ascii="宋体" w:hAnsi="宋体" w:cs="宋体"/>
                <w:color w:val="auto"/>
                <w:sz w:val="24"/>
                <w:highlight w:val="none"/>
              </w:rPr>
            </w:pPr>
          </w:p>
        </w:tc>
      </w:tr>
      <w:tr w14:paraId="7E12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1029E25A">
            <w:pPr>
              <w:jc w:val="center"/>
              <w:rPr>
                <w:rFonts w:ascii="宋体" w:hAnsi="宋体" w:cs="宋体"/>
                <w:color w:val="auto"/>
                <w:sz w:val="24"/>
                <w:highlight w:val="none"/>
              </w:rPr>
            </w:pPr>
            <w:r>
              <w:rPr>
                <w:rFonts w:hint="eastAsia" w:ascii="宋体" w:hAnsi="宋体" w:cs="宋体"/>
                <w:color w:val="auto"/>
                <w:sz w:val="24"/>
                <w:highlight w:val="none"/>
              </w:rPr>
              <w:t>白米饭</w:t>
            </w:r>
          </w:p>
        </w:tc>
        <w:tc>
          <w:tcPr>
            <w:tcW w:w="1156" w:type="dxa"/>
            <w:tcBorders>
              <w:top w:val="single" w:color="auto" w:sz="4" w:space="0"/>
              <w:left w:val="single" w:color="auto" w:sz="4" w:space="0"/>
              <w:bottom w:val="single" w:color="auto" w:sz="4" w:space="0"/>
              <w:right w:val="single" w:color="auto" w:sz="4" w:space="0"/>
            </w:tcBorders>
            <w:vAlign w:val="center"/>
          </w:tcPr>
          <w:p w14:paraId="53ECFAEB">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0C5B0402">
            <w:pPr>
              <w:jc w:val="center"/>
              <w:rPr>
                <w:rFonts w:ascii="宋体" w:hAnsi="宋体" w:cs="宋体"/>
                <w:color w:val="auto"/>
                <w:sz w:val="24"/>
                <w:highlight w:val="none"/>
              </w:rPr>
            </w:pPr>
            <w:r>
              <w:rPr>
                <w:rFonts w:hint="eastAsia" w:ascii="宋体" w:hAnsi="宋体" w:cs="宋体"/>
                <w:color w:val="auto"/>
                <w:sz w:val="24"/>
                <w:highlight w:val="none"/>
              </w:rPr>
              <w:t>50</w:t>
            </w:r>
          </w:p>
        </w:tc>
        <w:tc>
          <w:tcPr>
            <w:tcW w:w="1099" w:type="dxa"/>
            <w:tcBorders>
              <w:top w:val="single" w:color="auto" w:sz="4" w:space="0"/>
              <w:left w:val="single" w:color="auto" w:sz="4" w:space="0"/>
              <w:bottom w:val="single" w:color="auto" w:sz="4" w:space="0"/>
              <w:right w:val="single" w:color="auto" w:sz="4" w:space="0"/>
            </w:tcBorders>
            <w:vAlign w:val="center"/>
          </w:tcPr>
          <w:p w14:paraId="40AD63F8">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7193320F">
            <w:pPr>
              <w:jc w:val="center"/>
              <w:rPr>
                <w:rFonts w:ascii="宋体" w:hAnsi="宋体" w:cs="宋体"/>
                <w:color w:val="auto"/>
                <w:sz w:val="24"/>
                <w:highlight w:val="none"/>
              </w:rPr>
            </w:pPr>
            <w:r>
              <w:rPr>
                <w:rFonts w:hint="eastAsia" w:ascii="宋体" w:hAnsi="宋体" w:cs="宋体"/>
                <w:color w:val="auto"/>
                <w:sz w:val="24"/>
                <w:highlight w:val="none"/>
              </w:rPr>
              <w:t>中、晚餐必提供</w:t>
            </w:r>
          </w:p>
        </w:tc>
      </w:tr>
      <w:tr w14:paraId="4B6A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4BC19AC0">
            <w:pPr>
              <w:jc w:val="center"/>
              <w:rPr>
                <w:rFonts w:ascii="宋体" w:hAnsi="宋体" w:cs="宋体"/>
                <w:color w:val="auto"/>
                <w:sz w:val="24"/>
                <w:highlight w:val="none"/>
              </w:rPr>
            </w:pPr>
            <w:r>
              <w:rPr>
                <w:rFonts w:hint="eastAsia" w:ascii="宋体" w:hAnsi="宋体" w:cs="宋体"/>
                <w:color w:val="auto"/>
                <w:sz w:val="24"/>
                <w:highlight w:val="none"/>
              </w:rPr>
              <w:t>精面馒头</w:t>
            </w:r>
          </w:p>
        </w:tc>
        <w:tc>
          <w:tcPr>
            <w:tcW w:w="1156" w:type="dxa"/>
            <w:tcBorders>
              <w:top w:val="single" w:color="auto" w:sz="4" w:space="0"/>
              <w:left w:val="single" w:color="auto" w:sz="4" w:space="0"/>
              <w:bottom w:val="single" w:color="auto" w:sz="4" w:space="0"/>
              <w:right w:val="single" w:color="auto" w:sz="4" w:space="0"/>
            </w:tcBorders>
            <w:vAlign w:val="center"/>
          </w:tcPr>
          <w:p w14:paraId="044E1E9B">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67A9CD6F">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573E1ED2">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06F87F7F">
            <w:pPr>
              <w:jc w:val="center"/>
              <w:rPr>
                <w:rFonts w:ascii="宋体" w:hAnsi="宋体" w:cs="宋体"/>
                <w:color w:val="auto"/>
                <w:sz w:val="24"/>
                <w:highlight w:val="none"/>
              </w:rPr>
            </w:pPr>
            <w:r>
              <w:rPr>
                <w:rFonts w:hint="eastAsia" w:ascii="宋体" w:hAnsi="宋体" w:cs="宋体"/>
                <w:color w:val="auto"/>
                <w:sz w:val="24"/>
                <w:highlight w:val="none"/>
              </w:rPr>
              <w:t>早、中、晚三餐必提供</w:t>
            </w:r>
          </w:p>
        </w:tc>
      </w:tr>
      <w:tr w14:paraId="5B9F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5DB8B127">
            <w:pPr>
              <w:jc w:val="center"/>
              <w:rPr>
                <w:rFonts w:ascii="宋体" w:hAnsi="宋体" w:cs="宋体"/>
                <w:color w:val="auto"/>
                <w:sz w:val="24"/>
                <w:highlight w:val="none"/>
              </w:rPr>
            </w:pPr>
            <w:r>
              <w:rPr>
                <w:rFonts w:hint="eastAsia" w:ascii="宋体" w:hAnsi="宋体" w:cs="宋体"/>
                <w:color w:val="auto"/>
                <w:sz w:val="24"/>
                <w:highlight w:val="none"/>
              </w:rPr>
              <w:t>鲜肉包子</w:t>
            </w:r>
          </w:p>
        </w:tc>
        <w:tc>
          <w:tcPr>
            <w:tcW w:w="1156" w:type="dxa"/>
            <w:tcBorders>
              <w:top w:val="single" w:color="auto" w:sz="4" w:space="0"/>
              <w:left w:val="single" w:color="auto" w:sz="4" w:space="0"/>
              <w:bottom w:val="single" w:color="auto" w:sz="4" w:space="0"/>
              <w:right w:val="single" w:color="auto" w:sz="4" w:space="0"/>
            </w:tcBorders>
            <w:vAlign w:val="center"/>
          </w:tcPr>
          <w:p w14:paraId="1D42E9D7">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05AA2655">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7B045D0D">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4F5899EF">
            <w:pPr>
              <w:jc w:val="center"/>
              <w:rPr>
                <w:rFonts w:ascii="宋体" w:hAnsi="宋体" w:cs="宋体"/>
                <w:color w:val="auto"/>
                <w:sz w:val="24"/>
                <w:highlight w:val="none"/>
              </w:rPr>
            </w:pPr>
            <w:r>
              <w:rPr>
                <w:rFonts w:hint="eastAsia" w:ascii="宋体" w:hAnsi="宋体" w:cs="宋体"/>
                <w:color w:val="auto"/>
                <w:sz w:val="24"/>
                <w:highlight w:val="none"/>
              </w:rPr>
              <w:t>早、晚餐必提供</w:t>
            </w:r>
          </w:p>
        </w:tc>
      </w:tr>
      <w:tr w14:paraId="68CD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099F21D7">
            <w:pPr>
              <w:jc w:val="center"/>
              <w:rPr>
                <w:rFonts w:ascii="宋体" w:hAnsi="宋体" w:cs="宋体"/>
                <w:color w:val="auto"/>
                <w:sz w:val="24"/>
                <w:highlight w:val="none"/>
              </w:rPr>
            </w:pPr>
            <w:r>
              <w:rPr>
                <w:rFonts w:hint="eastAsia" w:ascii="宋体" w:hAnsi="宋体" w:cs="宋体"/>
                <w:color w:val="auto"/>
                <w:sz w:val="24"/>
                <w:highlight w:val="none"/>
              </w:rPr>
              <w:t>素馅包子</w:t>
            </w:r>
          </w:p>
        </w:tc>
        <w:tc>
          <w:tcPr>
            <w:tcW w:w="1156" w:type="dxa"/>
            <w:tcBorders>
              <w:top w:val="single" w:color="auto" w:sz="4" w:space="0"/>
              <w:left w:val="single" w:color="auto" w:sz="4" w:space="0"/>
              <w:bottom w:val="single" w:color="auto" w:sz="4" w:space="0"/>
              <w:right w:val="single" w:color="auto" w:sz="4" w:space="0"/>
            </w:tcBorders>
            <w:vAlign w:val="center"/>
          </w:tcPr>
          <w:p w14:paraId="346A5F22">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0A8CE9BA">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1099" w:type="dxa"/>
            <w:tcBorders>
              <w:top w:val="single" w:color="auto" w:sz="4" w:space="0"/>
              <w:left w:val="single" w:color="auto" w:sz="4" w:space="0"/>
              <w:bottom w:val="single" w:color="auto" w:sz="4" w:space="0"/>
              <w:right w:val="single" w:color="auto" w:sz="4" w:space="0"/>
            </w:tcBorders>
            <w:vAlign w:val="center"/>
          </w:tcPr>
          <w:p w14:paraId="4E3EC2C7">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5C930C7F">
            <w:pPr>
              <w:jc w:val="center"/>
              <w:rPr>
                <w:rFonts w:ascii="宋体" w:hAnsi="宋体" w:cs="宋体"/>
                <w:color w:val="auto"/>
                <w:sz w:val="24"/>
                <w:highlight w:val="none"/>
              </w:rPr>
            </w:pPr>
            <w:r>
              <w:rPr>
                <w:rFonts w:hint="eastAsia" w:ascii="宋体" w:hAnsi="宋体" w:cs="宋体"/>
                <w:color w:val="auto"/>
                <w:sz w:val="24"/>
                <w:highlight w:val="none"/>
              </w:rPr>
              <w:t>早、晚餐必提供</w:t>
            </w:r>
          </w:p>
        </w:tc>
      </w:tr>
      <w:tr w14:paraId="32BE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4CBC57AB">
            <w:pPr>
              <w:jc w:val="center"/>
              <w:rPr>
                <w:rFonts w:ascii="宋体" w:hAnsi="宋体" w:cs="宋体"/>
                <w:color w:val="auto"/>
                <w:sz w:val="24"/>
                <w:highlight w:val="none"/>
              </w:rPr>
            </w:pPr>
            <w:r>
              <w:rPr>
                <w:rFonts w:hint="eastAsia" w:ascii="宋体" w:hAnsi="宋体" w:cs="宋体"/>
                <w:color w:val="auto"/>
                <w:sz w:val="24"/>
                <w:highlight w:val="none"/>
              </w:rPr>
              <w:t>茶叶蛋</w:t>
            </w:r>
          </w:p>
        </w:tc>
        <w:tc>
          <w:tcPr>
            <w:tcW w:w="1156" w:type="dxa"/>
            <w:tcBorders>
              <w:top w:val="single" w:color="auto" w:sz="4" w:space="0"/>
              <w:left w:val="single" w:color="auto" w:sz="4" w:space="0"/>
              <w:bottom w:val="single" w:color="auto" w:sz="4" w:space="0"/>
              <w:right w:val="single" w:color="auto" w:sz="4" w:space="0"/>
            </w:tcBorders>
            <w:vAlign w:val="center"/>
          </w:tcPr>
          <w:p w14:paraId="313C4028">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899" w:type="dxa"/>
            <w:tcBorders>
              <w:top w:val="single" w:color="auto" w:sz="4" w:space="0"/>
              <w:left w:val="single" w:color="auto" w:sz="4" w:space="0"/>
              <w:bottom w:val="single" w:color="auto" w:sz="4" w:space="0"/>
              <w:right w:val="single" w:color="auto" w:sz="4" w:space="0"/>
            </w:tcBorders>
            <w:vAlign w:val="center"/>
          </w:tcPr>
          <w:p w14:paraId="5B9E1315">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14:paraId="69617C32">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46DD5925">
            <w:pPr>
              <w:jc w:val="center"/>
              <w:rPr>
                <w:rFonts w:ascii="宋体" w:hAnsi="宋体" w:cs="宋体"/>
                <w:color w:val="auto"/>
                <w:sz w:val="24"/>
                <w:highlight w:val="none"/>
              </w:rPr>
            </w:pPr>
            <w:r>
              <w:rPr>
                <w:rFonts w:hint="eastAsia" w:ascii="宋体" w:hAnsi="宋体" w:cs="宋体"/>
                <w:color w:val="auto"/>
                <w:sz w:val="24"/>
                <w:highlight w:val="none"/>
              </w:rPr>
              <w:t>早餐必提供</w:t>
            </w:r>
          </w:p>
        </w:tc>
      </w:tr>
      <w:tr w14:paraId="16D9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3D868500">
            <w:pPr>
              <w:jc w:val="center"/>
              <w:rPr>
                <w:rFonts w:ascii="宋体" w:hAnsi="宋体" w:cs="宋体"/>
                <w:color w:val="auto"/>
                <w:sz w:val="24"/>
                <w:highlight w:val="none"/>
              </w:rPr>
            </w:pPr>
            <w:r>
              <w:rPr>
                <w:rFonts w:hint="eastAsia" w:ascii="宋体" w:hAnsi="宋体" w:cs="宋体"/>
                <w:color w:val="auto"/>
                <w:sz w:val="24"/>
                <w:highlight w:val="none"/>
              </w:rPr>
              <w:t>白米粥</w:t>
            </w:r>
          </w:p>
        </w:tc>
        <w:tc>
          <w:tcPr>
            <w:tcW w:w="1156" w:type="dxa"/>
            <w:tcBorders>
              <w:top w:val="single" w:color="auto" w:sz="4" w:space="0"/>
              <w:left w:val="single" w:color="auto" w:sz="4" w:space="0"/>
              <w:bottom w:val="single" w:color="auto" w:sz="4" w:space="0"/>
              <w:right w:val="single" w:color="auto" w:sz="4" w:space="0"/>
            </w:tcBorders>
            <w:vAlign w:val="center"/>
          </w:tcPr>
          <w:p w14:paraId="7D8CB018">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14:paraId="492A196C">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14:paraId="6725133F">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26E04961">
            <w:pPr>
              <w:jc w:val="center"/>
              <w:rPr>
                <w:rFonts w:ascii="宋体" w:hAnsi="宋体" w:cs="宋体"/>
                <w:color w:val="auto"/>
                <w:sz w:val="24"/>
                <w:highlight w:val="none"/>
              </w:rPr>
            </w:pPr>
            <w:r>
              <w:rPr>
                <w:rFonts w:hint="eastAsia" w:ascii="宋体" w:hAnsi="宋体" w:cs="宋体"/>
                <w:color w:val="auto"/>
                <w:sz w:val="24"/>
                <w:highlight w:val="none"/>
              </w:rPr>
              <w:t>碗口直径15cm,早、晚餐必提供</w:t>
            </w:r>
          </w:p>
        </w:tc>
      </w:tr>
      <w:tr w14:paraId="6A97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59C4A110">
            <w:pPr>
              <w:jc w:val="center"/>
              <w:rPr>
                <w:rFonts w:ascii="宋体" w:hAnsi="宋体" w:cs="宋体"/>
                <w:color w:val="auto"/>
                <w:sz w:val="24"/>
                <w:highlight w:val="none"/>
              </w:rPr>
            </w:pPr>
            <w:r>
              <w:rPr>
                <w:rFonts w:hint="eastAsia" w:ascii="宋体" w:hAnsi="宋体" w:cs="宋体"/>
                <w:color w:val="auto"/>
                <w:sz w:val="24"/>
                <w:highlight w:val="none"/>
              </w:rPr>
              <w:t>杂粮粥</w:t>
            </w:r>
          </w:p>
        </w:tc>
        <w:tc>
          <w:tcPr>
            <w:tcW w:w="1156" w:type="dxa"/>
            <w:tcBorders>
              <w:top w:val="single" w:color="auto" w:sz="4" w:space="0"/>
              <w:left w:val="single" w:color="auto" w:sz="4" w:space="0"/>
              <w:bottom w:val="single" w:color="auto" w:sz="4" w:space="0"/>
              <w:right w:val="single" w:color="auto" w:sz="4" w:space="0"/>
            </w:tcBorders>
            <w:vAlign w:val="center"/>
          </w:tcPr>
          <w:p w14:paraId="5A028BD4">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14:paraId="01C63724">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14:paraId="1F998357">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0A9FAEDA">
            <w:pPr>
              <w:jc w:val="center"/>
              <w:rPr>
                <w:rFonts w:ascii="宋体" w:hAnsi="宋体" w:cs="宋体"/>
                <w:color w:val="auto"/>
                <w:sz w:val="24"/>
                <w:highlight w:val="none"/>
              </w:rPr>
            </w:pPr>
            <w:r>
              <w:rPr>
                <w:rFonts w:hint="eastAsia" w:ascii="宋体" w:hAnsi="宋体" w:cs="宋体"/>
                <w:color w:val="auto"/>
                <w:sz w:val="24"/>
                <w:highlight w:val="none"/>
              </w:rPr>
              <w:t>碗口直径15cm,早、晚餐必提供</w:t>
            </w:r>
          </w:p>
        </w:tc>
      </w:tr>
      <w:tr w14:paraId="30F4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10D9150A">
            <w:pPr>
              <w:jc w:val="center"/>
              <w:rPr>
                <w:rFonts w:ascii="宋体" w:hAnsi="宋体" w:cs="宋体"/>
                <w:color w:val="auto"/>
                <w:sz w:val="24"/>
                <w:highlight w:val="none"/>
              </w:rPr>
            </w:pPr>
            <w:r>
              <w:rPr>
                <w:rFonts w:hint="eastAsia" w:ascii="宋体" w:hAnsi="宋体" w:cs="宋体"/>
                <w:color w:val="auto"/>
                <w:sz w:val="24"/>
                <w:highlight w:val="none"/>
              </w:rPr>
              <w:t>豆浆</w:t>
            </w:r>
          </w:p>
        </w:tc>
        <w:tc>
          <w:tcPr>
            <w:tcW w:w="1156" w:type="dxa"/>
            <w:tcBorders>
              <w:top w:val="single" w:color="auto" w:sz="4" w:space="0"/>
              <w:left w:val="single" w:color="auto" w:sz="4" w:space="0"/>
              <w:bottom w:val="single" w:color="auto" w:sz="4" w:space="0"/>
              <w:right w:val="single" w:color="auto" w:sz="4" w:space="0"/>
            </w:tcBorders>
            <w:vAlign w:val="center"/>
          </w:tcPr>
          <w:p w14:paraId="673ACF03">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14:paraId="5A02F6F3">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14:paraId="1AF52B42">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6CB4B2B8">
            <w:pPr>
              <w:jc w:val="center"/>
              <w:rPr>
                <w:rFonts w:ascii="宋体" w:hAnsi="宋体" w:cs="宋体"/>
                <w:color w:val="auto"/>
                <w:sz w:val="24"/>
                <w:highlight w:val="none"/>
              </w:rPr>
            </w:pPr>
            <w:r>
              <w:rPr>
                <w:rFonts w:hint="eastAsia" w:ascii="宋体" w:hAnsi="宋体" w:cs="宋体"/>
                <w:color w:val="auto"/>
                <w:sz w:val="24"/>
                <w:highlight w:val="none"/>
              </w:rPr>
              <w:t>碗口直径15cm, 早餐必提供</w:t>
            </w:r>
          </w:p>
        </w:tc>
      </w:tr>
      <w:tr w14:paraId="1170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14:paraId="78909EEC">
            <w:pPr>
              <w:jc w:val="center"/>
              <w:rPr>
                <w:rFonts w:ascii="宋体" w:hAnsi="宋体" w:cs="宋体"/>
                <w:color w:val="auto"/>
                <w:sz w:val="24"/>
                <w:highlight w:val="none"/>
              </w:rPr>
            </w:pPr>
            <w:r>
              <w:rPr>
                <w:rFonts w:hint="eastAsia" w:ascii="宋体" w:hAnsi="宋体" w:cs="宋体"/>
                <w:color w:val="auto"/>
                <w:sz w:val="24"/>
                <w:highlight w:val="none"/>
              </w:rPr>
              <w:t>素菜面条</w:t>
            </w:r>
          </w:p>
          <w:p w14:paraId="41C479A2">
            <w:pPr>
              <w:jc w:val="center"/>
              <w:rPr>
                <w:rFonts w:ascii="宋体" w:hAnsi="宋体" w:cs="宋体"/>
                <w:color w:val="auto"/>
                <w:sz w:val="24"/>
                <w:highlight w:val="none"/>
              </w:rPr>
            </w:pPr>
            <w:r>
              <w:rPr>
                <w:rFonts w:hint="eastAsia" w:ascii="宋体" w:hAnsi="宋体" w:cs="宋体"/>
                <w:color w:val="auto"/>
                <w:sz w:val="24"/>
                <w:highlight w:val="none"/>
              </w:rPr>
              <w:t>（挂面）</w:t>
            </w:r>
          </w:p>
        </w:tc>
        <w:tc>
          <w:tcPr>
            <w:tcW w:w="1156" w:type="dxa"/>
            <w:tcBorders>
              <w:top w:val="single" w:color="auto" w:sz="4" w:space="0"/>
              <w:left w:val="single" w:color="auto" w:sz="4" w:space="0"/>
              <w:bottom w:val="single" w:color="auto" w:sz="4" w:space="0"/>
              <w:right w:val="single" w:color="auto" w:sz="4" w:space="0"/>
            </w:tcBorders>
            <w:vAlign w:val="center"/>
          </w:tcPr>
          <w:p w14:paraId="208733C7">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14:paraId="50800E6D">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14:paraId="111AB600">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6A53EA48">
            <w:pPr>
              <w:jc w:val="center"/>
              <w:rPr>
                <w:rFonts w:ascii="宋体" w:hAnsi="宋体" w:cs="宋体"/>
                <w:color w:val="auto"/>
                <w:sz w:val="24"/>
                <w:highlight w:val="none"/>
              </w:rPr>
            </w:pPr>
            <w:r>
              <w:rPr>
                <w:rFonts w:hint="eastAsia" w:ascii="宋体" w:hAnsi="宋体" w:cs="宋体"/>
                <w:color w:val="auto"/>
                <w:sz w:val="24"/>
                <w:highlight w:val="none"/>
              </w:rPr>
              <w:t>碗口直径17cm, 晚餐必提供</w:t>
            </w:r>
          </w:p>
        </w:tc>
      </w:tr>
      <w:tr w14:paraId="42E8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69BE76F7">
            <w:pPr>
              <w:jc w:val="center"/>
              <w:rPr>
                <w:rFonts w:ascii="宋体" w:hAnsi="宋体" w:cs="宋体"/>
                <w:color w:val="auto"/>
                <w:sz w:val="24"/>
                <w:highlight w:val="none"/>
              </w:rPr>
            </w:pPr>
            <w:r>
              <w:rPr>
                <w:rFonts w:hint="eastAsia" w:ascii="宋体" w:hAnsi="宋体" w:cs="宋体"/>
                <w:color w:val="auto"/>
                <w:sz w:val="24"/>
                <w:highlight w:val="none"/>
              </w:rPr>
              <w:t>肉丝汤面条</w:t>
            </w:r>
          </w:p>
          <w:p w14:paraId="540253D7">
            <w:pPr>
              <w:jc w:val="center"/>
              <w:rPr>
                <w:rFonts w:ascii="宋体" w:hAnsi="宋体" w:cs="宋体"/>
                <w:color w:val="auto"/>
                <w:sz w:val="24"/>
                <w:highlight w:val="none"/>
              </w:rPr>
            </w:pPr>
            <w:r>
              <w:rPr>
                <w:rFonts w:hint="eastAsia" w:ascii="宋体" w:hAnsi="宋体" w:cs="宋体"/>
                <w:color w:val="auto"/>
                <w:sz w:val="24"/>
                <w:highlight w:val="none"/>
              </w:rPr>
              <w:t>（挂面）</w:t>
            </w:r>
          </w:p>
        </w:tc>
        <w:tc>
          <w:tcPr>
            <w:tcW w:w="1156" w:type="dxa"/>
            <w:tcBorders>
              <w:top w:val="single" w:color="auto" w:sz="4" w:space="0"/>
              <w:left w:val="single" w:color="auto" w:sz="4" w:space="0"/>
              <w:bottom w:val="single" w:color="auto" w:sz="4" w:space="0"/>
              <w:right w:val="single" w:color="auto" w:sz="4" w:space="0"/>
            </w:tcBorders>
            <w:vAlign w:val="center"/>
          </w:tcPr>
          <w:p w14:paraId="741F0C3E">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14:paraId="6DCD42CF">
            <w:pPr>
              <w:jc w:val="center"/>
              <w:rPr>
                <w:rFonts w:ascii="宋体" w:hAnsi="宋体" w:cs="宋体"/>
                <w:color w:val="auto"/>
                <w:sz w:val="24"/>
                <w:highlight w:val="none"/>
              </w:rPr>
            </w:pPr>
            <w:r>
              <w:rPr>
                <w:rFonts w:hint="eastAsia" w:ascii="宋体" w:hAnsi="宋体" w:cs="宋体"/>
                <w:color w:val="auto"/>
                <w:sz w:val="24"/>
                <w:highlight w:val="none"/>
              </w:rPr>
              <w:t>１</w:t>
            </w:r>
          </w:p>
        </w:tc>
        <w:tc>
          <w:tcPr>
            <w:tcW w:w="1099" w:type="dxa"/>
            <w:tcBorders>
              <w:top w:val="single" w:color="auto" w:sz="4" w:space="0"/>
              <w:left w:val="single" w:color="auto" w:sz="4" w:space="0"/>
              <w:bottom w:val="single" w:color="auto" w:sz="4" w:space="0"/>
              <w:right w:val="single" w:color="auto" w:sz="4" w:space="0"/>
            </w:tcBorders>
            <w:vAlign w:val="center"/>
          </w:tcPr>
          <w:p w14:paraId="6287EBD1">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6CC91EB0">
            <w:pPr>
              <w:jc w:val="center"/>
              <w:rPr>
                <w:rFonts w:ascii="宋体" w:hAnsi="宋体" w:cs="宋体"/>
                <w:color w:val="auto"/>
                <w:sz w:val="24"/>
                <w:highlight w:val="none"/>
              </w:rPr>
            </w:pPr>
            <w:r>
              <w:rPr>
                <w:rFonts w:hint="eastAsia" w:ascii="宋体" w:hAnsi="宋体" w:cs="宋体"/>
                <w:color w:val="auto"/>
                <w:sz w:val="24"/>
                <w:highlight w:val="none"/>
              </w:rPr>
              <w:t>碗口直径17cm, 晚餐必提供</w:t>
            </w:r>
          </w:p>
        </w:tc>
      </w:tr>
      <w:tr w14:paraId="62C4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27CA4DAB">
            <w:pPr>
              <w:jc w:val="center"/>
              <w:rPr>
                <w:rFonts w:ascii="宋体" w:hAnsi="宋体" w:cs="宋体"/>
                <w:color w:val="auto"/>
                <w:sz w:val="24"/>
                <w:highlight w:val="none"/>
              </w:rPr>
            </w:pPr>
            <w:r>
              <w:rPr>
                <w:rFonts w:hint="eastAsia" w:ascii="宋体" w:hAnsi="宋体" w:cs="宋体"/>
                <w:color w:val="auto"/>
                <w:sz w:val="24"/>
                <w:highlight w:val="none"/>
              </w:rPr>
              <w:t>现冲鸡蛋高汤</w:t>
            </w:r>
          </w:p>
        </w:tc>
        <w:tc>
          <w:tcPr>
            <w:tcW w:w="1156" w:type="dxa"/>
            <w:tcBorders>
              <w:top w:val="single" w:color="auto" w:sz="4" w:space="0"/>
              <w:left w:val="single" w:color="auto" w:sz="4" w:space="0"/>
              <w:bottom w:val="single" w:color="auto" w:sz="4" w:space="0"/>
              <w:right w:val="single" w:color="auto" w:sz="4" w:space="0"/>
            </w:tcBorders>
            <w:vAlign w:val="center"/>
          </w:tcPr>
          <w:p w14:paraId="08E843F7">
            <w:pPr>
              <w:jc w:val="center"/>
              <w:rPr>
                <w:rFonts w:ascii="宋体" w:hAnsi="宋体" w:cs="宋体"/>
                <w:color w:val="auto"/>
                <w:sz w:val="24"/>
                <w:highlight w:val="none"/>
              </w:rPr>
            </w:pPr>
            <w:r>
              <w:rPr>
                <w:rFonts w:hint="eastAsia" w:ascii="宋体" w:hAnsi="宋体" w:cs="宋体"/>
                <w:color w:val="auto"/>
                <w:sz w:val="24"/>
                <w:highlight w:val="none"/>
              </w:rPr>
              <w:t>碗</w:t>
            </w:r>
          </w:p>
        </w:tc>
        <w:tc>
          <w:tcPr>
            <w:tcW w:w="899" w:type="dxa"/>
            <w:tcBorders>
              <w:top w:val="single" w:color="auto" w:sz="4" w:space="0"/>
              <w:left w:val="single" w:color="auto" w:sz="4" w:space="0"/>
              <w:bottom w:val="single" w:color="auto" w:sz="4" w:space="0"/>
              <w:right w:val="single" w:color="auto" w:sz="4" w:space="0"/>
            </w:tcBorders>
            <w:vAlign w:val="center"/>
          </w:tcPr>
          <w:p w14:paraId="32051C15">
            <w:pPr>
              <w:jc w:val="center"/>
              <w:rPr>
                <w:rFonts w:ascii="宋体" w:hAnsi="宋体" w:cs="宋体"/>
                <w:color w:val="auto"/>
                <w:sz w:val="24"/>
                <w:highlight w:val="none"/>
              </w:rPr>
            </w:pPr>
            <w:r>
              <w:rPr>
                <w:rFonts w:hint="eastAsia" w:ascii="宋体" w:hAnsi="宋体" w:cs="宋体"/>
                <w:color w:val="auto"/>
                <w:sz w:val="24"/>
                <w:highlight w:val="none"/>
              </w:rPr>
              <w:t>１</w:t>
            </w:r>
          </w:p>
        </w:tc>
        <w:tc>
          <w:tcPr>
            <w:tcW w:w="1099" w:type="dxa"/>
            <w:tcBorders>
              <w:top w:val="single" w:color="auto" w:sz="4" w:space="0"/>
              <w:left w:val="single" w:color="auto" w:sz="4" w:space="0"/>
              <w:bottom w:val="single" w:color="auto" w:sz="4" w:space="0"/>
              <w:right w:val="single" w:color="auto" w:sz="4" w:space="0"/>
            </w:tcBorders>
            <w:vAlign w:val="center"/>
          </w:tcPr>
          <w:p w14:paraId="23F9770F">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15C17E4F">
            <w:pPr>
              <w:jc w:val="center"/>
              <w:rPr>
                <w:rFonts w:ascii="宋体" w:hAnsi="宋体" w:cs="宋体"/>
                <w:color w:val="auto"/>
                <w:sz w:val="24"/>
                <w:highlight w:val="none"/>
              </w:rPr>
            </w:pPr>
            <w:r>
              <w:rPr>
                <w:rFonts w:hint="eastAsia" w:ascii="宋体" w:hAnsi="宋体" w:cs="宋体"/>
                <w:color w:val="auto"/>
                <w:sz w:val="24"/>
                <w:highlight w:val="none"/>
              </w:rPr>
              <w:t>汤质必须为大骨汤或鸡汤类高汤，碗口直径15cm, 早餐必提供</w:t>
            </w:r>
          </w:p>
        </w:tc>
      </w:tr>
      <w:tr w14:paraId="66A7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55" w:type="dxa"/>
            <w:tcBorders>
              <w:top w:val="single" w:color="auto" w:sz="4" w:space="0"/>
              <w:left w:val="single" w:color="auto" w:sz="4" w:space="0"/>
              <w:bottom w:val="single" w:color="auto" w:sz="4" w:space="0"/>
              <w:right w:val="single" w:color="auto" w:sz="4" w:space="0"/>
            </w:tcBorders>
            <w:vAlign w:val="center"/>
          </w:tcPr>
          <w:p w14:paraId="61DF7D39">
            <w:pPr>
              <w:jc w:val="center"/>
              <w:rPr>
                <w:rFonts w:ascii="宋体" w:hAnsi="宋体" w:cs="宋体"/>
                <w:b/>
                <w:bCs/>
                <w:color w:val="auto"/>
                <w:sz w:val="24"/>
                <w:highlight w:val="none"/>
              </w:rPr>
            </w:pPr>
            <w:r>
              <w:rPr>
                <w:rFonts w:hint="eastAsia" w:ascii="宋体" w:hAnsi="宋体" w:cs="宋体"/>
                <w:b/>
                <w:bCs/>
                <w:color w:val="auto"/>
                <w:sz w:val="24"/>
                <w:highlight w:val="none"/>
              </w:rPr>
              <w:t>低价素菜</w:t>
            </w:r>
          </w:p>
        </w:tc>
        <w:tc>
          <w:tcPr>
            <w:tcW w:w="1156" w:type="dxa"/>
            <w:tcBorders>
              <w:top w:val="single" w:color="auto" w:sz="4" w:space="0"/>
              <w:left w:val="single" w:color="auto" w:sz="4" w:space="0"/>
              <w:bottom w:val="single" w:color="auto" w:sz="4" w:space="0"/>
              <w:right w:val="single" w:color="auto" w:sz="4" w:space="0"/>
            </w:tcBorders>
            <w:vAlign w:val="center"/>
          </w:tcPr>
          <w:p w14:paraId="6B4A5BC6">
            <w:pPr>
              <w:jc w:val="center"/>
              <w:rPr>
                <w:rFonts w:ascii="宋体" w:hAnsi="宋体" w:cs="宋体"/>
                <w:b/>
                <w:bCs/>
                <w:color w:val="auto"/>
                <w:sz w:val="24"/>
                <w:highlight w:val="none"/>
              </w:rPr>
            </w:pPr>
            <w:r>
              <w:rPr>
                <w:rFonts w:hint="eastAsia" w:ascii="宋体" w:hAnsi="宋体" w:cs="宋体"/>
                <w:b/>
                <w:bCs/>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51DE9E07">
            <w:pPr>
              <w:jc w:val="center"/>
              <w:rPr>
                <w:rFonts w:ascii="宋体" w:hAnsi="宋体" w:cs="宋体"/>
                <w:b/>
                <w:bCs/>
                <w:color w:val="auto"/>
                <w:sz w:val="24"/>
                <w:highlight w:val="none"/>
              </w:rPr>
            </w:pPr>
            <w:r>
              <w:rPr>
                <w:rFonts w:hint="eastAsia" w:ascii="宋体" w:hAnsi="宋体" w:cs="宋体"/>
                <w:b/>
                <w:bCs/>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14:paraId="1E5E8083">
            <w:pPr>
              <w:jc w:val="center"/>
              <w:rPr>
                <w:rFonts w:ascii="宋体" w:hAnsi="宋体" w:cs="宋体"/>
                <w:b/>
                <w:bCs/>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270A42F3">
            <w:pPr>
              <w:jc w:val="center"/>
              <w:rPr>
                <w:rFonts w:ascii="宋体" w:hAnsi="宋体" w:cs="宋体"/>
                <w:b/>
                <w:bCs/>
                <w:color w:val="auto"/>
                <w:sz w:val="24"/>
                <w:highlight w:val="none"/>
              </w:rPr>
            </w:pPr>
            <w:r>
              <w:rPr>
                <w:rFonts w:hint="eastAsia" w:ascii="宋体" w:hAnsi="宋体" w:cs="宋体"/>
                <w:b/>
                <w:bCs/>
                <w:color w:val="auto"/>
                <w:sz w:val="24"/>
                <w:highlight w:val="none"/>
              </w:rPr>
              <w:t>如土豆丝类，中、晚餐必提供，每餐不少于2个</w:t>
            </w:r>
          </w:p>
        </w:tc>
      </w:tr>
      <w:tr w14:paraId="6794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3B6816F3">
            <w:pPr>
              <w:jc w:val="center"/>
              <w:rPr>
                <w:rFonts w:ascii="宋体" w:hAnsi="宋体" w:cs="宋体"/>
                <w:color w:val="auto"/>
                <w:sz w:val="24"/>
                <w:highlight w:val="none"/>
              </w:rPr>
            </w:pPr>
            <w:r>
              <w:rPr>
                <w:rFonts w:hint="eastAsia" w:ascii="宋体" w:hAnsi="宋体" w:cs="宋体"/>
                <w:color w:val="auto"/>
                <w:sz w:val="24"/>
                <w:highlight w:val="none"/>
              </w:rPr>
              <w:t>时令叶类素菜</w:t>
            </w:r>
          </w:p>
        </w:tc>
        <w:tc>
          <w:tcPr>
            <w:tcW w:w="1156" w:type="dxa"/>
            <w:tcBorders>
              <w:top w:val="single" w:color="auto" w:sz="4" w:space="0"/>
              <w:left w:val="single" w:color="auto" w:sz="4" w:space="0"/>
              <w:bottom w:val="single" w:color="auto" w:sz="4" w:space="0"/>
              <w:right w:val="single" w:color="auto" w:sz="4" w:space="0"/>
            </w:tcBorders>
            <w:vAlign w:val="center"/>
          </w:tcPr>
          <w:p w14:paraId="38519D4E">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5501BB3A">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14:paraId="69F04C63">
            <w:pPr>
              <w:jc w:val="center"/>
              <w:rPr>
                <w:rFonts w:ascii="宋体" w:hAnsi="宋体" w:cs="宋体"/>
                <w:color w:val="auto"/>
                <w:sz w:val="24"/>
                <w:highlight w:val="none"/>
              </w:rPr>
            </w:pPr>
          </w:p>
        </w:tc>
        <w:tc>
          <w:tcPr>
            <w:tcW w:w="4863" w:type="dxa"/>
            <w:vMerge w:val="restart"/>
            <w:tcBorders>
              <w:top w:val="single" w:color="auto" w:sz="4" w:space="0"/>
              <w:left w:val="single" w:color="auto" w:sz="4" w:space="0"/>
              <w:bottom w:val="single" w:color="auto" w:sz="4" w:space="0"/>
              <w:right w:val="single" w:color="auto" w:sz="4" w:space="0"/>
            </w:tcBorders>
            <w:vAlign w:val="center"/>
          </w:tcPr>
          <w:p w14:paraId="053D77F1">
            <w:pPr>
              <w:jc w:val="center"/>
              <w:rPr>
                <w:rFonts w:ascii="宋体" w:hAnsi="宋体" w:cs="宋体"/>
                <w:color w:val="auto"/>
                <w:sz w:val="24"/>
                <w:highlight w:val="none"/>
              </w:rPr>
            </w:pPr>
            <w:r>
              <w:rPr>
                <w:rFonts w:hint="eastAsia" w:ascii="宋体" w:hAnsi="宋体" w:cs="宋体"/>
                <w:color w:val="auto"/>
                <w:sz w:val="24"/>
                <w:highlight w:val="none"/>
              </w:rPr>
              <w:t>中、晚餐必提供，所有菜品每餐不少于15个。其中，“荤素混炒”中的荤菜以猪肉丝、肉片报价，荤素比为4:6</w:t>
            </w:r>
          </w:p>
        </w:tc>
      </w:tr>
      <w:tr w14:paraId="3ACE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53D4E696">
            <w:pPr>
              <w:jc w:val="center"/>
              <w:rPr>
                <w:rFonts w:ascii="宋体" w:hAnsi="宋体" w:cs="宋体"/>
                <w:color w:val="auto"/>
                <w:sz w:val="24"/>
                <w:highlight w:val="none"/>
              </w:rPr>
            </w:pPr>
            <w:r>
              <w:rPr>
                <w:rFonts w:hint="eastAsia" w:ascii="宋体" w:hAnsi="宋体" w:cs="宋体"/>
                <w:color w:val="auto"/>
                <w:sz w:val="24"/>
                <w:highlight w:val="none"/>
              </w:rPr>
              <w:t>时令瓜果类素菜</w:t>
            </w:r>
          </w:p>
        </w:tc>
        <w:tc>
          <w:tcPr>
            <w:tcW w:w="1156" w:type="dxa"/>
            <w:tcBorders>
              <w:top w:val="single" w:color="auto" w:sz="4" w:space="0"/>
              <w:left w:val="single" w:color="auto" w:sz="4" w:space="0"/>
              <w:bottom w:val="single" w:color="auto" w:sz="4" w:space="0"/>
              <w:right w:val="single" w:color="auto" w:sz="4" w:space="0"/>
            </w:tcBorders>
            <w:vAlign w:val="center"/>
          </w:tcPr>
          <w:p w14:paraId="71597FF7">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6A902B44">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14:paraId="48A38EE9">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14:paraId="72AE66A6">
            <w:pPr>
              <w:jc w:val="center"/>
              <w:rPr>
                <w:rFonts w:ascii="宋体" w:hAnsi="宋体" w:cs="宋体"/>
                <w:color w:val="auto"/>
                <w:sz w:val="24"/>
                <w:highlight w:val="none"/>
              </w:rPr>
            </w:pPr>
          </w:p>
        </w:tc>
      </w:tr>
      <w:tr w14:paraId="017E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14:paraId="5F349765">
            <w:pPr>
              <w:jc w:val="center"/>
              <w:rPr>
                <w:rFonts w:ascii="宋体" w:hAnsi="宋体" w:cs="宋体"/>
                <w:color w:val="auto"/>
                <w:sz w:val="24"/>
                <w:highlight w:val="none"/>
              </w:rPr>
            </w:pPr>
            <w:r>
              <w:rPr>
                <w:rFonts w:hint="eastAsia" w:ascii="宋体" w:hAnsi="宋体" w:cs="宋体"/>
                <w:color w:val="auto"/>
                <w:sz w:val="24"/>
                <w:highlight w:val="none"/>
              </w:rPr>
              <w:t>荤素混炒</w:t>
            </w:r>
          </w:p>
        </w:tc>
        <w:tc>
          <w:tcPr>
            <w:tcW w:w="1156" w:type="dxa"/>
            <w:tcBorders>
              <w:top w:val="single" w:color="auto" w:sz="4" w:space="0"/>
              <w:left w:val="single" w:color="auto" w:sz="4" w:space="0"/>
              <w:bottom w:val="single" w:color="auto" w:sz="4" w:space="0"/>
              <w:right w:val="single" w:color="auto" w:sz="4" w:space="0"/>
            </w:tcBorders>
            <w:vAlign w:val="center"/>
          </w:tcPr>
          <w:p w14:paraId="4C1738F2">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4E3C9BC1">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14:paraId="2F2BAA5D">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14:paraId="54E5266D">
            <w:pPr>
              <w:jc w:val="center"/>
              <w:rPr>
                <w:rFonts w:ascii="宋体" w:hAnsi="宋体" w:cs="宋体"/>
                <w:color w:val="auto"/>
                <w:sz w:val="24"/>
                <w:highlight w:val="none"/>
              </w:rPr>
            </w:pPr>
          </w:p>
        </w:tc>
      </w:tr>
      <w:tr w14:paraId="1512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2F000B0B">
            <w:pPr>
              <w:jc w:val="center"/>
              <w:rPr>
                <w:rFonts w:ascii="宋体" w:hAnsi="宋体" w:cs="宋体"/>
                <w:color w:val="auto"/>
                <w:sz w:val="24"/>
                <w:highlight w:val="none"/>
              </w:rPr>
            </w:pPr>
            <w:r>
              <w:rPr>
                <w:rFonts w:hint="eastAsia" w:ascii="宋体" w:hAnsi="宋体" w:cs="宋体"/>
                <w:color w:val="auto"/>
                <w:sz w:val="24"/>
                <w:highlight w:val="none"/>
              </w:rPr>
              <w:t>荤素混烧</w:t>
            </w:r>
          </w:p>
        </w:tc>
        <w:tc>
          <w:tcPr>
            <w:tcW w:w="1156" w:type="dxa"/>
            <w:tcBorders>
              <w:top w:val="single" w:color="auto" w:sz="4" w:space="0"/>
              <w:left w:val="single" w:color="auto" w:sz="4" w:space="0"/>
              <w:bottom w:val="single" w:color="auto" w:sz="4" w:space="0"/>
              <w:right w:val="single" w:color="auto" w:sz="4" w:space="0"/>
            </w:tcBorders>
            <w:vAlign w:val="center"/>
          </w:tcPr>
          <w:p w14:paraId="449B42D2">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1B32BB67">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1099" w:type="dxa"/>
            <w:tcBorders>
              <w:top w:val="single" w:color="auto" w:sz="4" w:space="0"/>
              <w:left w:val="single" w:color="auto" w:sz="4" w:space="0"/>
              <w:bottom w:val="single" w:color="auto" w:sz="4" w:space="0"/>
              <w:right w:val="single" w:color="auto" w:sz="4" w:space="0"/>
            </w:tcBorders>
            <w:vAlign w:val="center"/>
          </w:tcPr>
          <w:p w14:paraId="5DF20866">
            <w:pPr>
              <w:jc w:val="center"/>
              <w:rPr>
                <w:rFonts w:ascii="宋体" w:hAnsi="宋体" w:cs="宋体"/>
                <w:color w:val="auto"/>
                <w:sz w:val="24"/>
                <w:highlight w:val="none"/>
              </w:rPr>
            </w:pPr>
          </w:p>
        </w:tc>
        <w:tc>
          <w:tcPr>
            <w:tcW w:w="4863" w:type="dxa"/>
            <w:vMerge w:val="restart"/>
            <w:tcBorders>
              <w:top w:val="single" w:color="auto" w:sz="4" w:space="0"/>
              <w:left w:val="single" w:color="auto" w:sz="4" w:space="0"/>
              <w:bottom w:val="single" w:color="auto" w:sz="4" w:space="0"/>
              <w:right w:val="single" w:color="auto" w:sz="4" w:space="0"/>
            </w:tcBorders>
            <w:vAlign w:val="center"/>
          </w:tcPr>
          <w:p w14:paraId="68504DD7">
            <w:pPr>
              <w:jc w:val="center"/>
              <w:rPr>
                <w:rFonts w:ascii="宋体" w:hAnsi="宋体" w:cs="宋体"/>
                <w:color w:val="auto"/>
                <w:sz w:val="24"/>
                <w:highlight w:val="none"/>
              </w:rPr>
            </w:pPr>
            <w:r>
              <w:rPr>
                <w:rFonts w:hint="eastAsia" w:ascii="宋体" w:hAnsi="宋体" w:cs="宋体"/>
                <w:color w:val="auto"/>
                <w:sz w:val="24"/>
                <w:highlight w:val="none"/>
              </w:rPr>
              <w:t>中、晚餐必提供，所有菜品每餐不少于10个。其中，“荤素混烧”中的荤菜以猪肉报价，荤素比为5:5</w:t>
            </w:r>
          </w:p>
        </w:tc>
      </w:tr>
      <w:tr w14:paraId="1EFF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49001B2B">
            <w:pPr>
              <w:jc w:val="center"/>
              <w:rPr>
                <w:rFonts w:ascii="宋体" w:hAnsi="宋体" w:cs="宋体"/>
                <w:color w:val="auto"/>
                <w:sz w:val="24"/>
                <w:highlight w:val="none"/>
              </w:rPr>
            </w:pPr>
            <w:r>
              <w:rPr>
                <w:rFonts w:hint="eastAsia" w:ascii="宋体" w:hAnsi="宋体" w:cs="宋体"/>
                <w:color w:val="auto"/>
                <w:sz w:val="24"/>
                <w:highlight w:val="none"/>
              </w:rPr>
              <w:t>纯烧猪肉</w:t>
            </w:r>
          </w:p>
        </w:tc>
        <w:tc>
          <w:tcPr>
            <w:tcW w:w="1156" w:type="dxa"/>
            <w:tcBorders>
              <w:top w:val="single" w:color="auto" w:sz="4" w:space="0"/>
              <w:left w:val="single" w:color="auto" w:sz="4" w:space="0"/>
              <w:bottom w:val="single" w:color="auto" w:sz="4" w:space="0"/>
              <w:right w:val="single" w:color="auto" w:sz="4" w:space="0"/>
            </w:tcBorders>
            <w:vAlign w:val="center"/>
          </w:tcPr>
          <w:p w14:paraId="010C3CF4">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1EF36D43">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7C672A97">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14:paraId="73CC9D9C">
            <w:pPr>
              <w:jc w:val="center"/>
              <w:rPr>
                <w:rFonts w:ascii="宋体" w:hAnsi="宋体" w:cs="宋体"/>
                <w:color w:val="auto"/>
                <w:sz w:val="24"/>
                <w:highlight w:val="none"/>
              </w:rPr>
            </w:pPr>
          </w:p>
        </w:tc>
      </w:tr>
      <w:tr w14:paraId="7FA1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56F2091D">
            <w:pPr>
              <w:jc w:val="center"/>
              <w:rPr>
                <w:rFonts w:ascii="宋体" w:hAnsi="宋体" w:cs="宋体"/>
                <w:color w:val="auto"/>
                <w:sz w:val="24"/>
                <w:highlight w:val="none"/>
              </w:rPr>
            </w:pPr>
            <w:r>
              <w:rPr>
                <w:rFonts w:hint="eastAsia" w:ascii="宋体" w:hAnsi="宋体" w:cs="宋体"/>
                <w:color w:val="auto"/>
                <w:sz w:val="24"/>
                <w:highlight w:val="none"/>
              </w:rPr>
              <w:t>纯烧鸡肉</w:t>
            </w:r>
          </w:p>
        </w:tc>
        <w:tc>
          <w:tcPr>
            <w:tcW w:w="1156" w:type="dxa"/>
            <w:tcBorders>
              <w:top w:val="single" w:color="auto" w:sz="4" w:space="0"/>
              <w:left w:val="single" w:color="auto" w:sz="4" w:space="0"/>
              <w:bottom w:val="single" w:color="auto" w:sz="4" w:space="0"/>
              <w:right w:val="single" w:color="auto" w:sz="4" w:space="0"/>
            </w:tcBorders>
            <w:vAlign w:val="center"/>
          </w:tcPr>
          <w:p w14:paraId="169B880E">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3BF27638">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522D72C5">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14:paraId="0B7A2DD9">
            <w:pPr>
              <w:jc w:val="center"/>
              <w:rPr>
                <w:rFonts w:ascii="宋体" w:hAnsi="宋体" w:cs="宋体"/>
                <w:color w:val="auto"/>
                <w:sz w:val="24"/>
                <w:highlight w:val="none"/>
              </w:rPr>
            </w:pPr>
          </w:p>
        </w:tc>
      </w:tr>
      <w:tr w14:paraId="11C3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444B0ABD">
            <w:pPr>
              <w:jc w:val="center"/>
              <w:rPr>
                <w:rFonts w:ascii="宋体" w:hAnsi="宋体" w:cs="宋体"/>
                <w:color w:val="auto"/>
                <w:sz w:val="24"/>
                <w:highlight w:val="none"/>
              </w:rPr>
            </w:pPr>
            <w:r>
              <w:rPr>
                <w:rFonts w:hint="eastAsia" w:ascii="宋体" w:hAnsi="宋体" w:cs="宋体"/>
                <w:color w:val="auto"/>
                <w:sz w:val="24"/>
                <w:highlight w:val="none"/>
              </w:rPr>
              <w:t>纯烧鱼肉</w:t>
            </w:r>
          </w:p>
        </w:tc>
        <w:tc>
          <w:tcPr>
            <w:tcW w:w="1156" w:type="dxa"/>
            <w:tcBorders>
              <w:top w:val="single" w:color="auto" w:sz="4" w:space="0"/>
              <w:left w:val="single" w:color="auto" w:sz="4" w:space="0"/>
              <w:bottom w:val="single" w:color="auto" w:sz="4" w:space="0"/>
              <w:right w:val="single" w:color="auto" w:sz="4" w:space="0"/>
            </w:tcBorders>
            <w:vAlign w:val="center"/>
          </w:tcPr>
          <w:p w14:paraId="3183B2B0">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26EC9155">
            <w:pPr>
              <w:jc w:val="center"/>
              <w:rPr>
                <w:rFonts w:ascii="宋体" w:hAnsi="宋体" w:cs="宋体"/>
                <w:color w:val="auto"/>
                <w:sz w:val="24"/>
                <w:highlight w:val="none"/>
              </w:rPr>
            </w:pPr>
            <w:r>
              <w:rPr>
                <w:rFonts w:hint="eastAsia" w:ascii="宋体" w:hAnsi="宋体" w:cs="宋体"/>
                <w:color w:val="auto"/>
                <w:sz w:val="24"/>
                <w:highlight w:val="none"/>
              </w:rPr>
              <w:t>100</w:t>
            </w:r>
          </w:p>
        </w:tc>
        <w:tc>
          <w:tcPr>
            <w:tcW w:w="1099" w:type="dxa"/>
            <w:tcBorders>
              <w:top w:val="single" w:color="auto" w:sz="4" w:space="0"/>
              <w:left w:val="single" w:color="auto" w:sz="4" w:space="0"/>
              <w:bottom w:val="single" w:color="auto" w:sz="4" w:space="0"/>
              <w:right w:val="single" w:color="auto" w:sz="4" w:space="0"/>
            </w:tcBorders>
            <w:vAlign w:val="center"/>
          </w:tcPr>
          <w:p w14:paraId="249A9208">
            <w:pPr>
              <w:jc w:val="center"/>
              <w:rPr>
                <w:rFonts w:ascii="宋体" w:hAnsi="宋体" w:cs="宋体"/>
                <w:color w:val="auto"/>
                <w:sz w:val="24"/>
                <w:highlight w:val="none"/>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14:paraId="3ABDD595">
            <w:pPr>
              <w:jc w:val="center"/>
              <w:rPr>
                <w:rFonts w:ascii="宋体" w:hAnsi="宋体" w:cs="宋体"/>
                <w:color w:val="auto"/>
                <w:sz w:val="24"/>
                <w:highlight w:val="none"/>
              </w:rPr>
            </w:pPr>
          </w:p>
        </w:tc>
      </w:tr>
      <w:tr w14:paraId="2693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55507815">
            <w:pPr>
              <w:jc w:val="center"/>
              <w:rPr>
                <w:rFonts w:ascii="宋体" w:hAnsi="宋体" w:cs="宋体"/>
                <w:color w:val="auto"/>
                <w:sz w:val="24"/>
                <w:highlight w:val="none"/>
              </w:rPr>
            </w:pPr>
            <w:r>
              <w:rPr>
                <w:rFonts w:hint="eastAsia" w:ascii="宋体" w:hAnsi="宋体" w:cs="宋体"/>
                <w:color w:val="auto"/>
                <w:sz w:val="24"/>
                <w:highlight w:val="none"/>
              </w:rPr>
              <w:t>蛋炒饭</w:t>
            </w:r>
          </w:p>
        </w:tc>
        <w:tc>
          <w:tcPr>
            <w:tcW w:w="1156" w:type="dxa"/>
            <w:tcBorders>
              <w:top w:val="single" w:color="auto" w:sz="4" w:space="0"/>
              <w:left w:val="single" w:color="auto" w:sz="4" w:space="0"/>
              <w:bottom w:val="single" w:color="auto" w:sz="4" w:space="0"/>
              <w:right w:val="single" w:color="auto" w:sz="4" w:space="0"/>
            </w:tcBorders>
            <w:vAlign w:val="center"/>
          </w:tcPr>
          <w:p w14:paraId="1B800294">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14E0E539">
            <w:pPr>
              <w:jc w:val="center"/>
              <w:rPr>
                <w:rFonts w:ascii="宋体" w:hAnsi="宋体" w:cs="宋体"/>
                <w:color w:val="auto"/>
                <w:sz w:val="24"/>
                <w:highlight w:val="none"/>
              </w:rPr>
            </w:pPr>
            <w:r>
              <w:rPr>
                <w:rFonts w:hint="eastAsia" w:ascii="宋体" w:hAnsi="宋体" w:cs="宋体"/>
                <w:color w:val="auto"/>
                <w:sz w:val="24"/>
                <w:highlight w:val="none"/>
              </w:rPr>
              <w:t>420</w:t>
            </w:r>
          </w:p>
        </w:tc>
        <w:tc>
          <w:tcPr>
            <w:tcW w:w="1099" w:type="dxa"/>
            <w:tcBorders>
              <w:top w:val="single" w:color="auto" w:sz="4" w:space="0"/>
              <w:left w:val="single" w:color="auto" w:sz="4" w:space="0"/>
              <w:bottom w:val="single" w:color="auto" w:sz="4" w:space="0"/>
              <w:right w:val="single" w:color="auto" w:sz="4" w:space="0"/>
            </w:tcBorders>
            <w:vAlign w:val="center"/>
          </w:tcPr>
          <w:p w14:paraId="3E0C6DE2">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1C4D1159">
            <w:pPr>
              <w:jc w:val="center"/>
              <w:rPr>
                <w:rFonts w:ascii="宋体" w:hAnsi="宋体" w:cs="宋体"/>
                <w:color w:val="auto"/>
                <w:sz w:val="24"/>
                <w:highlight w:val="none"/>
              </w:rPr>
            </w:pPr>
          </w:p>
        </w:tc>
      </w:tr>
      <w:tr w14:paraId="2413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14:paraId="33EE06E4">
            <w:pPr>
              <w:jc w:val="center"/>
              <w:rPr>
                <w:rFonts w:ascii="宋体" w:hAnsi="宋体" w:cs="宋体"/>
                <w:color w:val="auto"/>
                <w:sz w:val="24"/>
                <w:highlight w:val="none"/>
              </w:rPr>
            </w:pPr>
            <w:r>
              <w:rPr>
                <w:rFonts w:hint="eastAsia" w:ascii="宋体" w:hAnsi="宋体" w:cs="宋体"/>
                <w:color w:val="auto"/>
                <w:sz w:val="24"/>
                <w:highlight w:val="none"/>
              </w:rPr>
              <w:t>炒面</w:t>
            </w:r>
          </w:p>
        </w:tc>
        <w:tc>
          <w:tcPr>
            <w:tcW w:w="1156" w:type="dxa"/>
            <w:tcBorders>
              <w:top w:val="single" w:color="auto" w:sz="4" w:space="0"/>
              <w:left w:val="single" w:color="auto" w:sz="4" w:space="0"/>
              <w:bottom w:val="single" w:color="auto" w:sz="4" w:space="0"/>
              <w:right w:val="single" w:color="auto" w:sz="4" w:space="0"/>
            </w:tcBorders>
            <w:vAlign w:val="center"/>
          </w:tcPr>
          <w:p w14:paraId="6A77F060">
            <w:pPr>
              <w:jc w:val="center"/>
              <w:rPr>
                <w:rFonts w:ascii="宋体" w:hAnsi="宋体" w:cs="宋体"/>
                <w:color w:val="auto"/>
                <w:sz w:val="24"/>
                <w:highlight w:val="none"/>
              </w:rPr>
            </w:pPr>
            <w:r>
              <w:rPr>
                <w:rFonts w:hint="eastAsia" w:ascii="宋体" w:hAnsi="宋体" w:cs="宋体"/>
                <w:color w:val="auto"/>
                <w:sz w:val="24"/>
                <w:highlight w:val="none"/>
              </w:rPr>
              <w:t>克</w:t>
            </w:r>
          </w:p>
        </w:tc>
        <w:tc>
          <w:tcPr>
            <w:tcW w:w="899" w:type="dxa"/>
            <w:tcBorders>
              <w:top w:val="single" w:color="auto" w:sz="4" w:space="0"/>
              <w:left w:val="single" w:color="auto" w:sz="4" w:space="0"/>
              <w:bottom w:val="single" w:color="auto" w:sz="4" w:space="0"/>
              <w:right w:val="single" w:color="auto" w:sz="4" w:space="0"/>
            </w:tcBorders>
            <w:vAlign w:val="center"/>
          </w:tcPr>
          <w:p w14:paraId="004CDD34">
            <w:pPr>
              <w:jc w:val="center"/>
              <w:rPr>
                <w:rFonts w:ascii="宋体" w:hAnsi="宋体" w:cs="宋体"/>
                <w:color w:val="auto"/>
                <w:sz w:val="24"/>
                <w:highlight w:val="none"/>
              </w:rPr>
            </w:pPr>
            <w:r>
              <w:rPr>
                <w:rFonts w:hint="eastAsia" w:ascii="宋体" w:hAnsi="宋体" w:cs="宋体"/>
                <w:color w:val="auto"/>
                <w:sz w:val="24"/>
                <w:highlight w:val="none"/>
              </w:rPr>
              <w:t>420</w:t>
            </w:r>
          </w:p>
        </w:tc>
        <w:tc>
          <w:tcPr>
            <w:tcW w:w="1099" w:type="dxa"/>
            <w:tcBorders>
              <w:top w:val="single" w:color="auto" w:sz="4" w:space="0"/>
              <w:left w:val="single" w:color="auto" w:sz="4" w:space="0"/>
              <w:bottom w:val="single" w:color="auto" w:sz="4" w:space="0"/>
              <w:right w:val="single" w:color="auto" w:sz="4" w:space="0"/>
            </w:tcBorders>
            <w:vAlign w:val="center"/>
          </w:tcPr>
          <w:p w14:paraId="36C106AC">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71011EA3">
            <w:pPr>
              <w:jc w:val="center"/>
              <w:rPr>
                <w:rFonts w:ascii="宋体" w:hAnsi="宋体" w:cs="宋体"/>
                <w:color w:val="auto"/>
                <w:sz w:val="24"/>
                <w:highlight w:val="none"/>
              </w:rPr>
            </w:pPr>
          </w:p>
        </w:tc>
      </w:tr>
      <w:tr w14:paraId="1186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55" w:type="dxa"/>
            <w:tcBorders>
              <w:top w:val="single" w:color="auto" w:sz="4" w:space="0"/>
              <w:left w:val="single" w:color="auto" w:sz="4" w:space="0"/>
              <w:bottom w:val="single" w:color="auto" w:sz="4" w:space="0"/>
              <w:right w:val="single" w:color="auto" w:sz="4" w:space="0"/>
            </w:tcBorders>
            <w:vAlign w:val="center"/>
          </w:tcPr>
          <w:p w14:paraId="6DE2BA41">
            <w:pPr>
              <w:jc w:val="center"/>
              <w:rPr>
                <w:rFonts w:ascii="宋体" w:hAnsi="宋体" w:cs="宋体"/>
                <w:color w:val="auto"/>
                <w:sz w:val="24"/>
                <w:highlight w:val="none"/>
              </w:rPr>
            </w:pPr>
            <w:r>
              <w:rPr>
                <w:rFonts w:hint="eastAsia" w:ascii="宋体" w:hAnsi="宋体" w:cs="宋体"/>
                <w:color w:val="auto"/>
                <w:sz w:val="24"/>
                <w:highlight w:val="none"/>
              </w:rPr>
              <w:t>免费汤</w:t>
            </w:r>
          </w:p>
        </w:tc>
        <w:tc>
          <w:tcPr>
            <w:tcW w:w="1156" w:type="dxa"/>
            <w:tcBorders>
              <w:top w:val="single" w:color="auto" w:sz="4" w:space="0"/>
              <w:left w:val="single" w:color="auto" w:sz="4" w:space="0"/>
              <w:bottom w:val="single" w:color="auto" w:sz="4" w:space="0"/>
              <w:right w:val="single" w:color="auto" w:sz="4" w:space="0"/>
            </w:tcBorders>
            <w:vAlign w:val="center"/>
          </w:tcPr>
          <w:p w14:paraId="46DA4131">
            <w:pPr>
              <w:jc w:val="center"/>
              <w:rPr>
                <w:rFonts w:ascii="宋体" w:hAnsi="宋体" w:cs="宋体"/>
                <w:color w:val="auto"/>
                <w:sz w:val="24"/>
                <w:highlight w:val="none"/>
              </w:rPr>
            </w:pPr>
            <w:r>
              <w:rPr>
                <w:rFonts w:hint="eastAsia" w:ascii="宋体" w:hAnsi="宋体" w:cs="宋体"/>
                <w:color w:val="auto"/>
                <w:sz w:val="24"/>
                <w:highlight w:val="none"/>
              </w:rPr>
              <w:t>－</w:t>
            </w:r>
          </w:p>
        </w:tc>
        <w:tc>
          <w:tcPr>
            <w:tcW w:w="899" w:type="dxa"/>
            <w:tcBorders>
              <w:top w:val="single" w:color="auto" w:sz="4" w:space="0"/>
              <w:left w:val="single" w:color="auto" w:sz="4" w:space="0"/>
              <w:bottom w:val="single" w:color="auto" w:sz="4" w:space="0"/>
              <w:right w:val="single" w:color="auto" w:sz="4" w:space="0"/>
            </w:tcBorders>
            <w:vAlign w:val="center"/>
          </w:tcPr>
          <w:p w14:paraId="47D2E644">
            <w:pPr>
              <w:jc w:val="center"/>
              <w:rPr>
                <w:rFonts w:ascii="宋体" w:hAnsi="宋体" w:cs="宋体"/>
                <w:color w:val="auto"/>
                <w:sz w:val="24"/>
                <w:highlight w:val="none"/>
              </w:rPr>
            </w:pPr>
            <w:r>
              <w:rPr>
                <w:rFonts w:hint="eastAsia" w:ascii="宋体" w:hAnsi="宋体" w:cs="宋体"/>
                <w:color w:val="auto"/>
                <w:sz w:val="24"/>
                <w:highlight w:val="none"/>
              </w:rPr>
              <w:t>－</w:t>
            </w:r>
          </w:p>
        </w:tc>
        <w:tc>
          <w:tcPr>
            <w:tcW w:w="1099" w:type="dxa"/>
            <w:tcBorders>
              <w:top w:val="single" w:color="auto" w:sz="4" w:space="0"/>
              <w:left w:val="single" w:color="auto" w:sz="4" w:space="0"/>
              <w:bottom w:val="single" w:color="auto" w:sz="4" w:space="0"/>
              <w:right w:val="single" w:color="auto" w:sz="4" w:space="0"/>
            </w:tcBorders>
            <w:vAlign w:val="center"/>
          </w:tcPr>
          <w:p w14:paraId="377EEC20">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757D8FA6">
            <w:pPr>
              <w:jc w:val="left"/>
              <w:rPr>
                <w:rFonts w:ascii="宋体" w:hAnsi="宋体" w:cs="宋体"/>
                <w:color w:val="auto"/>
                <w:sz w:val="24"/>
                <w:highlight w:val="none"/>
              </w:rPr>
            </w:pPr>
            <w:r>
              <w:rPr>
                <w:rFonts w:hint="eastAsia" w:ascii="宋体" w:hAnsi="宋体" w:cs="宋体"/>
                <w:color w:val="auto"/>
                <w:sz w:val="24"/>
                <w:highlight w:val="none"/>
              </w:rPr>
              <w:t>中午10:40-12:10</w:t>
            </w:r>
          </w:p>
          <w:p w14:paraId="0BE2B7AD">
            <w:pPr>
              <w:jc w:val="left"/>
              <w:rPr>
                <w:rFonts w:ascii="宋体" w:hAnsi="宋体" w:cs="宋体"/>
                <w:color w:val="auto"/>
                <w:sz w:val="24"/>
                <w:highlight w:val="none"/>
              </w:rPr>
            </w:pPr>
            <w:r>
              <w:rPr>
                <w:rFonts w:hint="eastAsia" w:ascii="宋体" w:hAnsi="宋体" w:cs="宋体"/>
                <w:color w:val="auto"/>
                <w:sz w:val="24"/>
                <w:highlight w:val="none"/>
              </w:rPr>
              <w:t>下午4:50-6:10必提供</w:t>
            </w:r>
          </w:p>
        </w:tc>
      </w:tr>
      <w:tr w14:paraId="324C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55" w:type="dxa"/>
            <w:tcBorders>
              <w:top w:val="single" w:color="auto" w:sz="4" w:space="0"/>
              <w:left w:val="single" w:color="auto" w:sz="4" w:space="0"/>
              <w:bottom w:val="single" w:color="auto" w:sz="4" w:space="0"/>
              <w:right w:val="single" w:color="auto" w:sz="4" w:space="0"/>
            </w:tcBorders>
            <w:vAlign w:val="center"/>
          </w:tcPr>
          <w:p w14:paraId="5DF4F335">
            <w:pPr>
              <w:jc w:val="center"/>
              <w:rPr>
                <w:rFonts w:ascii="宋体" w:hAnsi="宋体" w:cs="宋体"/>
                <w:color w:val="auto"/>
                <w:sz w:val="24"/>
                <w:highlight w:val="none"/>
              </w:rPr>
            </w:pPr>
            <w:r>
              <w:rPr>
                <w:rFonts w:hint="eastAsia" w:ascii="宋体" w:hAnsi="宋体" w:cs="宋体"/>
                <w:color w:val="auto"/>
                <w:sz w:val="24"/>
                <w:highlight w:val="none"/>
              </w:rPr>
              <w:t>饮品</w:t>
            </w:r>
          </w:p>
        </w:tc>
        <w:tc>
          <w:tcPr>
            <w:tcW w:w="1156" w:type="dxa"/>
            <w:tcBorders>
              <w:top w:val="single" w:color="auto" w:sz="4" w:space="0"/>
              <w:left w:val="single" w:color="auto" w:sz="4" w:space="0"/>
              <w:bottom w:val="single" w:color="auto" w:sz="4" w:space="0"/>
              <w:right w:val="single" w:color="auto" w:sz="4" w:space="0"/>
            </w:tcBorders>
            <w:vAlign w:val="center"/>
          </w:tcPr>
          <w:p w14:paraId="442A0E5D">
            <w:pPr>
              <w:jc w:val="center"/>
              <w:rPr>
                <w:rFonts w:ascii="宋体" w:hAnsi="宋体" w:cs="宋体"/>
                <w:color w:val="auto"/>
                <w:sz w:val="24"/>
                <w:highlight w:val="none"/>
              </w:rPr>
            </w:pPr>
            <w:r>
              <w:rPr>
                <w:rFonts w:hint="eastAsia" w:ascii="宋体" w:hAnsi="宋体" w:cs="宋体"/>
                <w:color w:val="auto"/>
                <w:sz w:val="24"/>
                <w:highlight w:val="none"/>
              </w:rPr>
              <w:t>毫升</w:t>
            </w:r>
          </w:p>
        </w:tc>
        <w:tc>
          <w:tcPr>
            <w:tcW w:w="899" w:type="dxa"/>
            <w:tcBorders>
              <w:top w:val="single" w:color="auto" w:sz="4" w:space="0"/>
              <w:left w:val="single" w:color="auto" w:sz="4" w:space="0"/>
              <w:bottom w:val="single" w:color="auto" w:sz="4" w:space="0"/>
              <w:right w:val="single" w:color="auto" w:sz="4" w:space="0"/>
            </w:tcBorders>
            <w:vAlign w:val="center"/>
          </w:tcPr>
          <w:p w14:paraId="1E4AA0E1">
            <w:pPr>
              <w:jc w:val="center"/>
              <w:rPr>
                <w:rFonts w:ascii="宋体" w:hAnsi="宋体" w:cs="宋体"/>
                <w:color w:val="auto"/>
                <w:sz w:val="24"/>
                <w:highlight w:val="none"/>
              </w:rPr>
            </w:pPr>
            <w:r>
              <w:rPr>
                <w:rFonts w:hint="eastAsia" w:ascii="宋体" w:hAnsi="宋体" w:cs="宋体"/>
                <w:color w:val="auto"/>
                <w:sz w:val="24"/>
                <w:highlight w:val="none"/>
              </w:rPr>
              <w:t>350</w:t>
            </w:r>
          </w:p>
        </w:tc>
        <w:tc>
          <w:tcPr>
            <w:tcW w:w="1099" w:type="dxa"/>
            <w:tcBorders>
              <w:top w:val="single" w:color="auto" w:sz="4" w:space="0"/>
              <w:left w:val="single" w:color="auto" w:sz="4" w:space="0"/>
              <w:bottom w:val="single" w:color="auto" w:sz="4" w:space="0"/>
              <w:right w:val="single" w:color="auto" w:sz="4" w:space="0"/>
            </w:tcBorders>
            <w:vAlign w:val="center"/>
          </w:tcPr>
          <w:p w14:paraId="29C838CD">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1C882E8B">
            <w:pPr>
              <w:jc w:val="left"/>
              <w:rPr>
                <w:rFonts w:ascii="宋体" w:hAnsi="宋体" w:cs="宋体"/>
                <w:color w:val="auto"/>
                <w:sz w:val="24"/>
                <w:highlight w:val="none"/>
              </w:rPr>
            </w:pPr>
            <w:r>
              <w:rPr>
                <w:rFonts w:hint="eastAsia" w:ascii="宋体" w:hAnsi="宋体" w:cs="宋体"/>
                <w:color w:val="auto"/>
                <w:sz w:val="24"/>
                <w:highlight w:val="none"/>
              </w:rPr>
              <w:t>严禁使用添加剂及调色剂等调制，可用果蔬等制作，中、晚餐必提供</w:t>
            </w:r>
          </w:p>
        </w:tc>
      </w:tr>
      <w:tr w14:paraId="337B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55" w:type="dxa"/>
            <w:tcBorders>
              <w:top w:val="single" w:color="auto" w:sz="4" w:space="0"/>
              <w:left w:val="single" w:color="auto" w:sz="4" w:space="0"/>
              <w:bottom w:val="single" w:color="auto" w:sz="4" w:space="0"/>
              <w:right w:val="single" w:color="auto" w:sz="4" w:space="0"/>
            </w:tcBorders>
            <w:vAlign w:val="center"/>
          </w:tcPr>
          <w:p w14:paraId="76533D8F">
            <w:pPr>
              <w:jc w:val="center"/>
              <w:rPr>
                <w:rFonts w:ascii="宋体" w:hAnsi="宋体" w:cs="宋体"/>
                <w:color w:val="auto"/>
                <w:sz w:val="24"/>
                <w:highlight w:val="none"/>
              </w:rPr>
            </w:pPr>
            <w:r>
              <w:rPr>
                <w:rFonts w:hint="eastAsia" w:ascii="宋体" w:hAnsi="宋体" w:cs="宋体"/>
                <w:b/>
                <w:bCs/>
                <w:color w:val="auto"/>
                <w:sz w:val="24"/>
                <w:highlight w:val="none"/>
              </w:rPr>
              <w:t>合计报价</w:t>
            </w:r>
          </w:p>
        </w:tc>
        <w:tc>
          <w:tcPr>
            <w:tcW w:w="1156" w:type="dxa"/>
            <w:tcBorders>
              <w:top w:val="single" w:color="auto" w:sz="4" w:space="0"/>
              <w:left w:val="single" w:color="auto" w:sz="4" w:space="0"/>
              <w:bottom w:val="single" w:color="auto" w:sz="4" w:space="0"/>
              <w:right w:val="single" w:color="auto" w:sz="4" w:space="0"/>
            </w:tcBorders>
            <w:vAlign w:val="center"/>
          </w:tcPr>
          <w:p w14:paraId="00ACCA51">
            <w:pPr>
              <w:jc w:val="center"/>
              <w:rPr>
                <w:rFonts w:ascii="宋体" w:hAnsi="宋体" w:cs="宋体"/>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7CAAF12C">
            <w:pPr>
              <w:jc w:val="center"/>
              <w:rPr>
                <w:rFonts w:ascii="宋体" w:hAnsi="宋体" w:cs="宋体"/>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14:paraId="62C65635">
            <w:pPr>
              <w:jc w:val="center"/>
              <w:rPr>
                <w:rFonts w:ascii="宋体" w:hAnsi="宋体" w:cs="宋体"/>
                <w:color w:val="auto"/>
                <w:sz w:val="24"/>
                <w:highlight w:val="none"/>
              </w:rPr>
            </w:pPr>
          </w:p>
        </w:tc>
        <w:tc>
          <w:tcPr>
            <w:tcW w:w="4863" w:type="dxa"/>
            <w:tcBorders>
              <w:top w:val="single" w:color="auto" w:sz="4" w:space="0"/>
              <w:left w:val="single" w:color="auto" w:sz="4" w:space="0"/>
              <w:bottom w:val="single" w:color="auto" w:sz="4" w:space="0"/>
              <w:right w:val="single" w:color="auto" w:sz="4" w:space="0"/>
            </w:tcBorders>
            <w:vAlign w:val="center"/>
          </w:tcPr>
          <w:p w14:paraId="571FABC2">
            <w:pPr>
              <w:jc w:val="center"/>
              <w:rPr>
                <w:rFonts w:ascii="宋体" w:hAnsi="宋体" w:cs="宋体"/>
                <w:color w:val="auto"/>
                <w:sz w:val="24"/>
                <w:highlight w:val="none"/>
              </w:rPr>
            </w:pPr>
          </w:p>
        </w:tc>
      </w:tr>
    </w:tbl>
    <w:p w14:paraId="77DE1C42">
      <w:pPr>
        <w:adjustRightInd w:val="0"/>
        <w:snapToGrid w:val="0"/>
        <w:spacing w:line="440" w:lineRule="exact"/>
        <w:rPr>
          <w:rFonts w:ascii="宋体" w:hAnsi="宋体"/>
          <w:b/>
          <w:color w:val="auto"/>
          <w:sz w:val="24"/>
          <w:szCs w:val="24"/>
          <w:highlight w:val="none"/>
        </w:rPr>
      </w:pPr>
      <w:r>
        <w:rPr>
          <w:rFonts w:hint="eastAsia" w:ascii="宋体" w:hAnsi="宋体"/>
          <w:b/>
          <w:color w:val="auto"/>
          <w:sz w:val="24"/>
          <w:szCs w:val="24"/>
          <w:highlight w:val="none"/>
        </w:rPr>
        <w:t>投标报价单位（公章）：</w:t>
      </w:r>
    </w:p>
    <w:p w14:paraId="7B477334">
      <w:pPr>
        <w:adjustRightInd w:val="0"/>
        <w:snapToGrid w:val="0"/>
        <w:spacing w:line="440" w:lineRule="exact"/>
        <w:rPr>
          <w:rFonts w:ascii="宋体" w:hAnsi="宋体"/>
          <w:b/>
          <w:color w:val="auto"/>
          <w:sz w:val="24"/>
          <w:szCs w:val="24"/>
          <w:highlight w:val="none"/>
        </w:rPr>
      </w:pPr>
      <w:r>
        <w:rPr>
          <w:rFonts w:hint="eastAsia" w:ascii="宋体" w:hAnsi="宋体"/>
          <w:b/>
          <w:color w:val="auto"/>
          <w:sz w:val="24"/>
          <w:szCs w:val="24"/>
          <w:highlight w:val="none"/>
        </w:rPr>
        <w:t xml:space="preserve">                        法定代表人或授权代表（签字）：</w:t>
      </w:r>
    </w:p>
    <w:p w14:paraId="49737E8B">
      <w:pPr>
        <w:adjustRightInd w:val="0"/>
        <w:snapToGrid w:val="0"/>
        <w:spacing w:line="440" w:lineRule="exact"/>
        <w:ind w:firstLine="5746" w:firstLineChars="2600"/>
        <w:rPr>
          <w:rFonts w:ascii="宋体" w:hAnsi="宋体"/>
          <w:b/>
          <w:color w:val="auto"/>
          <w:sz w:val="24"/>
          <w:szCs w:val="24"/>
          <w:highlight w:val="none"/>
        </w:rPr>
      </w:pPr>
      <w:r>
        <w:rPr>
          <w:rFonts w:hint="eastAsia" w:ascii="宋体" w:hAnsi="宋体"/>
          <w:b/>
          <w:color w:val="auto"/>
          <w:sz w:val="24"/>
          <w:szCs w:val="24"/>
          <w:highlight w:val="none"/>
        </w:rPr>
        <w:t>日期：</w:t>
      </w:r>
    </w:p>
    <w:p w14:paraId="2DA58B1C">
      <w:pPr>
        <w:adjustRightInd w:val="0"/>
        <w:snapToGrid w:val="0"/>
        <w:spacing w:line="440" w:lineRule="exact"/>
        <w:jc w:val="center"/>
        <w:outlineLvl w:val="1"/>
        <w:rPr>
          <w:rFonts w:ascii="宋体" w:hAnsi="宋体"/>
          <w:b/>
          <w:color w:val="auto"/>
          <w:sz w:val="32"/>
          <w:szCs w:val="32"/>
          <w:highlight w:val="none"/>
        </w:rPr>
      </w:pPr>
      <w:r>
        <w:rPr>
          <w:rFonts w:hint="eastAsia" w:ascii="宋体" w:hAnsi="宋体"/>
          <w:b/>
          <w:color w:val="auto"/>
          <w:sz w:val="24"/>
          <w:szCs w:val="24"/>
          <w:highlight w:val="none"/>
        </w:rPr>
        <w:br w:type="page"/>
      </w:r>
      <w:r>
        <w:rPr>
          <w:rFonts w:hint="eastAsia" w:ascii="宋体" w:hAnsi="宋体"/>
          <w:b/>
          <w:color w:val="auto"/>
          <w:sz w:val="32"/>
          <w:szCs w:val="32"/>
          <w:highlight w:val="none"/>
        </w:rPr>
        <w:t>九、承诺书</w:t>
      </w:r>
    </w:p>
    <w:p w14:paraId="05ABA120">
      <w:pPr>
        <w:adjustRightInd w:val="0"/>
        <w:snapToGrid w:val="0"/>
        <w:spacing w:line="360" w:lineRule="auto"/>
        <w:ind w:firstLine="522" w:firstLineChars="200"/>
        <w:jc w:val="center"/>
        <w:rPr>
          <w:rFonts w:ascii="宋体" w:hAnsi="宋体" w:cs="Arial"/>
          <w:color w:val="auto"/>
          <w:sz w:val="28"/>
          <w:szCs w:val="28"/>
          <w:highlight w:val="none"/>
        </w:rPr>
      </w:pPr>
    </w:p>
    <w:p w14:paraId="4B2FA4DC">
      <w:pPr>
        <w:adjustRightInd w:val="0"/>
        <w:snapToGrid w:val="0"/>
        <w:spacing w:line="360" w:lineRule="auto"/>
        <w:ind w:firstLine="522" w:firstLineChars="200"/>
        <w:jc w:val="center"/>
        <w:outlineLvl w:val="0"/>
        <w:rPr>
          <w:rFonts w:ascii="宋体" w:hAnsi="宋体" w:cs="Arial"/>
          <w:color w:val="auto"/>
          <w:sz w:val="28"/>
          <w:szCs w:val="28"/>
          <w:highlight w:val="none"/>
        </w:rPr>
      </w:pPr>
      <w:r>
        <w:rPr>
          <w:rFonts w:hint="eastAsia" w:ascii="宋体" w:hAnsi="宋体" w:cs="Arial"/>
          <w:color w:val="auto"/>
          <w:sz w:val="28"/>
          <w:szCs w:val="28"/>
          <w:highlight w:val="none"/>
        </w:rPr>
        <w:t>（提供招标文件要求提供的承诺书）</w:t>
      </w:r>
    </w:p>
    <w:p w14:paraId="26E65D48">
      <w:pPr>
        <w:wordWrap w:val="0"/>
        <w:ind w:firstLine="3757" w:firstLineChars="1700"/>
        <w:jc w:val="right"/>
        <w:rPr>
          <w:rFonts w:ascii="宋体" w:hAnsi="宋体" w:cs="宋体"/>
          <w:snapToGrid w:val="0"/>
          <w:color w:val="auto"/>
          <w:kern w:val="0"/>
          <w:sz w:val="24"/>
          <w:szCs w:val="24"/>
          <w:highlight w:val="none"/>
          <w:u w:val="single"/>
        </w:rPr>
      </w:pPr>
    </w:p>
    <w:sectPr>
      <w:headerReference r:id="rId8" w:type="default"/>
      <w:footerReference r:id="rId9" w:type="default"/>
      <w:pgSz w:w="11906" w:h="16838"/>
      <w:pgMar w:top="1440" w:right="1080" w:bottom="1440" w:left="1080" w:header="851" w:footer="850" w:gutter="0"/>
      <w:pgNumType w:fmt="decimal" w:start="53"/>
      <w:cols w:space="0" w:num="1"/>
      <w:docGrid w:type="linesAndChars" w:linePitch="288" w:charSpace="-40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A25B">
    <w:pPr>
      <w:pStyle w:val="15"/>
      <w:tabs>
        <w:tab w:val="center" w:pos="4875"/>
        <w:tab w:val="left" w:pos="5423"/>
        <w:tab w:val="clear" w:pos="4153"/>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30C3">
    <w:pPr>
      <w:pStyle w:val="15"/>
      <w:tabs>
        <w:tab w:val="center" w:pos="4875"/>
        <w:tab w:val="left" w:pos="5423"/>
        <w:tab w:val="clear" w:pos="4153"/>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B575">
    <w:pPr>
      <w:pStyle w:val="15"/>
      <w:tabs>
        <w:tab w:val="center" w:pos="4875"/>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6A2F">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0EC08">
    <w:pPr>
      <w:pStyle w:val="15"/>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BAECD86">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n5xOgBAADHAwAADgAAAGRycy9lMm9Eb2MueG1srVNLbtswEN0XyB2I&#10;2ddS3KZwBdNBGyNFgaINkOYANEVZBPgDSVtyD9DeoKtuus+5fI4MKckJ0k0W3UhDzsybeW+Gy8te&#10;K7IXPkhrKJzPSiDCcFtLs6Vw9/369QJIiMzUTFkjKBxEgMvV2atl5yoxt61VtfAEQUyoOkehjdFV&#10;RRF4KzQLM+uEQWdjvWYRj35b1J51iK5VMS/Ld0Vnfe285SIEvF0PThgR/UsAbdNILtaW77QwcUD1&#10;QrGIlEIrXYBV7rZpBI/fmiaISBQFZBrzF4ugvUnfYrVk1dYz10o+tsBe0sIzTppJg0VPUGsWGdl5&#10;+Q+UltzbYJs441YXA5GsCLI4L59pc9syJzIXlDq4k+jh/8Hyr/sbT2RN4Q0QwzQO/Pj71/HP/fHv&#10;T/I2ydO5UGHUrcO42H+0PS7NdB/wMrHuG6/TH/kQ9KO4h5O4oo+Ep6TFfLEo0cXRNx0Qv3hMdz7E&#10;T8JqkgwKHqeXRWX7LyEOoVNIqmbstVQqT1AZ0lF4fzG/yAknD4IrgzUSiaHZZMV+04/MNrY+IDF8&#10;D1iwtf4HkA63gYLB5QeiPhsUOy3OZPjJ2EwGMxwTKUQgg3kVhwXbOS+3bV651G5wH3YRW85MUhtD&#10;7bE7nG/WYtzFtEBPzznq8f2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GRn5xOgBAADH&#10;AwAADgAAAAAAAAABACAAAAAeAQAAZHJzL2Uyb0RvYy54bWxQSwUGAAAAAAYABgBZAQAAeAUAAAAA&#10;">
              <v:fill on="f" focussize="0,0"/>
              <v:stroke on="f"/>
              <v:imagedata o:title=""/>
              <o:lock v:ext="edit" aspectratio="f"/>
              <v:textbox inset="0mm,0mm,0mm,0mm" style="mso-fit-shape-to-text:t;">
                <w:txbxContent>
                  <w:p w14:paraId="4BAECD8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DB5BC">
    <w:pPr>
      <w:spacing w:line="14" w:lineRule="auto"/>
      <w:rPr>
        <w:sz w:val="20"/>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849C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9A849C8">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7B9053E">
                          <w:pPr>
                            <w:pStyle w:val="15"/>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uEh+YBAADHAwAADgAAAGRycy9lMm9Eb2MueG1srVPNjtMwEL4j8Q7W&#10;3GmykYpKVHe1UC1CQoC08ACu4zSW/CfbbVIeAN6AExfuPFefY8dO0kXLZQ97ScaemW/m+2a8vh60&#10;Ikfhg7SGwtWiBCIMt400ewrfvt6+WgEJkZmGKWsEhZMIcL15+WLdu1pUtrOqEZ4giAl17yh0Mbq6&#10;KALvhGZhYZ0w6Gyt1yzi0e+LxrMe0bUqqrJ8XfTWN85bLkLA2+3ohAnRPwXQtq3kYmv5QQsTR1Qv&#10;FItIKXTSBdjkbttW8Pi5bYOIRFFApjF/sQjau/QtNmtW7z1zneRTC+wpLTzipJk0WPQCtWWRkYOX&#10;/0Fpyb0Nto0LbnUxEsmKIIur8pE2dx1zInNBqYO7iB6eD5Z/On7xRDYUKiCGaRz4+dfP8++/5z8/&#10;yDLJ07tQY9Sdw7g4vLUDLs18H/AysR5ar9Mf+RD0o7ini7hiiISnpFW1WpXo4uibD4hfPKQ7H+J7&#10;YTVJBgWP08uisuPHEMfQOSRVM/ZWKpUnqAzpKbxZVsuccPEguDJYI5EYm01WHHbDxGxnmxMSw/eA&#10;BTvrvwPpcRsoGFx+IOqDQbHT4syGn43dbDDDMZFCBDKa7+K4YAfn5b7LK5faDe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BNbhIfmAQAAxwMA&#10;AA4AAAAAAAAAAQAgAAAAHgEAAGRycy9lMm9Eb2MueG1sUEsFBgAAAAAGAAYAWQEAAHYFAAAAAA==&#10;">
              <v:fill on="f" focussize="0,0"/>
              <v:stroke on="f"/>
              <v:imagedata o:title=""/>
              <o:lock v:ext="edit" aspectratio="f"/>
              <v:textbox inset="0mm,0mm,0mm,0mm" style="mso-fit-shape-to-text:t;">
                <w:txbxContent>
                  <w:p w14:paraId="37B9053E">
                    <w:pPr>
                      <w:pStyle w:val="15"/>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1062990</wp:posOffset>
              </wp:positionH>
              <wp:positionV relativeFrom="page">
                <wp:posOffset>9522460</wp:posOffset>
              </wp:positionV>
              <wp:extent cx="129540" cy="2114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14:paraId="74B7D8A2">
                          <w:pPr>
                            <w:spacing w:before="19"/>
                            <w:jc w:val="left"/>
                            <w:rPr>
                              <w:rFonts w:ascii="Times New Roman"/>
                              <w:sz w:val="11"/>
                            </w:rPr>
                          </w:pPr>
                        </w:p>
                      </w:txbxContent>
                    </wps:txbx>
                    <wps:bodyPr lIns="0" tIns="0" rIns="0" bIns="0" upright="1"/>
                  </wps:wsp>
                </a:graphicData>
              </a:graphic>
            </wp:anchor>
          </w:drawing>
        </mc:Choice>
        <mc:Fallback>
          <w:pict>
            <v:shape id="_x0000_s1026" o:spid="_x0000_s1026" o:spt="202" type="#_x0000_t202" style="position:absolute;left:0pt;margin-left:83.7pt;margin-top:749.8pt;height:16.65pt;width:10.2pt;mso-position-horizontal-relative:page;mso-position-vertical-relative:page;z-index:-251657216;mso-width-relative:page;mso-height-relative:page;" filled="f" stroked="f" coordsize="21600,21600"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v:fill on="f" focussize="0,0"/>
              <v:stroke on="f"/>
              <v:imagedata o:title=""/>
              <o:lock v:ext="edit" aspectratio="f"/>
              <v:textbox inset="0mm,0mm,0mm,0mm">
                <w:txbxContent>
                  <w:p w14:paraId="74B7D8A2">
                    <w:pPr>
                      <w:spacing w:before="19"/>
                      <w:jc w:val="left"/>
                      <w:rPr>
                        <w:rFonts w:ascii="Times New Roman"/>
                        <w:sz w:val="1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C6B63">
    <w:pPr>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8F58"/>
    <w:multiLevelType w:val="singleLevel"/>
    <w:tmpl w:val="90D78F58"/>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formatting="1" w:enforcement="0"/>
  <w:defaultTabStop w:val="420"/>
  <w:drawingGridHorizontalSpacing w:val="95"/>
  <w:drawingGridVerticalSpacing w:val="14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OTg1ODljMzFkYjk3NDhiZWQzN2ExYjhhOWMzNWQifQ=="/>
    <w:docVar w:name="KSO_WPS_MARK_KEY" w:val="756ddf20-23df-4442-b05f-a78c859919d6"/>
  </w:docVars>
  <w:rsids>
    <w:rsidRoot w:val="00172A27"/>
    <w:rsid w:val="00064A57"/>
    <w:rsid w:val="000E0067"/>
    <w:rsid w:val="001131AB"/>
    <w:rsid w:val="001517D1"/>
    <w:rsid w:val="00172A27"/>
    <w:rsid w:val="00176A62"/>
    <w:rsid w:val="00177CA2"/>
    <w:rsid w:val="001B4F9E"/>
    <w:rsid w:val="002316BA"/>
    <w:rsid w:val="00244E3C"/>
    <w:rsid w:val="00255B94"/>
    <w:rsid w:val="00307C6D"/>
    <w:rsid w:val="00326569"/>
    <w:rsid w:val="003D498C"/>
    <w:rsid w:val="003F1C05"/>
    <w:rsid w:val="004B2E24"/>
    <w:rsid w:val="004B5B58"/>
    <w:rsid w:val="00502B4A"/>
    <w:rsid w:val="00512A1D"/>
    <w:rsid w:val="00565F2D"/>
    <w:rsid w:val="00594C58"/>
    <w:rsid w:val="0059608F"/>
    <w:rsid w:val="00663FFE"/>
    <w:rsid w:val="006A7315"/>
    <w:rsid w:val="00791668"/>
    <w:rsid w:val="00814E88"/>
    <w:rsid w:val="0084101C"/>
    <w:rsid w:val="008838CD"/>
    <w:rsid w:val="008D4A11"/>
    <w:rsid w:val="00960D27"/>
    <w:rsid w:val="00975B7F"/>
    <w:rsid w:val="009C04B5"/>
    <w:rsid w:val="00A25A1A"/>
    <w:rsid w:val="00A45B64"/>
    <w:rsid w:val="00A62DBF"/>
    <w:rsid w:val="00AE4384"/>
    <w:rsid w:val="00B332D3"/>
    <w:rsid w:val="00BF6784"/>
    <w:rsid w:val="00C24DE0"/>
    <w:rsid w:val="00C6060A"/>
    <w:rsid w:val="00C75811"/>
    <w:rsid w:val="00CD5AD5"/>
    <w:rsid w:val="00D52DF9"/>
    <w:rsid w:val="00DB1518"/>
    <w:rsid w:val="00DF34C5"/>
    <w:rsid w:val="00E02515"/>
    <w:rsid w:val="00E62762"/>
    <w:rsid w:val="00E938BF"/>
    <w:rsid w:val="00F457C2"/>
    <w:rsid w:val="00F46E2F"/>
    <w:rsid w:val="00F91EA4"/>
    <w:rsid w:val="01814321"/>
    <w:rsid w:val="01B12E58"/>
    <w:rsid w:val="02403886"/>
    <w:rsid w:val="027F5F5B"/>
    <w:rsid w:val="02AB78A7"/>
    <w:rsid w:val="02B439CB"/>
    <w:rsid w:val="02DC5CB3"/>
    <w:rsid w:val="0321591B"/>
    <w:rsid w:val="035A307B"/>
    <w:rsid w:val="03DF2208"/>
    <w:rsid w:val="042C4A18"/>
    <w:rsid w:val="04365609"/>
    <w:rsid w:val="04A737B0"/>
    <w:rsid w:val="04C23F68"/>
    <w:rsid w:val="05993FA8"/>
    <w:rsid w:val="06E71EDE"/>
    <w:rsid w:val="06F21F49"/>
    <w:rsid w:val="06F4663D"/>
    <w:rsid w:val="072D11D3"/>
    <w:rsid w:val="075108B1"/>
    <w:rsid w:val="07532D42"/>
    <w:rsid w:val="07DA59B3"/>
    <w:rsid w:val="07E05F75"/>
    <w:rsid w:val="087D3937"/>
    <w:rsid w:val="08F47BF3"/>
    <w:rsid w:val="096D2C7C"/>
    <w:rsid w:val="09F00295"/>
    <w:rsid w:val="0A287CF7"/>
    <w:rsid w:val="0AAD385D"/>
    <w:rsid w:val="0B0F759D"/>
    <w:rsid w:val="0B266665"/>
    <w:rsid w:val="0B50208F"/>
    <w:rsid w:val="0B8436DE"/>
    <w:rsid w:val="0B941DCD"/>
    <w:rsid w:val="0E8F4578"/>
    <w:rsid w:val="108F73D5"/>
    <w:rsid w:val="10F62B72"/>
    <w:rsid w:val="10F95046"/>
    <w:rsid w:val="118071C2"/>
    <w:rsid w:val="11EA7EFB"/>
    <w:rsid w:val="12744159"/>
    <w:rsid w:val="131C7E30"/>
    <w:rsid w:val="13255454"/>
    <w:rsid w:val="134404C4"/>
    <w:rsid w:val="1418758F"/>
    <w:rsid w:val="14AB6037"/>
    <w:rsid w:val="151E2460"/>
    <w:rsid w:val="15B95186"/>
    <w:rsid w:val="17BF7AB9"/>
    <w:rsid w:val="18066E53"/>
    <w:rsid w:val="183B10AF"/>
    <w:rsid w:val="18BB5AE8"/>
    <w:rsid w:val="1A850730"/>
    <w:rsid w:val="1B230947"/>
    <w:rsid w:val="1B903686"/>
    <w:rsid w:val="1C0D4CD7"/>
    <w:rsid w:val="1C416D02"/>
    <w:rsid w:val="1C4900D5"/>
    <w:rsid w:val="1CB251CC"/>
    <w:rsid w:val="1CE343B6"/>
    <w:rsid w:val="1D7D0CC6"/>
    <w:rsid w:val="1E116CA0"/>
    <w:rsid w:val="1E1508DB"/>
    <w:rsid w:val="1E3130EE"/>
    <w:rsid w:val="1EBF0EDC"/>
    <w:rsid w:val="1ED50F0F"/>
    <w:rsid w:val="1F8B41DC"/>
    <w:rsid w:val="1FAF133B"/>
    <w:rsid w:val="201F445B"/>
    <w:rsid w:val="209B5B46"/>
    <w:rsid w:val="216D65E2"/>
    <w:rsid w:val="219052CB"/>
    <w:rsid w:val="227B5090"/>
    <w:rsid w:val="23405992"/>
    <w:rsid w:val="234B227F"/>
    <w:rsid w:val="24A266C5"/>
    <w:rsid w:val="250B703F"/>
    <w:rsid w:val="253A02C4"/>
    <w:rsid w:val="26B77933"/>
    <w:rsid w:val="274331D9"/>
    <w:rsid w:val="278D25B0"/>
    <w:rsid w:val="27AA2E27"/>
    <w:rsid w:val="27F74C0F"/>
    <w:rsid w:val="282F6CC2"/>
    <w:rsid w:val="28415816"/>
    <w:rsid w:val="28625FCE"/>
    <w:rsid w:val="296658A0"/>
    <w:rsid w:val="29AE6384"/>
    <w:rsid w:val="29C447D9"/>
    <w:rsid w:val="29F463E5"/>
    <w:rsid w:val="2B59224B"/>
    <w:rsid w:val="2B8871B1"/>
    <w:rsid w:val="2BA2058D"/>
    <w:rsid w:val="2C826329"/>
    <w:rsid w:val="2C9E49F9"/>
    <w:rsid w:val="2D236108"/>
    <w:rsid w:val="2E5D5608"/>
    <w:rsid w:val="2EDB2B02"/>
    <w:rsid w:val="2F25260C"/>
    <w:rsid w:val="2F61560E"/>
    <w:rsid w:val="2F655681"/>
    <w:rsid w:val="2F866E22"/>
    <w:rsid w:val="304815C3"/>
    <w:rsid w:val="30A443F4"/>
    <w:rsid w:val="31252C17"/>
    <w:rsid w:val="31496359"/>
    <w:rsid w:val="31FE1708"/>
    <w:rsid w:val="32A47543"/>
    <w:rsid w:val="33196C65"/>
    <w:rsid w:val="334C5749"/>
    <w:rsid w:val="33B57CD6"/>
    <w:rsid w:val="33EF74ED"/>
    <w:rsid w:val="346C547B"/>
    <w:rsid w:val="34BC79B9"/>
    <w:rsid w:val="34F77C76"/>
    <w:rsid w:val="350C7DCA"/>
    <w:rsid w:val="36704443"/>
    <w:rsid w:val="36B971F0"/>
    <w:rsid w:val="36F63DF3"/>
    <w:rsid w:val="3758786C"/>
    <w:rsid w:val="37C4383C"/>
    <w:rsid w:val="37D50947"/>
    <w:rsid w:val="37FB65FF"/>
    <w:rsid w:val="38EA1ECC"/>
    <w:rsid w:val="38EC41E7"/>
    <w:rsid w:val="39DF7A23"/>
    <w:rsid w:val="3A125E23"/>
    <w:rsid w:val="3B0F701D"/>
    <w:rsid w:val="3B5F2BEF"/>
    <w:rsid w:val="3BB80FEA"/>
    <w:rsid w:val="3C644774"/>
    <w:rsid w:val="3C87472E"/>
    <w:rsid w:val="3CB34B2F"/>
    <w:rsid w:val="3CF6091C"/>
    <w:rsid w:val="3D6406AA"/>
    <w:rsid w:val="3D6A38DF"/>
    <w:rsid w:val="3D985812"/>
    <w:rsid w:val="3DDE2F12"/>
    <w:rsid w:val="3EE733AD"/>
    <w:rsid w:val="3FD32DD0"/>
    <w:rsid w:val="3FE87743"/>
    <w:rsid w:val="40344BA2"/>
    <w:rsid w:val="40842F0A"/>
    <w:rsid w:val="408847A8"/>
    <w:rsid w:val="410D7BD6"/>
    <w:rsid w:val="41440F1B"/>
    <w:rsid w:val="41AC2719"/>
    <w:rsid w:val="431E31A2"/>
    <w:rsid w:val="43567906"/>
    <w:rsid w:val="435A36A9"/>
    <w:rsid w:val="43686B13"/>
    <w:rsid w:val="43995C23"/>
    <w:rsid w:val="445E1859"/>
    <w:rsid w:val="44974855"/>
    <w:rsid w:val="45A34A75"/>
    <w:rsid w:val="460832F6"/>
    <w:rsid w:val="460D5750"/>
    <w:rsid w:val="46276812"/>
    <w:rsid w:val="46715EB0"/>
    <w:rsid w:val="46A14816"/>
    <w:rsid w:val="47367BFD"/>
    <w:rsid w:val="475D3FF8"/>
    <w:rsid w:val="47AB5186"/>
    <w:rsid w:val="47B83392"/>
    <w:rsid w:val="480C17B4"/>
    <w:rsid w:val="48223734"/>
    <w:rsid w:val="48C6066A"/>
    <w:rsid w:val="4A67332F"/>
    <w:rsid w:val="4B1F3F5B"/>
    <w:rsid w:val="4B2F5386"/>
    <w:rsid w:val="4B3D4C26"/>
    <w:rsid w:val="4B7B52FE"/>
    <w:rsid w:val="4BC36FDC"/>
    <w:rsid w:val="4C0355F4"/>
    <w:rsid w:val="4C173F06"/>
    <w:rsid w:val="4C72630D"/>
    <w:rsid w:val="4CA23CA2"/>
    <w:rsid w:val="4CF72422"/>
    <w:rsid w:val="4D1B04CD"/>
    <w:rsid w:val="4D4E3F10"/>
    <w:rsid w:val="4DCA4C8B"/>
    <w:rsid w:val="4E020A02"/>
    <w:rsid w:val="4EB33338"/>
    <w:rsid w:val="4F3E6E69"/>
    <w:rsid w:val="50E65A75"/>
    <w:rsid w:val="51472A53"/>
    <w:rsid w:val="515636BF"/>
    <w:rsid w:val="52353AF2"/>
    <w:rsid w:val="539A4AC7"/>
    <w:rsid w:val="53ED4843"/>
    <w:rsid w:val="53F34CFB"/>
    <w:rsid w:val="53FB308C"/>
    <w:rsid w:val="5455279C"/>
    <w:rsid w:val="547447F3"/>
    <w:rsid w:val="54A01A51"/>
    <w:rsid w:val="54F7024E"/>
    <w:rsid w:val="56917B91"/>
    <w:rsid w:val="56D2108D"/>
    <w:rsid w:val="57307BDB"/>
    <w:rsid w:val="57335DC3"/>
    <w:rsid w:val="5736688C"/>
    <w:rsid w:val="57C74E66"/>
    <w:rsid w:val="5886386C"/>
    <w:rsid w:val="589C18D2"/>
    <w:rsid w:val="58C47EF0"/>
    <w:rsid w:val="58E26FC7"/>
    <w:rsid w:val="58FC3B2E"/>
    <w:rsid w:val="593F4415"/>
    <w:rsid w:val="59701E26"/>
    <w:rsid w:val="59EC23C9"/>
    <w:rsid w:val="59F14595"/>
    <w:rsid w:val="5A923DE8"/>
    <w:rsid w:val="5A9C22E2"/>
    <w:rsid w:val="5AA24261"/>
    <w:rsid w:val="5B565809"/>
    <w:rsid w:val="5B9C5BD2"/>
    <w:rsid w:val="5BE02FDF"/>
    <w:rsid w:val="5DDF68CC"/>
    <w:rsid w:val="5E1F3B6D"/>
    <w:rsid w:val="5EAE4427"/>
    <w:rsid w:val="60C01DB0"/>
    <w:rsid w:val="61DA7B4A"/>
    <w:rsid w:val="62153A4B"/>
    <w:rsid w:val="62522A10"/>
    <w:rsid w:val="6319057B"/>
    <w:rsid w:val="639338F7"/>
    <w:rsid w:val="64994927"/>
    <w:rsid w:val="64AF388B"/>
    <w:rsid w:val="64B5542C"/>
    <w:rsid w:val="65363F24"/>
    <w:rsid w:val="66015B90"/>
    <w:rsid w:val="6645741E"/>
    <w:rsid w:val="666D606B"/>
    <w:rsid w:val="66D14188"/>
    <w:rsid w:val="66D4757C"/>
    <w:rsid w:val="681E586F"/>
    <w:rsid w:val="68464DC5"/>
    <w:rsid w:val="68DB1248"/>
    <w:rsid w:val="68FD5910"/>
    <w:rsid w:val="692844CB"/>
    <w:rsid w:val="6A6D45C2"/>
    <w:rsid w:val="6A9A31A7"/>
    <w:rsid w:val="6B9755A6"/>
    <w:rsid w:val="6BAD69DE"/>
    <w:rsid w:val="6CD92610"/>
    <w:rsid w:val="6DB477EA"/>
    <w:rsid w:val="6DCB62B1"/>
    <w:rsid w:val="6EB0197E"/>
    <w:rsid w:val="6FBB2D5E"/>
    <w:rsid w:val="6FC3279B"/>
    <w:rsid w:val="70BD0596"/>
    <w:rsid w:val="71033AF8"/>
    <w:rsid w:val="719455E7"/>
    <w:rsid w:val="71CD2586"/>
    <w:rsid w:val="71CE42C3"/>
    <w:rsid w:val="71E92F01"/>
    <w:rsid w:val="721469FD"/>
    <w:rsid w:val="72983E98"/>
    <w:rsid w:val="72E14F57"/>
    <w:rsid w:val="732756B1"/>
    <w:rsid w:val="73681879"/>
    <w:rsid w:val="73F92CEC"/>
    <w:rsid w:val="744728EE"/>
    <w:rsid w:val="748D00FE"/>
    <w:rsid w:val="74D30849"/>
    <w:rsid w:val="74E155D4"/>
    <w:rsid w:val="75DC3786"/>
    <w:rsid w:val="762878B8"/>
    <w:rsid w:val="764F6C19"/>
    <w:rsid w:val="76D90BB3"/>
    <w:rsid w:val="76F442AB"/>
    <w:rsid w:val="78F148D9"/>
    <w:rsid w:val="7919490C"/>
    <w:rsid w:val="793623AB"/>
    <w:rsid w:val="7A5A3131"/>
    <w:rsid w:val="7A9711A9"/>
    <w:rsid w:val="7B19105B"/>
    <w:rsid w:val="7B3A2568"/>
    <w:rsid w:val="7B845591"/>
    <w:rsid w:val="7BF344C5"/>
    <w:rsid w:val="7CCD6C4F"/>
    <w:rsid w:val="7DCB2E47"/>
    <w:rsid w:val="7DDB16B4"/>
    <w:rsid w:val="7EBC32DE"/>
    <w:rsid w:val="7FBA5628"/>
    <w:rsid w:val="7FCB5E84"/>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26"/>
    <w:qFormat/>
    <w:uiPriority w:val="0"/>
    <w:pPr>
      <w:wordWrap w:val="0"/>
      <w:spacing w:line="720" w:lineRule="auto"/>
      <w:jc w:val="left"/>
      <w:outlineLvl w:val="0"/>
    </w:pPr>
    <w:rPr>
      <w:rFonts w:ascii="宋体" w:hAnsi="宋体" w:cs="宋体"/>
      <w:b/>
      <w:bCs/>
      <w:kern w:val="44"/>
      <w:sz w:val="32"/>
      <w:szCs w:val="32"/>
    </w:rPr>
  </w:style>
  <w:style w:type="paragraph" w:styleId="7">
    <w:name w:val="heading 2"/>
    <w:basedOn w:val="1"/>
    <w:next w:val="1"/>
    <w:link w:val="25"/>
    <w:unhideWhenUsed/>
    <w:qFormat/>
    <w:uiPriority w:val="0"/>
    <w:pPr>
      <w:wordWrap w:val="0"/>
      <w:spacing w:line="600" w:lineRule="auto"/>
      <w:jc w:val="center"/>
      <w:outlineLvl w:val="1"/>
    </w:pPr>
    <w:rPr>
      <w:rFonts w:ascii="宋体" w:hAnsi="宋体" w:cs="宋体"/>
      <w:b/>
      <w:bCs/>
      <w:sz w:val="32"/>
      <w:szCs w:val="28"/>
    </w:rPr>
  </w:style>
  <w:style w:type="paragraph" w:styleId="8">
    <w:name w:val="heading 3"/>
    <w:basedOn w:val="1"/>
    <w:next w:val="1"/>
    <w:unhideWhenUsed/>
    <w:qFormat/>
    <w:uiPriority w:val="0"/>
    <w:pPr>
      <w:wordWrap w:val="0"/>
      <w:spacing w:line="360" w:lineRule="auto"/>
      <w:ind w:firstLine="720" w:firstLineChars="200"/>
      <w:jc w:val="left"/>
      <w:outlineLvl w:val="2"/>
    </w:pPr>
    <w:rPr>
      <w:rFonts w:ascii="宋体" w:hAnsi="宋体" w:cs="宋体"/>
      <w:b/>
      <w:bCs/>
      <w:sz w:val="24"/>
      <w:szCs w:val="28"/>
    </w:rPr>
  </w:style>
  <w:style w:type="paragraph" w:styleId="9">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3"/>
    <w:qFormat/>
    <w:uiPriority w:val="0"/>
    <w:pPr>
      <w:snapToGrid w:val="0"/>
    </w:pPr>
    <w:rPr>
      <w:rFonts w:ascii="Arial" w:hAnsi="Arial" w:cs="Arial"/>
      <w:szCs w:val="24"/>
    </w:rPr>
  </w:style>
  <w:style w:type="paragraph" w:styleId="5">
    <w:name w:val="List"/>
    <w:basedOn w:val="1"/>
    <w:qFormat/>
    <w:uiPriority w:val="0"/>
    <w:pPr>
      <w:ind w:left="420" w:hanging="420"/>
    </w:pPr>
    <w:rPr>
      <w:rFonts w:ascii="Arial" w:hAnsi="Arial" w:eastAsia="楷体_GB2312"/>
      <w:sz w:val="28"/>
    </w:rPr>
  </w:style>
  <w:style w:type="paragraph" w:styleId="10">
    <w:name w:val="Normal Indent"/>
    <w:basedOn w:val="1"/>
    <w:qFormat/>
    <w:uiPriority w:val="0"/>
    <w:pPr>
      <w:ind w:firstLine="420"/>
    </w:pPr>
    <w:rPr>
      <w:szCs w:val="20"/>
    </w:rPr>
  </w:style>
  <w:style w:type="paragraph" w:styleId="11">
    <w:name w:val="annotation text"/>
    <w:basedOn w:val="1"/>
    <w:qFormat/>
    <w:uiPriority w:val="0"/>
    <w:pPr>
      <w:jc w:val="left"/>
    </w:pPr>
  </w:style>
  <w:style w:type="paragraph" w:styleId="12">
    <w:name w:val="Body Text"/>
    <w:basedOn w:val="1"/>
    <w:next w:val="1"/>
    <w:qFormat/>
    <w:uiPriority w:val="0"/>
    <w:pPr>
      <w:spacing w:line="900" w:lineRule="exact"/>
    </w:pPr>
    <w:rPr>
      <w:rFonts w:ascii="黑体" w:hAnsi="华文细黑" w:eastAsia="黑体"/>
      <w:bCs/>
      <w:w w:val="90"/>
      <w:sz w:val="72"/>
      <w:szCs w:val="84"/>
    </w:rPr>
  </w:style>
  <w:style w:type="paragraph" w:styleId="13">
    <w:name w:val="toc 3"/>
    <w:basedOn w:val="1"/>
    <w:next w:val="1"/>
    <w:qFormat/>
    <w:uiPriority w:val="39"/>
    <w:pPr>
      <w:spacing w:line="360" w:lineRule="auto"/>
      <w:ind w:left="768" w:leftChars="400"/>
      <w:jc w:val="left"/>
    </w:pPr>
    <w:rPr>
      <w:rFonts w:ascii="宋体" w:hAnsi="宋体" w:cs="宋体"/>
      <w:iCs/>
      <w:sz w:val="24"/>
      <w:szCs w:val="28"/>
    </w:rPr>
  </w:style>
  <w:style w:type="paragraph" w:styleId="14">
    <w:name w:val="Plain Text"/>
    <w:basedOn w:val="1"/>
    <w:qFormat/>
    <w:uiPriority w:val="0"/>
    <w:rPr>
      <w:rFonts w:ascii="宋体" w:hAnsi="Courier New"/>
      <w:szCs w:val="20"/>
    </w:rPr>
  </w:style>
  <w:style w:type="paragraph" w:styleId="15">
    <w:name w:val="footer"/>
    <w:basedOn w:val="1"/>
    <w:qFormat/>
    <w:uiPriority w:val="0"/>
    <w:pPr>
      <w:tabs>
        <w:tab w:val="center" w:pos="4153"/>
        <w:tab w:val="right" w:pos="8306"/>
      </w:tabs>
      <w:snapToGrid w:val="0"/>
      <w:jc w:val="left"/>
    </w:pPr>
    <w:rPr>
      <w:sz w:val="24"/>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jc w:val="left"/>
    </w:pPr>
    <w:rPr>
      <w:rFonts w:ascii="宋体" w:hAnsi="宋体" w:cs="宋体"/>
      <w:b/>
      <w:caps/>
      <w:sz w:val="28"/>
      <w:szCs w:val="32"/>
    </w:rPr>
  </w:style>
  <w:style w:type="paragraph" w:styleId="18">
    <w:name w:val="toc 2"/>
    <w:basedOn w:val="1"/>
    <w:next w:val="1"/>
    <w:qFormat/>
    <w:uiPriority w:val="39"/>
    <w:pPr>
      <w:tabs>
        <w:tab w:val="right" w:leader="dot" w:pos="9403"/>
      </w:tabs>
      <w:spacing w:line="360" w:lineRule="auto"/>
      <w:ind w:left="384" w:leftChars="200"/>
      <w:jc w:val="left"/>
    </w:pPr>
    <w:rPr>
      <w:rFonts w:ascii="宋体" w:hAnsi="宋体" w:cs="宋体"/>
      <w:b/>
      <w:bCs/>
      <w:smallCaps/>
      <w:sz w:val="24"/>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0"/>
    <w:rPr>
      <w:color w:val="0000FF"/>
      <w:u w:val="single"/>
    </w:rPr>
  </w:style>
  <w:style w:type="paragraph" w:customStyle="1" w:styleId="23">
    <w:name w:val="冰"/>
    <w:qFormat/>
    <w:uiPriority w:val="0"/>
    <w:pPr>
      <w:wordWrap w:val="0"/>
      <w:spacing w:line="360" w:lineRule="auto"/>
      <w:ind w:firstLine="720" w:firstLineChars="200"/>
    </w:pPr>
    <w:rPr>
      <w:rFonts w:ascii="宋体" w:hAnsi="宋体" w:eastAsia="宋体" w:cs="宋体"/>
      <w:kern w:val="2"/>
      <w:sz w:val="28"/>
      <w:szCs w:val="28"/>
      <w:lang w:val="en-US" w:eastAsia="zh-CN" w:bidi="ar-SA"/>
    </w:rPr>
  </w:style>
  <w:style w:type="paragraph" w:customStyle="1" w:styleId="24">
    <w:name w:val="婵"/>
    <w:qFormat/>
    <w:uiPriority w:val="0"/>
    <w:pPr>
      <w:wordWrap w:val="0"/>
      <w:spacing w:line="360" w:lineRule="auto"/>
      <w:ind w:firstLine="720" w:firstLineChars="200"/>
    </w:pPr>
    <w:rPr>
      <w:rFonts w:ascii="宋体" w:hAnsi="宋体" w:eastAsia="宋体" w:cs="宋体"/>
      <w:kern w:val="2"/>
      <w:sz w:val="24"/>
      <w:szCs w:val="24"/>
      <w:lang w:val="en-US" w:eastAsia="zh-CN" w:bidi="ar-SA"/>
    </w:rPr>
  </w:style>
  <w:style w:type="character" w:customStyle="1" w:styleId="25">
    <w:name w:val="标题 2 Char"/>
    <w:link w:val="7"/>
    <w:qFormat/>
    <w:uiPriority w:val="0"/>
    <w:rPr>
      <w:rFonts w:ascii="宋体" w:hAnsi="宋体" w:eastAsia="宋体" w:cs="宋体"/>
      <w:b/>
      <w:bCs/>
      <w:sz w:val="32"/>
      <w:szCs w:val="28"/>
    </w:rPr>
  </w:style>
  <w:style w:type="character" w:customStyle="1" w:styleId="26">
    <w:name w:val="标题 1 Char"/>
    <w:link w:val="6"/>
    <w:qFormat/>
    <w:uiPriority w:val="0"/>
    <w:rPr>
      <w:rFonts w:ascii="宋体" w:hAnsi="宋体" w:eastAsia="宋体" w:cs="宋体"/>
      <w:b/>
      <w:bCs/>
      <w:kern w:val="44"/>
      <w:sz w:val="32"/>
      <w:szCs w:val="32"/>
    </w:rPr>
  </w:style>
  <w:style w:type="paragraph" w:customStyle="1" w:styleId="27">
    <w:name w:val="p0"/>
    <w:basedOn w:val="1"/>
    <w:qFormat/>
    <w:uiPriority w:val="0"/>
    <w:pPr>
      <w:widowControl/>
    </w:pPr>
    <w:rPr>
      <w:rFonts w:ascii="Times New Roman" w:hAnsi="Times New Roman"/>
      <w:kern w:val="0"/>
      <w:szCs w:val="21"/>
    </w:rPr>
  </w:style>
  <w:style w:type="paragraph" w:customStyle="1" w:styleId="28">
    <w:name w:val="GW-正文"/>
    <w:basedOn w:val="1"/>
    <w:qFormat/>
    <w:uiPriority w:val="0"/>
    <w:pPr>
      <w:spacing w:line="360" w:lineRule="auto"/>
      <w:ind w:firstLine="200" w:firstLineChars="200"/>
      <w:contextualSpacing/>
    </w:pPr>
    <w:rPr>
      <w:szCs w:val="24"/>
      <w:lang w:val="zh-CN"/>
    </w:rPr>
  </w:style>
  <w:style w:type="paragraph" w:customStyle="1" w:styleId="29">
    <w:name w:val="msolistparagraph"/>
    <w:basedOn w:val="1"/>
    <w:qFormat/>
    <w:uiPriority w:val="0"/>
    <w:pPr>
      <w:ind w:firstLine="420" w:firstLineChars="200"/>
    </w:pPr>
  </w:style>
  <w:style w:type="paragraph" w:customStyle="1" w:styleId="30">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H2"/>
    <w:basedOn w:val="8"/>
    <w:next w:val="1"/>
    <w:qFormat/>
    <w:uiPriority w:val="0"/>
    <w:pPr>
      <w:jc w:val="center"/>
    </w:pPr>
    <w:rPr>
      <w:rFonts w:cs="Arial"/>
      <w:color w:val="000000"/>
      <w:sz w:val="21"/>
      <w:szCs w:val="21"/>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35141</Words>
  <Characters>36785</Characters>
  <Lines>301</Lines>
  <Paragraphs>85</Paragraphs>
  <TotalTime>7</TotalTime>
  <ScaleCrop>false</ScaleCrop>
  <LinksUpToDate>false</LinksUpToDate>
  <CharactersWithSpaces>37550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2021-07-30T05:50:00Z</dcterms:created>
  <dc:creator>Administrator</dc:creator>
  <cp:lastModifiedBy>哒哒有只罗威纳</cp:lastModifiedBy>
  <cp:lastPrinted>2024-07-12T02:52:00Z</cp:lastPrinted>
  <dcterms:modified xsi:type="dcterms:W3CDTF">2024-07-26T02:06:08Z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7CE70D2B3C8A44F194347A6A8A172288_13</vt:lpwstr>
  </property>
</Properties>
</file>