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auto"/>
        <w:jc w:val="center"/>
        <w:rPr>
          <w:rFonts w:ascii="宋体" w:hAnsi="宋体" w:cs="宋体"/>
          <w:snapToGrid w:val="0"/>
          <w:kern w:val="0"/>
          <w:sz w:val="28"/>
          <w:szCs w:val="28"/>
        </w:rPr>
      </w:pPr>
      <w:r>
        <w:rPr>
          <w:rFonts w:hint="eastAsia" w:ascii="宋体" w:hAnsi="宋体" w:cs="宋体"/>
          <w:snapToGrid w:val="0"/>
          <w:kern w:val="0"/>
          <w:sz w:val="28"/>
          <w:szCs w:val="28"/>
        </w:rPr>
        <w:t>采购项目：皖北卫生职业学院</w:t>
      </w:r>
      <w:r>
        <w:rPr>
          <w:rFonts w:hint="eastAsia" w:ascii="宋体" w:hAnsi="宋体" w:cs="宋体"/>
          <w:snapToGrid w:val="0"/>
          <w:kern w:val="0"/>
          <w:sz w:val="28"/>
          <w:szCs w:val="28"/>
          <w:lang w:val="en-US" w:eastAsia="zh-CN"/>
        </w:rPr>
        <w:t>第二食堂</w:t>
      </w:r>
      <w:r>
        <w:rPr>
          <w:rFonts w:hint="eastAsia" w:ascii="宋体" w:hAnsi="宋体" w:cs="宋体"/>
          <w:snapToGrid w:val="0"/>
          <w:kern w:val="0"/>
          <w:sz w:val="28"/>
          <w:szCs w:val="28"/>
        </w:rPr>
        <w:t>经营服务项目</w:t>
      </w:r>
    </w:p>
    <w:p>
      <w:pPr>
        <w:tabs>
          <w:tab w:val="left" w:pos="420"/>
        </w:tabs>
        <w:wordWrap w:val="0"/>
        <w:spacing w:line="600" w:lineRule="auto"/>
        <w:jc w:val="center"/>
        <w:rPr>
          <w:rFonts w:ascii="宋体" w:hAnsi="宋体" w:cs="宋体"/>
          <w:snapToGrid w:val="0"/>
          <w:kern w:val="0"/>
          <w:sz w:val="28"/>
          <w:szCs w:val="28"/>
        </w:rPr>
      </w:pPr>
      <w:r>
        <w:rPr>
          <w:rFonts w:hint="eastAsia" w:ascii="宋体" w:hAnsi="宋体" w:cs="宋体"/>
          <w:snapToGrid w:val="0"/>
          <w:kern w:val="0"/>
          <w:sz w:val="28"/>
          <w:szCs w:val="28"/>
        </w:rPr>
        <w:t>项目编号：</w:t>
      </w:r>
    </w:p>
    <w:p>
      <w:pPr>
        <w:tabs>
          <w:tab w:val="left" w:pos="420"/>
        </w:tabs>
        <w:wordWrap w:val="0"/>
        <w:spacing w:line="360" w:lineRule="auto"/>
        <w:rPr>
          <w:rFonts w:ascii="宋体" w:hAnsi="宋体" w:cs="宋体"/>
          <w:snapToGrid w:val="0"/>
          <w:kern w:val="0"/>
          <w:sz w:val="28"/>
          <w:szCs w:val="28"/>
        </w:rPr>
      </w:pPr>
    </w:p>
    <w:p>
      <w:pPr>
        <w:tabs>
          <w:tab w:val="left" w:pos="315"/>
          <w:tab w:val="left" w:pos="8820"/>
        </w:tabs>
        <w:wordWrap w:val="0"/>
        <w:spacing w:line="360" w:lineRule="auto"/>
        <w:jc w:val="center"/>
        <w:rPr>
          <w:rFonts w:ascii="宋体" w:hAnsi="宋体" w:cs="宋体"/>
          <w:b/>
          <w:bCs/>
          <w:snapToGrid w:val="0"/>
          <w:kern w:val="0"/>
          <w:sz w:val="72"/>
          <w:szCs w:val="72"/>
        </w:rPr>
      </w:pP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招</w:t>
      </w: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标</w:t>
      </w: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文</w:t>
      </w:r>
    </w:p>
    <w:p>
      <w:pPr>
        <w:tabs>
          <w:tab w:val="left" w:pos="315"/>
          <w:tab w:val="left" w:pos="8820"/>
        </w:tabs>
        <w:wordWrap w:val="0"/>
        <w:spacing w:line="360" w:lineRule="auto"/>
        <w:jc w:val="center"/>
        <w:rPr>
          <w:rFonts w:ascii="宋体" w:hAnsi="宋体" w:cs="宋体"/>
          <w:b/>
          <w:bCs/>
          <w:snapToGrid w:val="0"/>
          <w:kern w:val="0"/>
          <w:sz w:val="72"/>
          <w:szCs w:val="72"/>
        </w:rPr>
      </w:pPr>
      <w:r>
        <w:rPr>
          <w:rFonts w:hint="eastAsia" w:ascii="宋体" w:hAnsi="宋体" w:cs="宋体"/>
          <w:b/>
          <w:bCs/>
          <w:snapToGrid w:val="0"/>
          <w:kern w:val="0"/>
          <w:sz w:val="72"/>
          <w:szCs w:val="72"/>
        </w:rPr>
        <w:t>件</w:t>
      </w:r>
    </w:p>
    <w:p>
      <w:pPr>
        <w:tabs>
          <w:tab w:val="left" w:pos="315"/>
          <w:tab w:val="left" w:pos="8820"/>
        </w:tabs>
        <w:wordWrap w:val="0"/>
        <w:spacing w:line="500" w:lineRule="exact"/>
        <w:jc w:val="center"/>
        <w:rPr>
          <w:rFonts w:ascii="宋体" w:hAnsi="宋体" w:cs="宋体"/>
          <w:snapToGrid w:val="0"/>
          <w:kern w:val="0"/>
          <w:sz w:val="44"/>
        </w:rPr>
      </w:pPr>
    </w:p>
    <w:p>
      <w:pPr>
        <w:tabs>
          <w:tab w:val="left" w:pos="315"/>
          <w:tab w:val="left" w:pos="8820"/>
        </w:tabs>
        <w:wordWrap w:val="0"/>
        <w:spacing w:line="500" w:lineRule="exact"/>
        <w:jc w:val="center"/>
        <w:rPr>
          <w:rFonts w:ascii="宋体" w:hAnsi="宋体" w:cs="宋体"/>
          <w:snapToGrid w:val="0"/>
          <w:kern w:val="0"/>
          <w:sz w:val="44"/>
        </w:rPr>
      </w:pPr>
    </w:p>
    <w:p>
      <w:pPr>
        <w:tabs>
          <w:tab w:val="left" w:pos="315"/>
          <w:tab w:val="left" w:pos="8820"/>
        </w:tabs>
        <w:wordWrap w:val="0"/>
        <w:spacing w:line="500" w:lineRule="exact"/>
        <w:jc w:val="center"/>
        <w:rPr>
          <w:rFonts w:ascii="宋体" w:hAnsi="宋体" w:cs="宋体"/>
          <w:snapToGrid w:val="0"/>
          <w:kern w:val="0"/>
          <w:sz w:val="48"/>
          <w:szCs w:val="24"/>
        </w:rPr>
      </w:pP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采购人：</w:t>
      </w:r>
      <w:r>
        <w:rPr>
          <w:rFonts w:hint="eastAsia" w:ascii="宋体" w:hAnsi="宋体" w:cs="宋体"/>
          <w:snapToGrid w:val="0"/>
          <w:kern w:val="0"/>
          <w:sz w:val="32"/>
          <w:szCs w:val="32"/>
        </w:rPr>
        <w:tab/>
      </w:r>
      <w:r>
        <w:rPr>
          <w:rFonts w:hint="eastAsia" w:ascii="宋体" w:hAnsi="宋体" w:cs="宋体"/>
          <w:snapToGrid w:val="0"/>
          <w:kern w:val="0"/>
          <w:sz w:val="32"/>
          <w:szCs w:val="32"/>
        </w:rPr>
        <w:t>皖北卫生职业学院 （盖章）</w:t>
      </w: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代理机构：</w:t>
      </w:r>
      <w:r>
        <w:rPr>
          <w:rFonts w:hint="eastAsia" w:ascii="宋体" w:hAnsi="宋体" w:cs="宋体"/>
          <w:snapToGrid w:val="0"/>
          <w:kern w:val="0"/>
          <w:sz w:val="32"/>
          <w:szCs w:val="32"/>
        </w:rPr>
        <w:tab/>
      </w:r>
      <w:r>
        <w:rPr>
          <w:rFonts w:hint="eastAsia" w:ascii="宋体" w:hAnsi="宋体" w:cs="宋体"/>
          <w:snapToGrid w:val="0"/>
          <w:kern w:val="0"/>
          <w:sz w:val="32"/>
          <w:szCs w:val="32"/>
          <w:lang w:val="en-US" w:eastAsia="zh-CN"/>
        </w:rPr>
        <w:t xml:space="preserve">   </w:t>
      </w:r>
      <w:r>
        <w:rPr>
          <w:rFonts w:hint="eastAsia" w:ascii="宋体" w:hAnsi="宋体" w:cs="宋体"/>
          <w:snapToGrid w:val="0"/>
          <w:kern w:val="0"/>
          <w:sz w:val="32"/>
          <w:szCs w:val="32"/>
        </w:rPr>
        <w:t>有限公司（盖章）</w:t>
      </w: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监督部门：</w:t>
      </w:r>
      <w:r>
        <w:rPr>
          <w:rFonts w:hint="eastAsia" w:ascii="宋体" w:hAnsi="宋体" w:cs="宋体"/>
          <w:snapToGrid w:val="0"/>
          <w:kern w:val="0"/>
          <w:sz w:val="32"/>
          <w:szCs w:val="32"/>
        </w:rPr>
        <w:tab/>
      </w:r>
      <w:r>
        <w:rPr>
          <w:rFonts w:hint="eastAsia" w:ascii="宋体" w:hAnsi="宋体" w:cs="宋体"/>
          <w:snapToGrid w:val="0"/>
          <w:kern w:val="0"/>
          <w:sz w:val="32"/>
          <w:szCs w:val="32"/>
        </w:rPr>
        <w:t>皖北卫生职业学院</w:t>
      </w:r>
    </w:p>
    <w:p>
      <w:pPr>
        <w:wordWrap w:val="0"/>
        <w:jc w:val="center"/>
        <w:rPr>
          <w:rFonts w:ascii="宋体" w:hAnsi="宋体" w:cs="宋体"/>
          <w:snapToGrid w:val="0"/>
          <w:kern w:val="0"/>
          <w:sz w:val="32"/>
          <w:szCs w:val="32"/>
        </w:rPr>
      </w:pPr>
      <w:r>
        <w:rPr>
          <w:rFonts w:hint="eastAsia" w:ascii="宋体" w:hAnsi="宋体" w:cs="宋体"/>
          <w:snapToGrid w:val="0"/>
          <w:kern w:val="0"/>
          <w:sz w:val="32"/>
          <w:szCs w:val="32"/>
        </w:rPr>
        <w:t>202</w:t>
      </w:r>
      <w:r>
        <w:rPr>
          <w:rFonts w:hint="eastAsia" w:ascii="宋体" w:hAnsi="宋体" w:cs="宋体"/>
          <w:snapToGrid w:val="0"/>
          <w:kern w:val="0"/>
          <w:sz w:val="32"/>
          <w:szCs w:val="32"/>
          <w:lang w:val="en-US" w:eastAsia="zh-CN"/>
        </w:rPr>
        <w:t>4</w:t>
      </w:r>
      <w:r>
        <w:rPr>
          <w:rFonts w:hint="eastAsia" w:ascii="宋体" w:hAnsi="宋体" w:cs="宋体"/>
          <w:snapToGrid w:val="0"/>
          <w:kern w:val="0"/>
          <w:sz w:val="32"/>
          <w:szCs w:val="32"/>
        </w:rPr>
        <w:t>年0</w:t>
      </w:r>
      <w:r>
        <w:rPr>
          <w:rFonts w:hint="eastAsia" w:ascii="宋体" w:hAnsi="宋体" w:cs="宋体"/>
          <w:snapToGrid w:val="0"/>
          <w:kern w:val="0"/>
          <w:sz w:val="32"/>
          <w:szCs w:val="32"/>
          <w:lang w:val="en-US" w:eastAsia="zh-CN"/>
        </w:rPr>
        <w:t>7</w:t>
      </w:r>
      <w:r>
        <w:rPr>
          <w:rFonts w:hint="eastAsia" w:ascii="宋体" w:hAnsi="宋体" w:cs="宋体"/>
          <w:snapToGrid w:val="0"/>
          <w:kern w:val="0"/>
          <w:sz w:val="32"/>
          <w:szCs w:val="32"/>
        </w:rPr>
        <w:t>月</w:t>
      </w:r>
    </w:p>
    <w:p>
      <w:pPr>
        <w:wordWrap w:val="0"/>
        <w:jc w:val="center"/>
        <w:rPr>
          <w:rFonts w:ascii="宋体" w:hAnsi="宋体" w:cs="宋体"/>
          <w:snapToGrid w:val="0"/>
          <w:kern w:val="0"/>
          <w:sz w:val="28"/>
          <w:szCs w:val="28"/>
        </w:rPr>
      </w:pPr>
    </w:p>
    <w:p>
      <w:pPr>
        <w:wordWrap w:val="0"/>
        <w:rPr>
          <w:rFonts w:ascii="宋体" w:hAnsi="宋体" w:cs="宋体"/>
          <w:b/>
          <w:snapToGrid w:val="0"/>
          <w:kern w:val="0"/>
          <w:sz w:val="32"/>
          <w:szCs w:val="32"/>
        </w:rPr>
      </w:pPr>
      <w:r>
        <w:rPr>
          <w:rFonts w:hint="eastAsia" w:ascii="宋体" w:hAnsi="宋体" w:cs="宋体"/>
          <w:b/>
          <w:snapToGrid w:val="0"/>
          <w:kern w:val="0"/>
          <w:sz w:val="32"/>
          <w:szCs w:val="32"/>
        </w:rPr>
        <w:br w:type="page"/>
      </w:r>
    </w:p>
    <w:p>
      <w:pPr>
        <w:jc w:val="center"/>
        <w:rPr>
          <w:b/>
          <w:sz w:val="32"/>
          <w:szCs w:val="32"/>
        </w:rPr>
      </w:pPr>
      <w:r>
        <w:rPr>
          <w:b/>
          <w:sz w:val="32"/>
          <w:szCs w:val="32"/>
        </w:rPr>
        <w:t>监督部门和交易平台</w:t>
      </w:r>
    </w:p>
    <w:p>
      <w:pPr>
        <w:pStyle w:val="31"/>
        <w:ind w:firstLine="520"/>
        <w:jc w:val="left"/>
        <w:rPr>
          <w:rFonts w:ascii="黑体" w:hAnsi="黑体" w:eastAsia="黑体"/>
          <w:sz w:val="28"/>
          <w:szCs w:val="28"/>
        </w:rPr>
      </w:pPr>
    </w:p>
    <w:p>
      <w:pPr>
        <w:pStyle w:val="31"/>
        <w:ind w:firstLine="520"/>
        <w:jc w:val="left"/>
        <w:rPr>
          <w:rFonts w:ascii="黑体" w:hAnsi="黑体" w:eastAsia="黑体"/>
          <w:sz w:val="28"/>
          <w:szCs w:val="28"/>
        </w:rPr>
      </w:pPr>
      <w:r>
        <w:rPr>
          <w:rFonts w:hint="eastAsia" w:ascii="黑体" w:hAnsi="黑体" w:eastAsia="黑体"/>
          <w:sz w:val="28"/>
          <w:szCs w:val="28"/>
        </w:rPr>
        <w:t>一、本项目监督部门：</w:t>
      </w:r>
      <w:r>
        <w:rPr>
          <w:rFonts w:hint="eastAsia" w:ascii="黑体" w:hAnsi="黑体" w:eastAsia="黑体"/>
          <w:sz w:val="28"/>
          <w:szCs w:val="28"/>
          <w:u w:val="single"/>
        </w:rPr>
        <w:t xml:space="preserve">  皖北卫生职业学院</w:t>
      </w:r>
    </w:p>
    <w:p>
      <w:pPr>
        <w:ind w:firstLine="522" w:firstLineChars="200"/>
        <w:jc w:val="left"/>
        <w:rPr>
          <w:rFonts w:ascii="宋体" w:hAnsi="宋体"/>
          <w:sz w:val="28"/>
          <w:szCs w:val="28"/>
        </w:rPr>
      </w:pPr>
    </w:p>
    <w:p>
      <w:pPr>
        <w:ind w:firstLine="522" w:firstLineChars="200"/>
        <w:jc w:val="left"/>
        <w:rPr>
          <w:rFonts w:ascii="宋体" w:hAnsi="宋体"/>
          <w:sz w:val="28"/>
          <w:szCs w:val="28"/>
          <w:u w:val="single"/>
        </w:rPr>
      </w:pPr>
      <w:r>
        <w:rPr>
          <w:rFonts w:hint="eastAsia" w:ascii="宋体" w:hAnsi="宋体"/>
          <w:sz w:val="28"/>
          <w:szCs w:val="28"/>
        </w:rPr>
        <w:t>地址：</w:t>
      </w:r>
    </w:p>
    <w:p>
      <w:pPr>
        <w:ind w:firstLine="522" w:firstLineChars="200"/>
        <w:jc w:val="left"/>
        <w:rPr>
          <w:rFonts w:ascii="宋体" w:hAnsi="宋体"/>
          <w:sz w:val="28"/>
          <w:szCs w:val="28"/>
        </w:rPr>
      </w:pPr>
    </w:p>
    <w:p>
      <w:pPr>
        <w:ind w:firstLine="522" w:firstLineChars="200"/>
        <w:jc w:val="left"/>
        <w:rPr>
          <w:rFonts w:ascii="黑体" w:hAnsi="黑体"/>
          <w:sz w:val="28"/>
          <w:szCs w:val="28"/>
          <w:u w:val="single"/>
        </w:rPr>
      </w:pPr>
      <w:r>
        <w:rPr>
          <w:rFonts w:hint="eastAsia" w:ascii="宋体" w:hAnsi="宋体"/>
          <w:sz w:val="28"/>
          <w:szCs w:val="28"/>
        </w:rPr>
        <w:t>监督电话：</w:t>
      </w:r>
    </w:p>
    <w:p>
      <w:pPr>
        <w:ind w:firstLine="914" w:firstLineChars="350"/>
        <w:jc w:val="left"/>
        <w:rPr>
          <w:rFonts w:ascii="黑体" w:hAnsi="黑体" w:eastAsia="黑体"/>
          <w:sz w:val="28"/>
          <w:szCs w:val="28"/>
          <w:u w:val="single"/>
        </w:rPr>
      </w:pPr>
    </w:p>
    <w:p>
      <w:pPr>
        <w:ind w:firstLine="914" w:firstLineChars="350"/>
        <w:jc w:val="left"/>
        <w:rPr>
          <w:rFonts w:ascii="黑体" w:hAnsi="黑体" w:eastAsia="黑体"/>
          <w:sz w:val="28"/>
          <w:szCs w:val="28"/>
        </w:rPr>
      </w:pPr>
    </w:p>
    <w:p>
      <w:pPr>
        <w:ind w:firstLine="914" w:firstLineChars="350"/>
        <w:jc w:val="left"/>
        <w:rPr>
          <w:rFonts w:ascii="黑体" w:hAnsi="黑体" w:eastAsia="黑体"/>
          <w:sz w:val="28"/>
          <w:szCs w:val="28"/>
        </w:rPr>
      </w:pPr>
    </w:p>
    <w:p>
      <w:pPr>
        <w:ind w:firstLine="522" w:firstLineChars="200"/>
        <w:jc w:val="left"/>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本项目交易平台所在地</w:t>
      </w:r>
      <w:r>
        <w:rPr>
          <w:rFonts w:hint="eastAsia" w:ascii="黑体" w:hAnsi="黑体" w:eastAsia="黑体"/>
          <w:sz w:val="28"/>
          <w:szCs w:val="28"/>
        </w:rPr>
        <w:t>：</w:t>
      </w:r>
      <w:r>
        <w:rPr>
          <w:rFonts w:hint="eastAsia" w:ascii="黑体" w:hAnsi="黑体" w:eastAsia="黑体"/>
          <w:sz w:val="28"/>
          <w:szCs w:val="28"/>
          <w:u w:val="single"/>
        </w:rPr>
        <w:t>宿州市</w:t>
      </w:r>
      <w:r>
        <w:rPr>
          <w:rFonts w:ascii="黑体" w:hAnsi="黑体" w:eastAsia="黑体"/>
          <w:sz w:val="28"/>
          <w:szCs w:val="28"/>
        </w:rPr>
        <w:t>公共资源交易中心</w:t>
      </w:r>
    </w:p>
    <w:p>
      <w:pPr>
        <w:pStyle w:val="31"/>
        <w:ind w:firstLine="0" w:firstLineChars="0"/>
        <w:jc w:val="left"/>
        <w:rPr>
          <w:rFonts w:ascii="黑体" w:hAnsi="黑体" w:eastAsia="黑体"/>
          <w:sz w:val="28"/>
          <w:szCs w:val="28"/>
        </w:rPr>
      </w:pPr>
    </w:p>
    <w:p>
      <w:pPr>
        <w:pStyle w:val="31"/>
        <w:ind w:firstLine="520"/>
        <w:jc w:val="left"/>
        <w:rPr>
          <w:sz w:val="28"/>
          <w:szCs w:val="28"/>
          <w:u w:val="single"/>
        </w:rPr>
      </w:pPr>
      <w:r>
        <w:rPr>
          <w:sz w:val="28"/>
          <w:szCs w:val="28"/>
        </w:rPr>
        <w:t>地</w:t>
      </w:r>
      <w:r>
        <w:rPr>
          <w:rFonts w:hint="eastAsia"/>
          <w:sz w:val="28"/>
          <w:szCs w:val="28"/>
        </w:rPr>
        <w:t>址</w:t>
      </w:r>
      <w:r>
        <w:rPr>
          <w:sz w:val="28"/>
          <w:szCs w:val="28"/>
        </w:rPr>
        <w:t>：</w:t>
      </w:r>
      <w:r>
        <w:rPr>
          <w:rFonts w:hint="eastAsia"/>
          <w:sz w:val="28"/>
          <w:szCs w:val="28"/>
          <w:u w:val="single"/>
        </w:rPr>
        <w:t>宿州市埇桥区埇上路 566 号（市政务服务中心 5 楼）</w:t>
      </w:r>
    </w:p>
    <w:p>
      <w:pPr>
        <w:pStyle w:val="31"/>
        <w:ind w:firstLine="520"/>
        <w:jc w:val="left"/>
        <w:rPr>
          <w:sz w:val="28"/>
          <w:szCs w:val="28"/>
        </w:rPr>
      </w:pPr>
    </w:p>
    <w:p>
      <w:pPr>
        <w:pStyle w:val="31"/>
        <w:ind w:firstLine="520"/>
        <w:jc w:val="left"/>
        <w:rPr>
          <w:sz w:val="28"/>
          <w:szCs w:val="28"/>
        </w:rPr>
      </w:pPr>
      <w:r>
        <w:rPr>
          <w:sz w:val="28"/>
          <w:szCs w:val="28"/>
        </w:rPr>
        <w:t>电话：</w:t>
      </w:r>
      <w:r>
        <w:rPr>
          <w:rFonts w:hint="eastAsia"/>
          <w:sz w:val="28"/>
          <w:szCs w:val="28"/>
          <w:u w:val="single"/>
        </w:rPr>
        <w:t xml:space="preserve">       0557-3030329      </w:t>
      </w:r>
    </w:p>
    <w:p>
      <w:pPr>
        <w:pStyle w:val="31"/>
        <w:ind w:firstLine="520"/>
        <w:jc w:val="left"/>
        <w:rPr>
          <w:sz w:val="28"/>
          <w:szCs w:val="28"/>
        </w:rPr>
      </w:pPr>
    </w:p>
    <w:p>
      <w:pPr>
        <w:pStyle w:val="31"/>
        <w:ind w:firstLine="520"/>
        <w:jc w:val="left"/>
        <w:rPr>
          <w:sz w:val="28"/>
          <w:szCs w:val="28"/>
        </w:rPr>
      </w:pPr>
      <w:r>
        <w:rPr>
          <w:sz w:val="28"/>
          <w:szCs w:val="28"/>
        </w:rPr>
        <w:t>网址：http://</w:t>
      </w:r>
      <w:r>
        <w:rPr>
          <w:rFonts w:hint="eastAsia"/>
          <w:sz w:val="28"/>
          <w:szCs w:val="28"/>
          <w:u w:val="single"/>
        </w:rPr>
        <w:t xml:space="preserve"> ggzyjy.ahsz.gov.cn/  </w:t>
      </w:r>
    </w:p>
    <w:p>
      <w:pPr>
        <w:pStyle w:val="31"/>
        <w:ind w:firstLine="520"/>
        <w:jc w:val="left"/>
        <w:rPr>
          <w:sz w:val="28"/>
          <w:szCs w:val="28"/>
        </w:rPr>
      </w:pPr>
      <w:r>
        <w:rPr>
          <w:sz w:val="28"/>
          <w:szCs w:val="28"/>
        </w:rPr>
        <w:t>（保证金缴纳）户名：</w:t>
      </w:r>
      <w:r>
        <w:rPr>
          <w:rFonts w:hint="eastAsia"/>
          <w:sz w:val="28"/>
          <w:szCs w:val="28"/>
          <w:u w:val="single"/>
        </w:rPr>
        <w:t>/</w:t>
      </w:r>
    </w:p>
    <w:p>
      <w:pPr>
        <w:pStyle w:val="31"/>
        <w:ind w:firstLine="520"/>
        <w:jc w:val="left"/>
        <w:rPr>
          <w:sz w:val="28"/>
          <w:szCs w:val="28"/>
        </w:rPr>
      </w:pPr>
    </w:p>
    <w:p>
      <w:pPr>
        <w:pStyle w:val="31"/>
        <w:ind w:firstLine="520"/>
        <w:jc w:val="left"/>
        <w:rPr>
          <w:rFonts w:ascii="黑体" w:hAnsi="黑体"/>
          <w:sz w:val="28"/>
          <w:szCs w:val="28"/>
        </w:rPr>
      </w:pPr>
      <w:r>
        <w:rPr>
          <w:sz w:val="28"/>
          <w:szCs w:val="28"/>
        </w:rPr>
        <w:t>开户行：</w:t>
      </w:r>
      <w:r>
        <w:rPr>
          <w:rFonts w:hint="eastAsia"/>
          <w:sz w:val="28"/>
          <w:szCs w:val="28"/>
          <w:u w:val="single"/>
        </w:rPr>
        <w:t>/</w:t>
      </w:r>
    </w:p>
    <w:p>
      <w:pPr>
        <w:wordWrap w:val="0"/>
        <w:jc w:val="center"/>
        <w:rPr>
          <w:rFonts w:ascii="宋体" w:hAnsi="宋体" w:cs="宋体"/>
          <w:b/>
          <w:snapToGrid w:val="0"/>
          <w:kern w:val="0"/>
          <w:sz w:val="32"/>
          <w:szCs w:val="32"/>
        </w:rPr>
      </w:pPr>
    </w:p>
    <w:p>
      <w:pPr>
        <w:wordWrap w:val="0"/>
        <w:jc w:val="center"/>
        <w:rPr>
          <w:rFonts w:ascii="宋体" w:hAnsi="宋体" w:cs="宋体"/>
          <w:b/>
          <w:snapToGrid w:val="0"/>
          <w:kern w:val="0"/>
          <w:sz w:val="32"/>
          <w:szCs w:val="32"/>
        </w:rPr>
      </w:pPr>
    </w:p>
    <w:p>
      <w:pPr>
        <w:wordWrap w:val="0"/>
        <w:jc w:val="center"/>
        <w:rPr>
          <w:rFonts w:ascii="宋体" w:hAnsi="宋体" w:cs="宋体"/>
          <w:b/>
          <w:snapToGrid w:val="0"/>
          <w:kern w:val="0"/>
          <w:sz w:val="32"/>
          <w:szCs w:val="32"/>
        </w:rPr>
      </w:pPr>
    </w:p>
    <w:p>
      <w:pPr>
        <w:wordWrap w:val="0"/>
        <w:jc w:val="center"/>
        <w:rPr>
          <w:rFonts w:ascii="宋体" w:hAnsi="宋体" w:cs="宋体"/>
          <w:b/>
          <w:snapToGrid w:val="0"/>
          <w:kern w:val="0"/>
          <w:sz w:val="32"/>
          <w:szCs w:val="32"/>
        </w:rPr>
      </w:pPr>
    </w:p>
    <w:p>
      <w:pPr>
        <w:wordWrap w:val="0"/>
        <w:jc w:val="center"/>
        <w:rPr>
          <w:rFonts w:ascii="宋体" w:hAnsi="宋体" w:cs="宋体"/>
          <w:b/>
          <w:snapToGrid w:val="0"/>
          <w:kern w:val="0"/>
          <w:sz w:val="32"/>
          <w:szCs w:val="32"/>
        </w:rPr>
      </w:pPr>
      <w:r>
        <w:rPr>
          <w:rFonts w:hint="eastAsia" w:ascii="宋体" w:hAnsi="宋体" w:cs="宋体"/>
          <w:b/>
          <w:snapToGrid w:val="0"/>
          <w:kern w:val="0"/>
          <w:sz w:val="32"/>
          <w:szCs w:val="32"/>
        </w:rPr>
        <w:t>目录</w:t>
      </w:r>
    </w:p>
    <w:p>
      <w:pPr>
        <w:pStyle w:val="16"/>
        <w:tabs>
          <w:tab w:val="right" w:leader="dot" w:pos="9750"/>
        </w:tabs>
        <w:spacing w:line="520" w:lineRule="exact"/>
      </w:pPr>
      <w:r>
        <w:rPr>
          <w:rFonts w:hint="eastAsia"/>
          <w:caps w:val="0"/>
          <w:snapToGrid w:val="0"/>
          <w:kern w:val="0"/>
        </w:rPr>
        <w:fldChar w:fldCharType="begin"/>
      </w:r>
      <w:r>
        <w:rPr>
          <w:rFonts w:hint="eastAsia"/>
          <w:caps w:val="0"/>
          <w:snapToGrid w:val="0"/>
          <w:kern w:val="0"/>
        </w:rPr>
        <w:instrText xml:space="preserve"> TOC \o "1-3" \h \z \u </w:instrText>
      </w:r>
      <w:r>
        <w:rPr>
          <w:rFonts w:hint="eastAsia"/>
          <w:caps w:val="0"/>
          <w:snapToGrid w:val="0"/>
          <w:kern w:val="0"/>
        </w:rPr>
        <w:fldChar w:fldCharType="separate"/>
      </w:r>
      <w:r>
        <w:fldChar w:fldCharType="begin"/>
      </w:r>
      <w:r>
        <w:instrText xml:space="preserve"> HYPERLINK \l "_Toc5576" </w:instrText>
      </w:r>
      <w:r>
        <w:fldChar w:fldCharType="separate"/>
      </w:r>
      <w:r>
        <w:rPr>
          <w:rFonts w:hint="eastAsia"/>
          <w:caps w:val="0"/>
          <w:snapToGrid w:val="0"/>
          <w:kern w:val="0"/>
        </w:rPr>
        <w:t>招标文件第一部分（专用部分）</w:t>
      </w:r>
      <w:r>
        <w:tab/>
      </w:r>
      <w:r>
        <w:fldChar w:fldCharType="begin"/>
      </w:r>
      <w:r>
        <w:instrText xml:space="preserve"> PAGEREF _Toc5576 \h </w:instrText>
      </w:r>
      <w:r>
        <w:fldChar w:fldCharType="separate"/>
      </w:r>
      <w:r>
        <w:t>1</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"_Toc4967" </w:instrText>
      </w:r>
      <w:r>
        <w:fldChar w:fldCharType="separate"/>
      </w:r>
      <w:r>
        <w:rPr>
          <w:rFonts w:hint="eastAsia"/>
          <w:smallCaps w:val="0"/>
          <w:snapToGrid w:val="0"/>
          <w:kern w:val="0"/>
        </w:rPr>
        <w:t>第一章 招标公告</w:t>
      </w:r>
      <w:r>
        <w:tab/>
      </w:r>
      <w:r>
        <w:fldChar w:fldCharType="begin"/>
      </w:r>
      <w:r>
        <w:instrText xml:space="preserve"> PAGEREF _Toc4967 \h </w:instrText>
      </w:r>
      <w:r>
        <w:fldChar w:fldCharType="separate"/>
      </w:r>
      <w:r>
        <w:t>1</w:t>
      </w:r>
      <w:r>
        <w:fldChar w:fldCharType="end"/>
      </w:r>
      <w:r>
        <w:fldChar w:fldCharType="end"/>
      </w:r>
    </w:p>
    <w:p>
      <w:pPr>
        <w:pStyle w:val="12"/>
        <w:tabs>
          <w:tab w:val="right" w:leader="dot" w:pos="9750"/>
        </w:tabs>
        <w:spacing w:line="520" w:lineRule="exact"/>
        <w:ind w:left="761"/>
      </w:pPr>
      <w:r>
        <w:fldChar w:fldCharType="begin"/>
      </w:r>
      <w:r>
        <w:instrText xml:space="preserve"> HYPERLINK \l "_Toc28164" </w:instrText>
      </w:r>
      <w:r>
        <w:fldChar w:fldCharType="separate"/>
      </w:r>
      <w:r>
        <w:rPr>
          <w:rFonts w:hint="eastAsia"/>
          <w:snapToGrid w:val="0"/>
          <w:kern w:val="0"/>
          <w:szCs w:val="24"/>
        </w:rPr>
        <w:t>一、项目基本情况</w:t>
      </w:r>
      <w:r>
        <w:tab/>
      </w:r>
      <w:r>
        <w:fldChar w:fldCharType="begin"/>
      </w:r>
      <w:r>
        <w:instrText xml:space="preserve"> PAGEREF _Toc28164 \h </w:instrText>
      </w:r>
      <w:r>
        <w:fldChar w:fldCharType="separate"/>
      </w:r>
      <w:r>
        <w:t>1</w:t>
      </w:r>
      <w:r>
        <w:fldChar w:fldCharType="end"/>
      </w:r>
      <w:r>
        <w:fldChar w:fldCharType="end"/>
      </w:r>
    </w:p>
    <w:p>
      <w:pPr>
        <w:pStyle w:val="12"/>
        <w:tabs>
          <w:tab w:val="right" w:leader="dot" w:pos="9750"/>
        </w:tabs>
        <w:spacing w:line="520" w:lineRule="exact"/>
        <w:ind w:left="761"/>
      </w:pPr>
      <w:r>
        <w:fldChar w:fldCharType="begin"/>
      </w:r>
      <w:r>
        <w:instrText xml:space="preserve"> HYPERLINK \l "_Toc28723" </w:instrText>
      </w:r>
      <w:r>
        <w:fldChar w:fldCharType="separate"/>
      </w:r>
      <w:r>
        <w:rPr>
          <w:rFonts w:hint="eastAsia"/>
          <w:snapToGrid w:val="0"/>
          <w:kern w:val="0"/>
          <w:szCs w:val="24"/>
        </w:rPr>
        <w:t>二、申请人的资格要求</w:t>
      </w:r>
      <w:r>
        <w:tab/>
      </w:r>
      <w:r>
        <w:fldChar w:fldCharType="begin"/>
      </w:r>
      <w:r>
        <w:instrText xml:space="preserve"> PAGEREF _Toc28723 \h </w:instrText>
      </w:r>
      <w:r>
        <w:fldChar w:fldCharType="separate"/>
      </w:r>
      <w:r>
        <w:t>1</w:t>
      </w:r>
      <w:r>
        <w:fldChar w:fldCharType="end"/>
      </w:r>
      <w:r>
        <w:fldChar w:fldCharType="end"/>
      </w:r>
    </w:p>
    <w:p>
      <w:pPr>
        <w:pStyle w:val="12"/>
        <w:tabs>
          <w:tab w:val="right" w:leader="dot" w:pos="9750"/>
        </w:tabs>
        <w:spacing w:line="520" w:lineRule="exact"/>
        <w:ind w:left="761"/>
      </w:pPr>
      <w:r>
        <w:fldChar w:fldCharType="begin"/>
      </w:r>
      <w:r>
        <w:instrText xml:space="preserve"> HYPERLINK \l "_Toc20032" </w:instrText>
      </w:r>
      <w:r>
        <w:fldChar w:fldCharType="separate"/>
      </w:r>
      <w:r>
        <w:rPr>
          <w:rFonts w:hint="eastAsia"/>
          <w:snapToGrid w:val="0"/>
          <w:kern w:val="0"/>
          <w:szCs w:val="24"/>
        </w:rPr>
        <w:t>三、获取招标文件</w:t>
      </w:r>
      <w:r>
        <w:tab/>
      </w:r>
      <w:r>
        <w:fldChar w:fldCharType="begin"/>
      </w:r>
      <w:r>
        <w:instrText xml:space="preserve"> PAGEREF _Toc20032 \h </w:instrText>
      </w:r>
      <w:r>
        <w:fldChar w:fldCharType="separate"/>
      </w:r>
      <w:r>
        <w:t>2</w:t>
      </w:r>
      <w:r>
        <w:fldChar w:fldCharType="end"/>
      </w:r>
      <w:r>
        <w:fldChar w:fldCharType="end"/>
      </w:r>
    </w:p>
    <w:p>
      <w:pPr>
        <w:pStyle w:val="12"/>
        <w:tabs>
          <w:tab w:val="right" w:leader="dot" w:pos="9750"/>
        </w:tabs>
        <w:spacing w:line="520" w:lineRule="exact"/>
        <w:ind w:left="761"/>
      </w:pPr>
      <w:r>
        <w:fldChar w:fldCharType="begin"/>
      </w:r>
      <w:r>
        <w:instrText xml:space="preserve"> HYPERLINK \l "_Toc30265" </w:instrText>
      </w:r>
      <w:r>
        <w:fldChar w:fldCharType="separate"/>
      </w:r>
      <w:r>
        <w:rPr>
          <w:rFonts w:hint="eastAsia"/>
          <w:snapToGrid w:val="0"/>
          <w:kern w:val="0"/>
          <w:szCs w:val="24"/>
        </w:rPr>
        <w:t>四、提交投标文件截止时间、开标时间和地点</w:t>
      </w:r>
      <w:r>
        <w:tab/>
      </w:r>
      <w:r>
        <w:fldChar w:fldCharType="begin"/>
      </w:r>
      <w:r>
        <w:instrText xml:space="preserve"> PAGEREF _Toc30265 \h </w:instrText>
      </w:r>
      <w:r>
        <w:fldChar w:fldCharType="separate"/>
      </w:r>
      <w:r>
        <w:t>3</w:t>
      </w:r>
      <w:r>
        <w:fldChar w:fldCharType="end"/>
      </w:r>
      <w:r>
        <w:fldChar w:fldCharType="end"/>
      </w:r>
    </w:p>
    <w:p>
      <w:pPr>
        <w:pStyle w:val="12"/>
        <w:tabs>
          <w:tab w:val="right" w:leader="dot" w:pos="9750"/>
        </w:tabs>
        <w:spacing w:line="520" w:lineRule="exact"/>
        <w:ind w:left="761"/>
      </w:pPr>
      <w:r>
        <w:fldChar w:fldCharType="begin"/>
      </w:r>
      <w:r>
        <w:instrText xml:space="preserve"> HYPERLINK \l "_Toc10275" </w:instrText>
      </w:r>
      <w:r>
        <w:fldChar w:fldCharType="separate"/>
      </w:r>
      <w:r>
        <w:rPr>
          <w:rFonts w:hint="eastAsia"/>
          <w:snapToGrid w:val="0"/>
          <w:kern w:val="0"/>
          <w:szCs w:val="24"/>
        </w:rPr>
        <w:t>五、公告期限</w:t>
      </w:r>
      <w:r>
        <w:tab/>
      </w:r>
      <w:r>
        <w:fldChar w:fldCharType="begin"/>
      </w:r>
      <w:r>
        <w:instrText xml:space="preserve"> PAGEREF _Toc10275 \h </w:instrText>
      </w:r>
      <w:r>
        <w:fldChar w:fldCharType="separate"/>
      </w:r>
      <w:r>
        <w:t>3</w:t>
      </w:r>
      <w:r>
        <w:fldChar w:fldCharType="end"/>
      </w:r>
      <w:r>
        <w:fldChar w:fldCharType="end"/>
      </w:r>
    </w:p>
    <w:p>
      <w:pPr>
        <w:pStyle w:val="12"/>
        <w:tabs>
          <w:tab w:val="right" w:leader="dot" w:pos="9750"/>
        </w:tabs>
        <w:spacing w:line="520" w:lineRule="exact"/>
        <w:ind w:left="761"/>
      </w:pPr>
      <w:r>
        <w:fldChar w:fldCharType="begin"/>
      </w:r>
      <w:r>
        <w:instrText xml:space="preserve"> HYPERLINK \l "_Toc1108" </w:instrText>
      </w:r>
      <w:r>
        <w:fldChar w:fldCharType="separate"/>
      </w:r>
      <w:r>
        <w:rPr>
          <w:rFonts w:hint="eastAsia"/>
          <w:snapToGrid w:val="0"/>
          <w:kern w:val="0"/>
          <w:szCs w:val="24"/>
        </w:rPr>
        <w:t>六、其他补充事宜</w:t>
      </w:r>
      <w:r>
        <w:tab/>
      </w:r>
      <w:r>
        <w:fldChar w:fldCharType="begin"/>
      </w:r>
      <w:r>
        <w:instrText xml:space="preserve"> PAGEREF _Toc1108 \h </w:instrText>
      </w:r>
      <w:r>
        <w:fldChar w:fldCharType="separate"/>
      </w:r>
      <w:r>
        <w:t>3</w:t>
      </w:r>
      <w:r>
        <w:fldChar w:fldCharType="end"/>
      </w:r>
      <w:r>
        <w:fldChar w:fldCharType="end"/>
      </w:r>
    </w:p>
    <w:p>
      <w:pPr>
        <w:pStyle w:val="12"/>
        <w:tabs>
          <w:tab w:val="right" w:leader="dot" w:pos="9750"/>
        </w:tabs>
        <w:spacing w:line="520" w:lineRule="exact"/>
        <w:ind w:left="761"/>
      </w:pPr>
      <w:r>
        <w:fldChar w:fldCharType="begin"/>
      </w:r>
      <w:r>
        <w:instrText xml:space="preserve"> HYPERLINK \l "_Toc2975" </w:instrText>
      </w:r>
      <w:r>
        <w:fldChar w:fldCharType="separate"/>
      </w:r>
      <w:r>
        <w:rPr>
          <w:rFonts w:hint="eastAsia"/>
          <w:snapToGrid w:val="0"/>
          <w:kern w:val="0"/>
          <w:szCs w:val="24"/>
        </w:rPr>
        <w:t>七、对本次招标提出询问，请按以下方式联系</w:t>
      </w:r>
      <w:r>
        <w:tab/>
      </w:r>
      <w:r>
        <w:fldChar w:fldCharType="begin"/>
      </w:r>
      <w:r>
        <w:instrText xml:space="preserve"> PAGEREF _Toc2975 \h </w:instrText>
      </w:r>
      <w:r>
        <w:fldChar w:fldCharType="separate"/>
      </w:r>
      <w:r>
        <w:t>4</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"_Toc3349" </w:instrText>
      </w:r>
      <w:r>
        <w:fldChar w:fldCharType="separate"/>
      </w:r>
      <w:r>
        <w:rPr>
          <w:rFonts w:hint="eastAsia"/>
          <w:smallCaps w:val="0"/>
          <w:snapToGrid w:val="0"/>
          <w:kern w:val="0"/>
        </w:rPr>
        <w:t>第二章 投标人须知前附表</w:t>
      </w:r>
      <w:r>
        <w:tab/>
      </w:r>
      <w:r>
        <w:fldChar w:fldCharType="begin"/>
      </w:r>
      <w:r>
        <w:instrText xml:space="preserve"> PAGEREF _Toc3349 \h </w:instrText>
      </w:r>
      <w:r>
        <w:fldChar w:fldCharType="separate"/>
      </w:r>
      <w:r>
        <w:t>5</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"_Toc16866" </w:instrText>
      </w:r>
      <w:r>
        <w:fldChar w:fldCharType="separate"/>
      </w:r>
      <w:r>
        <w:rPr>
          <w:rFonts w:hint="eastAsia"/>
          <w:smallCaps w:val="0"/>
          <w:snapToGrid w:val="0"/>
          <w:kern w:val="0"/>
        </w:rPr>
        <w:t>第三章 货物服务需求一览表</w:t>
      </w:r>
      <w:r>
        <w:tab/>
      </w:r>
      <w:r>
        <w:fldChar w:fldCharType="begin"/>
      </w:r>
      <w:r>
        <w:instrText xml:space="preserve"> PAGEREF _Toc16866 \h </w:instrText>
      </w:r>
      <w:r>
        <w:fldChar w:fldCharType="separate"/>
      </w:r>
      <w:r>
        <w:t>9</w:t>
      </w:r>
      <w:r>
        <w:fldChar w:fldCharType="end"/>
      </w:r>
      <w:r>
        <w:fldChar w:fldCharType="end"/>
      </w:r>
    </w:p>
    <w:p>
      <w:pPr>
        <w:pStyle w:val="12"/>
        <w:tabs>
          <w:tab w:val="right" w:leader="dot" w:pos="9750"/>
        </w:tabs>
        <w:spacing w:line="520" w:lineRule="exact"/>
        <w:ind w:left="761"/>
      </w:pPr>
      <w:r>
        <w:fldChar w:fldCharType="begin"/>
      </w:r>
      <w:r>
        <w:instrText xml:space="preserve"> HYPERLINK \l "_Toc14943" </w:instrText>
      </w:r>
      <w:r>
        <w:fldChar w:fldCharType="separate"/>
      </w:r>
      <w:r>
        <w:rPr>
          <w:rFonts w:hint="eastAsia"/>
          <w:kern w:val="0"/>
        </w:rPr>
        <w:t>一、服务需求</w:t>
      </w:r>
      <w:r>
        <w:tab/>
      </w:r>
      <w:r>
        <w:fldChar w:fldCharType="begin"/>
      </w:r>
      <w:r>
        <w:instrText xml:space="preserve"> PAGEREF _Toc14943 \h </w:instrText>
      </w:r>
      <w:r>
        <w:fldChar w:fldCharType="separate"/>
      </w:r>
      <w:r>
        <w:t>9</w:t>
      </w:r>
      <w:r>
        <w:fldChar w:fldCharType="end"/>
      </w:r>
      <w:r>
        <w:fldChar w:fldCharType="end"/>
      </w:r>
    </w:p>
    <w:p>
      <w:pPr>
        <w:pStyle w:val="12"/>
        <w:tabs>
          <w:tab w:val="right" w:leader="dot" w:pos="9750"/>
        </w:tabs>
        <w:spacing w:line="520" w:lineRule="exact"/>
        <w:ind w:left="761"/>
      </w:pPr>
      <w:r>
        <w:fldChar w:fldCharType="begin"/>
      </w:r>
      <w:r>
        <w:instrText xml:space="preserve"> HYPERLINK \l "_Toc1253" </w:instrText>
      </w:r>
      <w:r>
        <w:fldChar w:fldCharType="separate"/>
      </w:r>
      <w:r>
        <w:rPr>
          <w:rFonts w:hint="eastAsia"/>
          <w:snapToGrid w:val="0"/>
          <w:kern w:val="0"/>
        </w:rPr>
        <w:t>二、商务要求</w:t>
      </w:r>
      <w:r>
        <w:tab/>
      </w:r>
      <w:r>
        <w:fldChar w:fldCharType="begin"/>
      </w:r>
      <w:r>
        <w:instrText xml:space="preserve"> PAGEREF _Toc1253 \h </w:instrText>
      </w:r>
      <w:r>
        <w:fldChar w:fldCharType="separate"/>
      </w:r>
      <w:r>
        <w:t>16</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"_Toc24398" </w:instrText>
      </w:r>
      <w:r>
        <w:fldChar w:fldCharType="separate"/>
      </w:r>
      <w:r>
        <w:rPr>
          <w:rFonts w:hint="eastAsia"/>
          <w:smallCaps w:val="0"/>
          <w:snapToGrid w:val="0"/>
          <w:kern w:val="0"/>
        </w:rPr>
        <w:t>第四章 评标办法</w:t>
      </w:r>
      <w:r>
        <w:tab/>
      </w:r>
      <w:r>
        <w:fldChar w:fldCharType="begin"/>
      </w:r>
      <w:r>
        <w:instrText xml:space="preserve"> PAGEREF _Toc24398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"_Toc24663" </w:instrText>
      </w:r>
      <w:r>
        <w:fldChar w:fldCharType="separate"/>
      </w:r>
      <w:r>
        <w:rPr>
          <w:rFonts w:hint="eastAsia"/>
          <w:snapToGrid w:val="0"/>
          <w:kern w:val="0"/>
        </w:rPr>
        <w:t>一、评标原则</w:t>
      </w:r>
      <w:r>
        <w:tab/>
      </w:r>
      <w:r>
        <w:fldChar w:fldCharType="begin"/>
      </w:r>
      <w:r>
        <w:instrText xml:space="preserve"> PAGEREF _Toc24663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"_Toc12772" </w:instrText>
      </w:r>
      <w:r>
        <w:fldChar w:fldCharType="separate"/>
      </w:r>
      <w:r>
        <w:rPr>
          <w:rFonts w:hint="eastAsia"/>
          <w:snapToGrid w:val="0"/>
          <w:kern w:val="0"/>
          <w:szCs w:val="24"/>
        </w:rPr>
        <w:t>二、评审办法</w:t>
      </w:r>
      <w:r>
        <w:tab/>
      </w:r>
      <w:r>
        <w:fldChar w:fldCharType="begin"/>
      </w:r>
      <w:r>
        <w:instrText xml:space="preserve"> PAGEREF _Toc12772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"_Toc28403" </w:instrText>
      </w:r>
      <w:r>
        <w:fldChar w:fldCharType="separate"/>
      </w:r>
      <w:r>
        <w:rPr>
          <w:rFonts w:hint="eastAsia"/>
          <w:snapToGrid w:val="0"/>
          <w:kern w:val="0"/>
          <w:szCs w:val="24"/>
        </w:rPr>
        <w:t>三、评审程序</w:t>
      </w:r>
      <w:r>
        <w:tab/>
      </w:r>
      <w:r>
        <w:fldChar w:fldCharType="begin"/>
      </w:r>
      <w:r>
        <w:instrText xml:space="preserve"> PAGEREF _Toc28403 \h </w:instrText>
      </w:r>
      <w:r>
        <w:fldChar w:fldCharType="separate"/>
      </w:r>
      <w:r>
        <w:t>17</w:t>
      </w:r>
      <w:r>
        <w:fldChar w:fldCharType="end"/>
      </w:r>
      <w:r>
        <w:fldChar w:fldCharType="end"/>
      </w:r>
    </w:p>
    <w:p>
      <w:pPr>
        <w:pStyle w:val="12"/>
        <w:tabs>
          <w:tab w:val="right" w:leader="dot" w:pos="9750"/>
        </w:tabs>
        <w:spacing w:line="520" w:lineRule="exact"/>
        <w:ind w:left="761"/>
      </w:pPr>
      <w:r>
        <w:fldChar w:fldCharType="begin"/>
      </w:r>
      <w:r>
        <w:instrText xml:space="preserve"> HYPERLINK \l "_Toc21393" </w:instrText>
      </w:r>
      <w:r>
        <w:fldChar w:fldCharType="separate"/>
      </w:r>
      <w:r>
        <w:rPr>
          <w:rFonts w:hint="eastAsia"/>
          <w:snapToGrid w:val="0"/>
          <w:kern w:val="0"/>
          <w:szCs w:val="24"/>
        </w:rPr>
        <w:t>四、资格性审查表</w:t>
      </w:r>
      <w:r>
        <w:tab/>
      </w:r>
      <w:r>
        <w:fldChar w:fldCharType="begin"/>
      </w:r>
      <w:r>
        <w:instrText xml:space="preserve"> PAGEREF _Toc21393 \h </w:instrText>
      </w:r>
      <w:r>
        <w:fldChar w:fldCharType="separate"/>
      </w:r>
      <w:r>
        <w:t>18</w:t>
      </w:r>
      <w:r>
        <w:fldChar w:fldCharType="end"/>
      </w:r>
      <w:r>
        <w:fldChar w:fldCharType="end"/>
      </w:r>
    </w:p>
    <w:p>
      <w:pPr>
        <w:pStyle w:val="12"/>
        <w:tabs>
          <w:tab w:val="right" w:leader="dot" w:pos="9750"/>
        </w:tabs>
        <w:spacing w:line="520" w:lineRule="exact"/>
        <w:ind w:left="761"/>
      </w:pPr>
      <w:r>
        <w:fldChar w:fldCharType="begin"/>
      </w:r>
      <w:r>
        <w:instrText xml:space="preserve"> HYPERLINK \l "_Toc32649" </w:instrText>
      </w:r>
      <w:r>
        <w:fldChar w:fldCharType="separate"/>
      </w:r>
      <w:r>
        <w:rPr>
          <w:rFonts w:hint="eastAsia"/>
          <w:snapToGrid w:val="0"/>
          <w:kern w:val="0"/>
        </w:rPr>
        <w:t>五、符合性审查表</w:t>
      </w:r>
      <w:r>
        <w:tab/>
      </w:r>
      <w:r>
        <w:fldChar w:fldCharType="begin"/>
      </w:r>
      <w:r>
        <w:instrText xml:space="preserve"> PAGEREF _Toc32649 \h </w:instrText>
      </w:r>
      <w:r>
        <w:fldChar w:fldCharType="separate"/>
      </w:r>
      <w:r>
        <w:t>19</w:t>
      </w:r>
      <w:r>
        <w:fldChar w:fldCharType="end"/>
      </w:r>
      <w:r>
        <w:fldChar w:fldCharType="end"/>
      </w:r>
    </w:p>
    <w:p>
      <w:pPr>
        <w:pStyle w:val="12"/>
        <w:tabs>
          <w:tab w:val="right" w:leader="dot" w:pos="9750"/>
        </w:tabs>
        <w:spacing w:line="520" w:lineRule="exact"/>
        <w:ind w:left="761"/>
      </w:pPr>
      <w:r>
        <w:fldChar w:fldCharType="begin"/>
      </w:r>
      <w:r>
        <w:instrText xml:space="preserve"> HYPERLINK \l "_Toc9878" </w:instrText>
      </w:r>
      <w:r>
        <w:fldChar w:fldCharType="separate"/>
      </w:r>
      <w:r>
        <w:rPr>
          <w:rFonts w:hint="eastAsia"/>
          <w:snapToGrid w:val="0"/>
          <w:kern w:val="0"/>
        </w:rPr>
        <w:t>六、评分办法</w:t>
      </w:r>
      <w:r>
        <w:tab/>
      </w:r>
      <w:r>
        <w:fldChar w:fldCharType="begin"/>
      </w:r>
      <w:r>
        <w:instrText xml:space="preserve"> PAGEREF _Toc9878 \h </w:instrText>
      </w:r>
      <w:r>
        <w:fldChar w:fldCharType="separate"/>
      </w:r>
      <w:r>
        <w:t>20</w:t>
      </w:r>
      <w:r>
        <w:fldChar w:fldCharType="end"/>
      </w:r>
      <w:r>
        <w:fldChar w:fldCharType="end"/>
      </w:r>
    </w:p>
    <w:p>
      <w:pPr>
        <w:pStyle w:val="16"/>
        <w:tabs>
          <w:tab w:val="right" w:leader="dot" w:pos="9750"/>
        </w:tabs>
        <w:spacing w:line="520" w:lineRule="exact"/>
      </w:pPr>
      <w:r>
        <w:fldChar w:fldCharType="begin"/>
      </w:r>
      <w:r>
        <w:instrText xml:space="preserve"> HYPERLINK \l "_Toc18239" </w:instrText>
      </w:r>
      <w:r>
        <w:fldChar w:fldCharType="separate"/>
      </w:r>
      <w:r>
        <w:rPr>
          <w:rFonts w:hint="eastAsia"/>
          <w:caps w:val="0"/>
          <w:snapToGrid w:val="0"/>
          <w:kern w:val="0"/>
        </w:rPr>
        <w:t>招标文件第二部分（通用部分）</w:t>
      </w:r>
      <w:r>
        <w:tab/>
      </w:r>
      <w:r>
        <w:fldChar w:fldCharType="begin"/>
      </w:r>
      <w:r>
        <w:instrText xml:space="preserve"> PAGEREF _Toc18239 \h </w:instrText>
      </w:r>
      <w:r>
        <w:fldChar w:fldCharType="separate"/>
      </w:r>
      <w:r>
        <w:t>23</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"_Toc8136" </w:instrText>
      </w:r>
      <w:r>
        <w:fldChar w:fldCharType="separate"/>
      </w:r>
      <w:r>
        <w:rPr>
          <w:rFonts w:hint="eastAsia"/>
          <w:smallCaps w:val="0"/>
          <w:snapToGrid w:val="0"/>
          <w:kern w:val="0"/>
        </w:rPr>
        <w:t>第五章 投标人须知</w:t>
      </w:r>
      <w:r>
        <w:tab/>
      </w:r>
      <w:r>
        <w:fldChar w:fldCharType="begin"/>
      </w:r>
      <w:r>
        <w:instrText xml:space="preserve"> PAGEREF _Toc8136 \h </w:instrText>
      </w:r>
      <w:r>
        <w:fldChar w:fldCharType="separate"/>
      </w:r>
      <w:r>
        <w:t>23</w:t>
      </w:r>
      <w:r>
        <w:fldChar w:fldCharType="end"/>
      </w:r>
      <w:r>
        <w:fldChar w:fldCharType="end"/>
      </w:r>
    </w:p>
    <w:p>
      <w:pPr>
        <w:pStyle w:val="12"/>
        <w:tabs>
          <w:tab w:val="right" w:leader="dot" w:pos="9750"/>
        </w:tabs>
        <w:spacing w:line="520" w:lineRule="exact"/>
        <w:ind w:left="761"/>
      </w:pPr>
      <w:r>
        <w:fldChar w:fldCharType="begin"/>
      </w:r>
      <w:r>
        <w:instrText xml:space="preserve"> HYPERLINK \l "_Toc13005" </w:instrText>
      </w:r>
      <w:r>
        <w:fldChar w:fldCharType="separate"/>
      </w:r>
      <w:r>
        <w:rPr>
          <w:rFonts w:hint="eastAsia"/>
          <w:snapToGrid w:val="0"/>
          <w:kern w:val="0"/>
          <w:szCs w:val="24"/>
        </w:rPr>
        <w:t>一、总则</w:t>
      </w:r>
      <w:r>
        <w:tab/>
      </w:r>
      <w:r>
        <w:fldChar w:fldCharType="begin"/>
      </w:r>
      <w:r>
        <w:instrText xml:space="preserve"> PAGEREF _Toc13005 \h </w:instrText>
      </w:r>
      <w:r>
        <w:fldChar w:fldCharType="separate"/>
      </w:r>
      <w:r>
        <w:t>23</w:t>
      </w:r>
      <w:r>
        <w:fldChar w:fldCharType="end"/>
      </w:r>
      <w:r>
        <w:fldChar w:fldCharType="end"/>
      </w:r>
    </w:p>
    <w:p>
      <w:pPr>
        <w:pStyle w:val="12"/>
        <w:tabs>
          <w:tab w:val="right" w:leader="dot" w:pos="9750"/>
        </w:tabs>
        <w:spacing w:line="520" w:lineRule="exact"/>
        <w:ind w:left="761"/>
      </w:pPr>
      <w:r>
        <w:fldChar w:fldCharType="begin"/>
      </w:r>
      <w:r>
        <w:instrText xml:space="preserve"> HYPERLINK \l "_Toc32590" </w:instrText>
      </w:r>
      <w:r>
        <w:fldChar w:fldCharType="separate"/>
      </w:r>
      <w:r>
        <w:rPr>
          <w:rFonts w:hint="eastAsia"/>
          <w:snapToGrid w:val="0"/>
          <w:kern w:val="0"/>
        </w:rPr>
        <w:t>二、招标文件</w:t>
      </w:r>
      <w:r>
        <w:tab/>
      </w:r>
      <w:r>
        <w:fldChar w:fldCharType="begin"/>
      </w:r>
      <w:r>
        <w:instrText xml:space="preserve"> PAGEREF _Toc32590 \h </w:instrText>
      </w:r>
      <w:r>
        <w:fldChar w:fldCharType="separate"/>
      </w:r>
      <w:r>
        <w:t>25</w:t>
      </w:r>
      <w:r>
        <w:fldChar w:fldCharType="end"/>
      </w:r>
      <w:r>
        <w:fldChar w:fldCharType="end"/>
      </w:r>
    </w:p>
    <w:p>
      <w:pPr>
        <w:pStyle w:val="12"/>
        <w:tabs>
          <w:tab w:val="right" w:leader="dot" w:pos="9750"/>
        </w:tabs>
        <w:spacing w:line="520" w:lineRule="exact"/>
        <w:ind w:left="761"/>
      </w:pPr>
      <w:r>
        <w:fldChar w:fldCharType="begin"/>
      </w:r>
      <w:r>
        <w:instrText xml:space="preserve"> HYPERLINK \l "_Toc14028" </w:instrText>
      </w:r>
      <w:r>
        <w:fldChar w:fldCharType="separate"/>
      </w:r>
      <w:r>
        <w:rPr>
          <w:rFonts w:hint="eastAsia"/>
          <w:snapToGrid w:val="0"/>
          <w:kern w:val="0"/>
          <w:szCs w:val="24"/>
        </w:rPr>
        <w:t>三、投标文件</w:t>
      </w:r>
      <w:r>
        <w:tab/>
      </w:r>
      <w:r>
        <w:fldChar w:fldCharType="begin"/>
      </w:r>
      <w:r>
        <w:instrText xml:space="preserve"> PAGEREF _Toc14028 \h </w:instrText>
      </w:r>
      <w:r>
        <w:fldChar w:fldCharType="separate"/>
      </w:r>
      <w:r>
        <w:t>26</w:t>
      </w:r>
      <w:r>
        <w:fldChar w:fldCharType="end"/>
      </w:r>
      <w:r>
        <w:fldChar w:fldCharType="end"/>
      </w:r>
    </w:p>
    <w:p>
      <w:pPr>
        <w:pStyle w:val="12"/>
        <w:tabs>
          <w:tab w:val="right" w:leader="dot" w:pos="9750"/>
        </w:tabs>
        <w:spacing w:line="520" w:lineRule="exact"/>
        <w:ind w:left="761"/>
      </w:pPr>
      <w:r>
        <w:fldChar w:fldCharType="begin"/>
      </w:r>
      <w:r>
        <w:instrText xml:space="preserve"> HYPERLINK \l "_Toc28735" </w:instrText>
      </w:r>
      <w:r>
        <w:fldChar w:fldCharType="separate"/>
      </w:r>
      <w:r>
        <w:rPr>
          <w:rFonts w:hint="eastAsia"/>
          <w:snapToGrid w:val="0"/>
          <w:kern w:val="0"/>
          <w:szCs w:val="24"/>
        </w:rPr>
        <w:t>四、投标</w:t>
      </w:r>
      <w:r>
        <w:tab/>
      </w:r>
      <w:r>
        <w:fldChar w:fldCharType="begin"/>
      </w:r>
      <w:r>
        <w:instrText xml:space="preserve"> PAGEREF _Toc28735 \h </w:instrText>
      </w:r>
      <w:r>
        <w:fldChar w:fldCharType="separate"/>
      </w:r>
      <w:r>
        <w:t>29</w:t>
      </w:r>
      <w:r>
        <w:fldChar w:fldCharType="end"/>
      </w:r>
      <w:r>
        <w:fldChar w:fldCharType="end"/>
      </w:r>
    </w:p>
    <w:p>
      <w:pPr>
        <w:pStyle w:val="12"/>
        <w:tabs>
          <w:tab w:val="right" w:leader="dot" w:pos="9750"/>
        </w:tabs>
        <w:spacing w:line="520" w:lineRule="exact"/>
        <w:ind w:left="761"/>
      </w:pPr>
      <w:r>
        <w:fldChar w:fldCharType="begin"/>
      </w:r>
      <w:r>
        <w:instrText xml:space="preserve"> HYPERLINK \l "_Toc16208" </w:instrText>
      </w:r>
      <w:r>
        <w:fldChar w:fldCharType="separate"/>
      </w:r>
      <w:r>
        <w:rPr>
          <w:rFonts w:hint="eastAsia"/>
          <w:snapToGrid w:val="0"/>
          <w:kern w:val="0"/>
          <w:szCs w:val="24"/>
        </w:rPr>
        <w:t>五、开标</w:t>
      </w:r>
      <w:r>
        <w:tab/>
      </w:r>
      <w:r>
        <w:fldChar w:fldCharType="begin"/>
      </w:r>
      <w:r>
        <w:instrText xml:space="preserve"> PAGEREF _Toc16208 \h </w:instrText>
      </w:r>
      <w:r>
        <w:fldChar w:fldCharType="separate"/>
      </w:r>
      <w:r>
        <w:t>30</w:t>
      </w:r>
      <w:r>
        <w:fldChar w:fldCharType="end"/>
      </w:r>
      <w:r>
        <w:fldChar w:fldCharType="end"/>
      </w:r>
    </w:p>
    <w:p>
      <w:pPr>
        <w:pStyle w:val="12"/>
        <w:tabs>
          <w:tab w:val="right" w:leader="dot" w:pos="9750"/>
        </w:tabs>
        <w:spacing w:line="520" w:lineRule="exact"/>
        <w:ind w:left="761"/>
      </w:pPr>
      <w:r>
        <w:fldChar w:fldCharType="begin"/>
      </w:r>
      <w:r>
        <w:instrText xml:space="preserve"> HYPERLINK \l "_Toc20051" </w:instrText>
      </w:r>
      <w:r>
        <w:fldChar w:fldCharType="separate"/>
      </w:r>
      <w:r>
        <w:rPr>
          <w:rFonts w:hint="eastAsia"/>
          <w:snapToGrid w:val="0"/>
          <w:kern w:val="0"/>
          <w:szCs w:val="24"/>
        </w:rPr>
        <w:t>六、评标</w:t>
      </w:r>
      <w:r>
        <w:tab/>
      </w:r>
      <w:r>
        <w:fldChar w:fldCharType="begin"/>
      </w:r>
      <w:r>
        <w:instrText xml:space="preserve"> PAGEREF _Toc20051 \h </w:instrText>
      </w:r>
      <w:r>
        <w:fldChar w:fldCharType="separate"/>
      </w:r>
      <w:r>
        <w:t>31</w:t>
      </w:r>
      <w:r>
        <w:fldChar w:fldCharType="end"/>
      </w:r>
      <w:r>
        <w:fldChar w:fldCharType="end"/>
      </w:r>
    </w:p>
    <w:p>
      <w:pPr>
        <w:pStyle w:val="12"/>
        <w:tabs>
          <w:tab w:val="right" w:leader="dot" w:pos="9750"/>
        </w:tabs>
        <w:spacing w:line="520" w:lineRule="exact"/>
        <w:ind w:left="761"/>
      </w:pPr>
      <w:r>
        <w:fldChar w:fldCharType="begin"/>
      </w:r>
      <w:r>
        <w:instrText xml:space="preserve"> HYPERLINK \l "_Toc8538" </w:instrText>
      </w:r>
      <w:r>
        <w:fldChar w:fldCharType="separate"/>
      </w:r>
      <w:r>
        <w:rPr>
          <w:rFonts w:hint="eastAsia"/>
          <w:snapToGrid w:val="0"/>
          <w:kern w:val="0"/>
          <w:szCs w:val="24"/>
        </w:rPr>
        <w:t>七、定标和授予合同</w:t>
      </w:r>
      <w:r>
        <w:tab/>
      </w:r>
      <w:r>
        <w:fldChar w:fldCharType="begin"/>
      </w:r>
      <w:r>
        <w:instrText xml:space="preserve"> PAGEREF _Toc8538 \h </w:instrText>
      </w:r>
      <w:r>
        <w:fldChar w:fldCharType="separate"/>
      </w:r>
      <w:r>
        <w:t>32</w:t>
      </w:r>
      <w:r>
        <w:fldChar w:fldCharType="end"/>
      </w:r>
      <w:r>
        <w:fldChar w:fldCharType="end"/>
      </w:r>
    </w:p>
    <w:p>
      <w:pPr>
        <w:pStyle w:val="12"/>
        <w:tabs>
          <w:tab w:val="right" w:leader="dot" w:pos="9750"/>
        </w:tabs>
        <w:spacing w:line="520" w:lineRule="exact"/>
        <w:ind w:left="761"/>
      </w:pPr>
      <w:r>
        <w:fldChar w:fldCharType="begin"/>
      </w:r>
      <w:r>
        <w:instrText xml:space="preserve"> HYPERLINK \l "_Toc2565" </w:instrText>
      </w:r>
      <w:r>
        <w:fldChar w:fldCharType="separate"/>
      </w:r>
      <w:r>
        <w:rPr>
          <w:rFonts w:hint="eastAsia"/>
          <w:snapToGrid w:val="0"/>
          <w:kern w:val="0"/>
          <w:szCs w:val="24"/>
        </w:rPr>
        <w:t>八、质疑与投诉</w:t>
      </w:r>
      <w:r>
        <w:tab/>
      </w:r>
      <w:r>
        <w:fldChar w:fldCharType="begin"/>
      </w:r>
      <w:r>
        <w:instrText xml:space="preserve"> PAGEREF _Toc2565 \h </w:instrText>
      </w:r>
      <w:r>
        <w:fldChar w:fldCharType="separate"/>
      </w:r>
      <w:r>
        <w:t>33</w:t>
      </w:r>
      <w:r>
        <w:fldChar w:fldCharType="end"/>
      </w:r>
      <w:r>
        <w:fldChar w:fldCharType="end"/>
      </w:r>
    </w:p>
    <w:p>
      <w:pPr>
        <w:pStyle w:val="12"/>
        <w:tabs>
          <w:tab w:val="right" w:leader="dot" w:pos="9750"/>
        </w:tabs>
        <w:spacing w:line="520" w:lineRule="exact"/>
        <w:ind w:left="761"/>
      </w:pPr>
      <w:r>
        <w:fldChar w:fldCharType="begin"/>
      </w:r>
      <w:r>
        <w:instrText xml:space="preserve"> HYPERLINK \l "_Toc17648" </w:instrText>
      </w:r>
      <w:r>
        <w:fldChar w:fldCharType="separate"/>
      </w:r>
      <w:r>
        <w:rPr>
          <w:rFonts w:hint="eastAsia"/>
          <w:snapToGrid w:val="0"/>
          <w:kern w:val="0"/>
          <w:szCs w:val="24"/>
        </w:rPr>
        <w:t>九、投标人须知的补充与修改</w:t>
      </w:r>
      <w:r>
        <w:tab/>
      </w:r>
      <w:r>
        <w:fldChar w:fldCharType="begin"/>
      </w:r>
      <w:r>
        <w:instrText xml:space="preserve"> PAGEREF _Toc17648 \h </w:instrText>
      </w:r>
      <w:r>
        <w:fldChar w:fldCharType="separate"/>
      </w:r>
      <w:r>
        <w:t>34</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"_Toc9944" </w:instrText>
      </w:r>
      <w:r>
        <w:fldChar w:fldCharType="separate"/>
      </w:r>
      <w:r>
        <w:rPr>
          <w:rFonts w:hint="eastAsia"/>
          <w:smallCaps w:val="0"/>
          <w:snapToGrid w:val="0"/>
          <w:kern w:val="0"/>
        </w:rPr>
        <w:t>第六章 采购合同</w:t>
      </w:r>
      <w:r>
        <w:tab/>
      </w:r>
      <w:r>
        <w:fldChar w:fldCharType="begin"/>
      </w:r>
      <w:r>
        <w:instrText xml:space="preserve"> PAGEREF _Toc9944 \h </w:instrText>
      </w:r>
      <w:r>
        <w:fldChar w:fldCharType="separate"/>
      </w:r>
      <w:r>
        <w:t>35</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"_Toc13530" </w:instrText>
      </w:r>
      <w:r>
        <w:fldChar w:fldCharType="separate"/>
      </w:r>
      <w:r>
        <w:rPr>
          <w:rFonts w:hint="eastAsia"/>
          <w:smallCaps w:val="0"/>
          <w:snapToGrid w:val="0"/>
          <w:kern w:val="0"/>
        </w:rPr>
        <w:t>第七章 投标文件格式</w:t>
      </w:r>
      <w:r>
        <w:tab/>
      </w:r>
      <w:r>
        <w:fldChar w:fldCharType="begin"/>
      </w:r>
      <w:r>
        <w:instrText xml:space="preserve"> PAGEREF _Toc13530 \h </w:instrText>
      </w:r>
      <w:r>
        <w:fldChar w:fldCharType="separate"/>
      </w:r>
      <w:r>
        <w:t>45</w:t>
      </w:r>
      <w:r>
        <w:fldChar w:fldCharType="end"/>
      </w:r>
      <w:r>
        <w:fldChar w:fldCharType="end"/>
      </w:r>
    </w:p>
    <w:p>
      <w:pPr>
        <w:pStyle w:val="12"/>
        <w:tabs>
          <w:tab w:val="right" w:leader="dot" w:pos="9750"/>
        </w:tabs>
        <w:spacing w:line="520" w:lineRule="exact"/>
        <w:ind w:left="761"/>
      </w:pPr>
      <w:r>
        <w:fldChar w:fldCharType="begin"/>
      </w:r>
      <w:r>
        <w:instrText xml:space="preserve"> HYPERLINK \l "_Toc27798" </w:instrText>
      </w:r>
      <w:r>
        <w:fldChar w:fldCharType="separate"/>
      </w:r>
      <w:r>
        <w:rPr>
          <w:rFonts w:hint="eastAsia"/>
          <w:snapToGrid w:val="0"/>
          <w:kern w:val="0"/>
        </w:rPr>
        <w:t>一、投标函</w:t>
      </w:r>
      <w:r>
        <w:tab/>
      </w:r>
      <w:r>
        <w:fldChar w:fldCharType="begin"/>
      </w:r>
      <w:r>
        <w:instrText xml:space="preserve"> PAGEREF _Toc27798 \h </w:instrText>
      </w:r>
      <w:r>
        <w:fldChar w:fldCharType="separate"/>
      </w:r>
      <w:r>
        <w:t>46</w:t>
      </w:r>
      <w:r>
        <w:fldChar w:fldCharType="end"/>
      </w:r>
      <w:r>
        <w:fldChar w:fldCharType="end"/>
      </w:r>
    </w:p>
    <w:p>
      <w:pPr>
        <w:pStyle w:val="12"/>
        <w:tabs>
          <w:tab w:val="right" w:leader="dot" w:pos="9750"/>
        </w:tabs>
        <w:spacing w:line="520" w:lineRule="exact"/>
        <w:ind w:left="761"/>
      </w:pPr>
      <w:r>
        <w:fldChar w:fldCharType="begin"/>
      </w:r>
      <w:r>
        <w:instrText xml:space="preserve"> HYPERLINK \l "_Toc26960" </w:instrText>
      </w:r>
      <w:r>
        <w:fldChar w:fldCharType="separate"/>
      </w:r>
      <w:r>
        <w:rPr>
          <w:rFonts w:hint="eastAsia"/>
          <w:snapToGrid w:val="0"/>
          <w:kern w:val="0"/>
        </w:rPr>
        <w:t>二、开标一览表</w:t>
      </w:r>
      <w:r>
        <w:tab/>
      </w:r>
      <w:r>
        <w:fldChar w:fldCharType="begin"/>
      </w:r>
      <w:r>
        <w:instrText xml:space="preserve"> PAGEREF _Toc26960 \h </w:instrText>
      </w:r>
      <w:r>
        <w:fldChar w:fldCharType="separate"/>
      </w:r>
      <w:r>
        <w:t>47</w:t>
      </w:r>
      <w:r>
        <w:fldChar w:fldCharType="end"/>
      </w:r>
      <w:r>
        <w:fldChar w:fldCharType="end"/>
      </w:r>
    </w:p>
    <w:p>
      <w:pPr>
        <w:pStyle w:val="12"/>
        <w:tabs>
          <w:tab w:val="right" w:leader="dot" w:pos="9750"/>
        </w:tabs>
        <w:spacing w:line="520" w:lineRule="exact"/>
        <w:ind w:left="761"/>
      </w:pPr>
      <w:r>
        <w:fldChar w:fldCharType="begin"/>
      </w:r>
      <w:r>
        <w:instrText xml:space="preserve"> HYPERLINK \l "_Toc27590" </w:instrText>
      </w:r>
      <w:r>
        <w:fldChar w:fldCharType="separate"/>
      </w:r>
      <w:r>
        <w:rPr>
          <w:rFonts w:hint="eastAsia"/>
          <w:snapToGrid w:val="0"/>
          <w:kern w:val="0"/>
        </w:rPr>
        <w:t>三、服务分项报价表（服务类）</w:t>
      </w:r>
      <w:r>
        <w:tab/>
      </w:r>
      <w:r>
        <w:fldChar w:fldCharType="begin"/>
      </w:r>
      <w:r>
        <w:instrText xml:space="preserve"> PAGEREF _Toc27590 \h </w:instrText>
      </w:r>
      <w:r>
        <w:fldChar w:fldCharType="separate"/>
      </w:r>
      <w:r>
        <w:t>48</w:t>
      </w:r>
      <w:r>
        <w:fldChar w:fldCharType="end"/>
      </w:r>
      <w:r>
        <w:fldChar w:fldCharType="end"/>
      </w:r>
    </w:p>
    <w:p>
      <w:pPr>
        <w:pStyle w:val="12"/>
        <w:tabs>
          <w:tab w:val="right" w:leader="dot" w:pos="9750"/>
        </w:tabs>
        <w:spacing w:line="520" w:lineRule="exact"/>
        <w:ind w:left="761"/>
      </w:pPr>
      <w:r>
        <w:fldChar w:fldCharType="begin"/>
      </w:r>
      <w:r>
        <w:instrText xml:space="preserve"> HYPERLINK \l "_Toc3364" </w:instrText>
      </w:r>
      <w:r>
        <w:fldChar w:fldCharType="separate"/>
      </w:r>
      <w:r>
        <w:rPr>
          <w:rFonts w:hint="eastAsia"/>
          <w:snapToGrid w:val="0"/>
          <w:kern w:val="0"/>
        </w:rPr>
        <w:t>四、项目要求响应情况表（服务类）</w:t>
      </w:r>
      <w:r>
        <w:tab/>
      </w:r>
      <w:r>
        <w:fldChar w:fldCharType="begin"/>
      </w:r>
      <w:r>
        <w:instrText xml:space="preserve"> PAGEREF _Toc3364 \h </w:instrText>
      </w:r>
      <w:r>
        <w:fldChar w:fldCharType="separate"/>
      </w:r>
      <w:r>
        <w:t>49</w:t>
      </w:r>
      <w:r>
        <w:fldChar w:fldCharType="end"/>
      </w:r>
      <w:r>
        <w:fldChar w:fldCharType="end"/>
      </w:r>
    </w:p>
    <w:p>
      <w:pPr>
        <w:pStyle w:val="12"/>
        <w:tabs>
          <w:tab w:val="right" w:leader="dot" w:pos="9750"/>
        </w:tabs>
        <w:spacing w:line="520" w:lineRule="exact"/>
        <w:ind w:left="761"/>
      </w:pPr>
      <w:r>
        <w:fldChar w:fldCharType="begin"/>
      </w:r>
      <w:r>
        <w:instrText xml:space="preserve"> HYPERLINK \l "_Toc14006" </w:instrText>
      </w:r>
      <w:r>
        <w:fldChar w:fldCharType="separate"/>
      </w:r>
      <w:r>
        <w:rPr>
          <w:rFonts w:hint="eastAsia"/>
          <w:snapToGrid w:val="0"/>
          <w:kern w:val="0"/>
        </w:rPr>
        <w:t>五、商务要求响应情况表</w:t>
      </w:r>
      <w:r>
        <w:tab/>
      </w:r>
      <w:r>
        <w:fldChar w:fldCharType="begin"/>
      </w:r>
      <w:r>
        <w:instrText xml:space="preserve"> PAGEREF _Toc14006 \h </w:instrText>
      </w:r>
      <w:r>
        <w:fldChar w:fldCharType="separate"/>
      </w:r>
      <w:r>
        <w:t>50</w:t>
      </w:r>
      <w:r>
        <w:fldChar w:fldCharType="end"/>
      </w:r>
      <w:r>
        <w:fldChar w:fldCharType="end"/>
      </w:r>
    </w:p>
    <w:p>
      <w:pPr>
        <w:pStyle w:val="12"/>
        <w:tabs>
          <w:tab w:val="right" w:leader="dot" w:pos="9750"/>
        </w:tabs>
        <w:spacing w:line="520" w:lineRule="exact"/>
        <w:ind w:left="761"/>
      </w:pPr>
      <w:r>
        <w:fldChar w:fldCharType="begin"/>
      </w:r>
      <w:r>
        <w:instrText xml:space="preserve"> HYPERLINK \l "_Toc14635" </w:instrText>
      </w:r>
      <w:r>
        <w:fldChar w:fldCharType="separate"/>
      </w:r>
      <w:r>
        <w:rPr>
          <w:rFonts w:hint="eastAsia"/>
          <w:snapToGrid w:val="0"/>
          <w:kern w:val="0"/>
        </w:rPr>
        <w:t>六、本项目实施方案</w:t>
      </w:r>
      <w:r>
        <w:tab/>
      </w:r>
      <w:r>
        <w:fldChar w:fldCharType="begin"/>
      </w:r>
      <w:r>
        <w:instrText xml:space="preserve"> PAGEREF _Toc14635 \h </w:instrText>
      </w:r>
      <w:r>
        <w:fldChar w:fldCharType="separate"/>
      </w:r>
      <w:r>
        <w:t>51</w:t>
      </w:r>
      <w:r>
        <w:fldChar w:fldCharType="end"/>
      </w:r>
      <w:r>
        <w:fldChar w:fldCharType="end"/>
      </w:r>
    </w:p>
    <w:p>
      <w:pPr>
        <w:pStyle w:val="17"/>
        <w:tabs>
          <w:tab w:val="right" w:leader="dot" w:pos="9750"/>
          <w:tab w:val="clear" w:pos="9403"/>
        </w:tabs>
        <w:spacing w:line="520" w:lineRule="exact"/>
        <w:ind w:left="380"/>
      </w:pPr>
      <w:r>
        <w:fldChar w:fldCharType="begin"/>
      </w:r>
      <w:r>
        <w:instrText xml:space="preserve"> HYPERLINK \l "_Toc31676" </w:instrText>
      </w:r>
      <w:r>
        <w:fldChar w:fldCharType="separate"/>
      </w:r>
      <w:r>
        <w:rPr>
          <w:rFonts w:hint="eastAsia"/>
          <w:smallCaps w:val="0"/>
          <w:snapToGrid w:val="0"/>
          <w:kern w:val="0"/>
        </w:rPr>
        <w:t>资格证明文件格式</w:t>
      </w:r>
      <w:r>
        <w:tab/>
      </w:r>
      <w:r>
        <w:fldChar w:fldCharType="begin"/>
      </w:r>
      <w:r>
        <w:instrText xml:space="preserve"> PAGEREF _Toc31676 \h </w:instrText>
      </w:r>
      <w:r>
        <w:fldChar w:fldCharType="separate"/>
      </w:r>
      <w:r>
        <w:t>52</w:t>
      </w:r>
      <w:r>
        <w:fldChar w:fldCharType="end"/>
      </w:r>
      <w:r>
        <w:fldChar w:fldCharType="end"/>
      </w:r>
    </w:p>
    <w:p>
      <w:pPr>
        <w:pStyle w:val="12"/>
        <w:tabs>
          <w:tab w:val="right" w:leader="dot" w:pos="9750"/>
        </w:tabs>
        <w:spacing w:line="520" w:lineRule="exact"/>
        <w:ind w:left="761"/>
      </w:pPr>
      <w:r>
        <w:fldChar w:fldCharType="begin"/>
      </w:r>
      <w:r>
        <w:instrText xml:space="preserve"> HYPERLINK \l "_Toc16364" </w:instrText>
      </w:r>
      <w:r>
        <w:fldChar w:fldCharType="separate"/>
      </w:r>
      <w:r>
        <w:rPr>
          <w:rFonts w:hint="eastAsia"/>
          <w:snapToGrid w:val="0"/>
          <w:kern w:val="0"/>
        </w:rPr>
        <w:t>一、营业执照</w:t>
      </w:r>
      <w:r>
        <w:tab/>
      </w:r>
      <w:r>
        <w:fldChar w:fldCharType="begin"/>
      </w:r>
      <w:r>
        <w:instrText xml:space="preserve"> PAGEREF _Toc16364 \h </w:instrText>
      </w:r>
      <w:r>
        <w:fldChar w:fldCharType="separate"/>
      </w:r>
      <w:r>
        <w:t>53</w:t>
      </w:r>
      <w:r>
        <w:fldChar w:fldCharType="end"/>
      </w:r>
      <w:r>
        <w:fldChar w:fldCharType="end"/>
      </w:r>
    </w:p>
    <w:p>
      <w:pPr>
        <w:pStyle w:val="12"/>
        <w:tabs>
          <w:tab w:val="right" w:leader="dot" w:pos="9750"/>
        </w:tabs>
        <w:spacing w:line="520" w:lineRule="exact"/>
        <w:ind w:left="761"/>
      </w:pPr>
      <w:r>
        <w:fldChar w:fldCharType="begin"/>
      </w:r>
      <w:r>
        <w:instrText xml:space="preserve"> HYPERLINK \l "_Toc21152" </w:instrText>
      </w:r>
      <w:r>
        <w:fldChar w:fldCharType="separate"/>
      </w:r>
      <w:r>
        <w:rPr>
          <w:rFonts w:hint="eastAsia"/>
          <w:snapToGrid w:val="0"/>
          <w:kern w:val="0"/>
        </w:rPr>
        <w:t>二、税务登记证</w:t>
      </w:r>
      <w:r>
        <w:tab/>
      </w:r>
      <w:r>
        <w:fldChar w:fldCharType="begin"/>
      </w:r>
      <w:r>
        <w:instrText xml:space="preserve"> PAGEREF _Toc21152 \h </w:instrText>
      </w:r>
      <w:r>
        <w:fldChar w:fldCharType="separate"/>
      </w:r>
      <w:r>
        <w:t>53</w:t>
      </w:r>
      <w:r>
        <w:fldChar w:fldCharType="end"/>
      </w:r>
      <w:r>
        <w:fldChar w:fldCharType="end"/>
      </w:r>
    </w:p>
    <w:p>
      <w:pPr>
        <w:pStyle w:val="12"/>
        <w:tabs>
          <w:tab w:val="right" w:leader="dot" w:pos="9750"/>
        </w:tabs>
        <w:spacing w:line="520" w:lineRule="exact"/>
        <w:ind w:left="761"/>
      </w:pPr>
      <w:r>
        <w:fldChar w:fldCharType="begin"/>
      </w:r>
      <w:r>
        <w:instrText xml:space="preserve"> HYPERLINK \l "_Toc13288" </w:instrText>
      </w:r>
      <w:r>
        <w:fldChar w:fldCharType="separate"/>
      </w:r>
      <w:r>
        <w:rPr>
          <w:rFonts w:hint="eastAsia"/>
          <w:snapToGrid w:val="0"/>
          <w:kern w:val="0"/>
        </w:rPr>
        <w:t>三、法定代表人授权委托书</w:t>
      </w:r>
      <w:r>
        <w:tab/>
      </w:r>
      <w:r>
        <w:fldChar w:fldCharType="begin"/>
      </w:r>
      <w:r>
        <w:instrText xml:space="preserve"> PAGEREF _Toc13288 \h </w:instrText>
      </w:r>
      <w:r>
        <w:fldChar w:fldCharType="separate"/>
      </w:r>
      <w:r>
        <w:t>54</w:t>
      </w:r>
      <w:r>
        <w:fldChar w:fldCharType="end"/>
      </w:r>
      <w:r>
        <w:fldChar w:fldCharType="end"/>
      </w:r>
    </w:p>
    <w:p>
      <w:pPr>
        <w:pStyle w:val="12"/>
        <w:tabs>
          <w:tab w:val="right" w:leader="dot" w:pos="9750"/>
        </w:tabs>
        <w:spacing w:line="520" w:lineRule="exact"/>
        <w:ind w:left="761"/>
      </w:pPr>
      <w:r>
        <w:fldChar w:fldCharType="begin"/>
      </w:r>
      <w:r>
        <w:instrText xml:space="preserve"> HYPERLINK \l "_Toc24148" </w:instrText>
      </w:r>
      <w:r>
        <w:fldChar w:fldCharType="separate"/>
      </w:r>
      <w:r>
        <w:rPr>
          <w:rFonts w:hint="eastAsia"/>
          <w:snapToGrid w:val="0"/>
          <w:kern w:val="0"/>
        </w:rPr>
        <w:t>四、法定代表人身份证明书</w:t>
      </w:r>
      <w:r>
        <w:tab/>
      </w:r>
      <w:r>
        <w:fldChar w:fldCharType="begin"/>
      </w:r>
      <w:r>
        <w:instrText xml:space="preserve"> PAGEREF _Toc24148 \h </w:instrText>
      </w:r>
      <w:r>
        <w:fldChar w:fldCharType="separate"/>
      </w:r>
      <w:r>
        <w:t>55</w:t>
      </w:r>
      <w:r>
        <w:fldChar w:fldCharType="end"/>
      </w:r>
      <w:r>
        <w:fldChar w:fldCharType="end"/>
      </w:r>
    </w:p>
    <w:p>
      <w:pPr>
        <w:pStyle w:val="12"/>
        <w:tabs>
          <w:tab w:val="right" w:leader="dot" w:pos="9750"/>
        </w:tabs>
        <w:spacing w:line="520" w:lineRule="exact"/>
        <w:ind w:left="761"/>
      </w:pPr>
      <w:r>
        <w:fldChar w:fldCharType="begin"/>
      </w:r>
      <w:r>
        <w:instrText xml:space="preserve"> HYPERLINK \l "_Toc25842" </w:instrText>
      </w:r>
      <w:r>
        <w:fldChar w:fldCharType="separate"/>
      </w:r>
      <w:r>
        <w:rPr>
          <w:rFonts w:hint="eastAsia"/>
          <w:snapToGrid w:val="0"/>
          <w:kern w:val="0"/>
        </w:rPr>
        <w:t>五、财务状况报告</w:t>
      </w:r>
      <w:r>
        <w:tab/>
      </w:r>
      <w:r>
        <w:fldChar w:fldCharType="begin"/>
      </w:r>
      <w:r>
        <w:instrText xml:space="preserve"> PAGEREF _Toc25842 \h </w:instrText>
      </w:r>
      <w:r>
        <w:fldChar w:fldCharType="separate"/>
      </w:r>
      <w:r>
        <w:t>56</w:t>
      </w:r>
      <w:r>
        <w:fldChar w:fldCharType="end"/>
      </w:r>
      <w:r>
        <w:fldChar w:fldCharType="end"/>
      </w:r>
    </w:p>
    <w:p>
      <w:pPr>
        <w:pStyle w:val="12"/>
        <w:tabs>
          <w:tab w:val="right" w:leader="dot" w:pos="9750"/>
        </w:tabs>
        <w:spacing w:line="520" w:lineRule="exact"/>
        <w:ind w:left="761"/>
      </w:pPr>
      <w:r>
        <w:fldChar w:fldCharType="begin"/>
      </w:r>
      <w:r>
        <w:instrText xml:space="preserve"> HYPERLINK \l "_Toc11616" </w:instrText>
      </w:r>
      <w:r>
        <w:fldChar w:fldCharType="separate"/>
      </w:r>
      <w:r>
        <w:rPr>
          <w:rFonts w:hint="eastAsia"/>
          <w:snapToGrid w:val="0"/>
          <w:kern w:val="0"/>
        </w:rPr>
        <w:t>六、近期纳税相关材料</w:t>
      </w:r>
      <w:r>
        <w:tab/>
      </w:r>
      <w:r>
        <w:fldChar w:fldCharType="begin"/>
      </w:r>
      <w:r>
        <w:instrText xml:space="preserve"> PAGEREF _Toc11616 \h </w:instrText>
      </w:r>
      <w:r>
        <w:fldChar w:fldCharType="separate"/>
      </w:r>
      <w:r>
        <w:t>57</w:t>
      </w:r>
      <w:r>
        <w:fldChar w:fldCharType="end"/>
      </w:r>
      <w:r>
        <w:fldChar w:fldCharType="end"/>
      </w:r>
    </w:p>
    <w:p>
      <w:pPr>
        <w:pStyle w:val="12"/>
        <w:tabs>
          <w:tab w:val="right" w:leader="dot" w:pos="9750"/>
        </w:tabs>
        <w:spacing w:line="520" w:lineRule="exact"/>
        <w:ind w:left="761"/>
      </w:pPr>
      <w:r>
        <w:fldChar w:fldCharType="begin"/>
      </w:r>
      <w:r>
        <w:instrText xml:space="preserve"> HYPERLINK \l "_Toc13679" </w:instrText>
      </w:r>
      <w:r>
        <w:fldChar w:fldCharType="separate"/>
      </w:r>
      <w:r>
        <w:rPr>
          <w:rFonts w:hint="eastAsia"/>
          <w:snapToGrid w:val="0"/>
          <w:kern w:val="0"/>
        </w:rPr>
        <w:t>七、近期缴纳社保相关材料</w:t>
      </w:r>
      <w:r>
        <w:tab/>
      </w:r>
      <w:r>
        <w:fldChar w:fldCharType="begin"/>
      </w:r>
      <w:r>
        <w:instrText xml:space="preserve"> PAGEREF _Toc13679 \h </w:instrText>
      </w:r>
      <w:r>
        <w:fldChar w:fldCharType="separate"/>
      </w:r>
      <w:r>
        <w:t>58</w:t>
      </w:r>
      <w:r>
        <w:fldChar w:fldCharType="end"/>
      </w:r>
      <w:r>
        <w:fldChar w:fldCharType="end"/>
      </w:r>
    </w:p>
    <w:p>
      <w:pPr>
        <w:pStyle w:val="12"/>
        <w:tabs>
          <w:tab w:val="right" w:leader="dot" w:pos="9750"/>
        </w:tabs>
        <w:spacing w:line="520" w:lineRule="exact"/>
        <w:ind w:left="761"/>
      </w:pPr>
      <w:r>
        <w:fldChar w:fldCharType="begin"/>
      </w:r>
      <w:r>
        <w:instrText xml:space="preserve"> HYPERLINK \l "_Toc22185" </w:instrText>
      </w:r>
      <w:r>
        <w:fldChar w:fldCharType="separate"/>
      </w:r>
      <w:r>
        <w:rPr>
          <w:rFonts w:hint="eastAsia"/>
          <w:snapToGrid w:val="0"/>
          <w:kern w:val="0"/>
        </w:rPr>
        <w:t>八、具备履行合同所必须的设备和专业技术能力的证明材料</w:t>
      </w:r>
      <w:r>
        <w:tab/>
      </w:r>
      <w:r>
        <w:fldChar w:fldCharType="begin"/>
      </w:r>
      <w:r>
        <w:instrText xml:space="preserve"> PAGEREF _Toc22185 \h </w:instrText>
      </w:r>
      <w:r>
        <w:fldChar w:fldCharType="separate"/>
      </w:r>
      <w:r>
        <w:t>59</w:t>
      </w:r>
      <w:r>
        <w:fldChar w:fldCharType="end"/>
      </w:r>
      <w:r>
        <w:fldChar w:fldCharType="end"/>
      </w:r>
    </w:p>
    <w:p>
      <w:pPr>
        <w:pStyle w:val="12"/>
        <w:tabs>
          <w:tab w:val="right" w:leader="dot" w:pos="9750"/>
        </w:tabs>
        <w:spacing w:line="520" w:lineRule="exact"/>
        <w:ind w:left="761"/>
      </w:pPr>
      <w:r>
        <w:fldChar w:fldCharType="begin"/>
      </w:r>
      <w:r>
        <w:instrText xml:space="preserve"> HYPERLINK \l "_Toc28282" </w:instrText>
      </w:r>
      <w:r>
        <w:fldChar w:fldCharType="separate"/>
      </w:r>
      <w:r>
        <w:rPr>
          <w:rFonts w:hint="eastAsia"/>
          <w:snapToGrid w:val="0"/>
          <w:kern w:val="0"/>
        </w:rPr>
        <w:t>九、书面声明</w:t>
      </w:r>
      <w:r>
        <w:tab/>
      </w:r>
      <w:r>
        <w:fldChar w:fldCharType="begin"/>
      </w:r>
      <w:r>
        <w:instrText xml:space="preserve"> PAGEREF _Toc28282 \h </w:instrText>
      </w:r>
      <w:r>
        <w:fldChar w:fldCharType="separate"/>
      </w:r>
      <w:r>
        <w:t>60</w:t>
      </w:r>
      <w:r>
        <w:fldChar w:fldCharType="end"/>
      </w:r>
      <w:r>
        <w:fldChar w:fldCharType="end"/>
      </w:r>
    </w:p>
    <w:p>
      <w:pPr>
        <w:pStyle w:val="12"/>
        <w:tabs>
          <w:tab w:val="right" w:leader="dot" w:pos="9750"/>
        </w:tabs>
        <w:spacing w:line="520" w:lineRule="exact"/>
        <w:ind w:left="761"/>
      </w:pPr>
      <w:r>
        <w:fldChar w:fldCharType="begin"/>
      </w:r>
      <w:r>
        <w:instrText xml:space="preserve"> HYPERLINK \l "_Toc32126" </w:instrText>
      </w:r>
      <w:r>
        <w:fldChar w:fldCharType="separate"/>
      </w:r>
      <w:r>
        <w:rPr>
          <w:rFonts w:hint="eastAsia"/>
          <w:snapToGrid w:val="0"/>
          <w:kern w:val="0"/>
        </w:rPr>
        <w:t>十、招标文件规定的其他材料</w:t>
      </w:r>
      <w:r>
        <w:tab/>
      </w:r>
      <w:r>
        <w:fldChar w:fldCharType="begin"/>
      </w:r>
      <w:r>
        <w:instrText xml:space="preserve"> PAGEREF _Toc32126 \h </w:instrText>
      </w:r>
      <w:r>
        <w:fldChar w:fldCharType="separate"/>
      </w:r>
      <w:r>
        <w:t>61</w:t>
      </w:r>
      <w:r>
        <w:fldChar w:fldCharType="end"/>
      </w:r>
      <w:r>
        <w:fldChar w:fldCharType="end"/>
      </w:r>
    </w:p>
    <w:p>
      <w:pPr>
        <w:pStyle w:val="12"/>
        <w:tabs>
          <w:tab w:val="right" w:leader="dot" w:pos="9750"/>
        </w:tabs>
        <w:wordWrap w:val="0"/>
        <w:spacing w:line="520" w:lineRule="exact"/>
        <w:ind w:left="761"/>
        <w:rPr>
          <w:snapToGrid w:val="0"/>
          <w:kern w:val="0"/>
          <w:lang w:val="zh-CN"/>
        </w:rPr>
      </w:pPr>
      <w:r>
        <w:rPr>
          <w:rFonts w:hint="eastAsia"/>
          <w:snapToGrid w:val="0"/>
          <w:kern w:val="0"/>
          <w:lang w:val="zh-CN"/>
        </w:rPr>
        <w:fldChar w:fldCharType="end"/>
      </w:r>
      <w:bookmarkStart w:id="0" w:name="_Toc482084450"/>
      <w:bookmarkStart w:id="1" w:name="_Toc21383"/>
      <w:bookmarkStart w:id="2" w:name="_Toc17415"/>
      <w:bookmarkStart w:id="3" w:name="_Toc19929"/>
    </w:p>
    <w:p>
      <w:pPr>
        <w:pStyle w:val="6"/>
        <w:rPr>
          <w:snapToGrid w:val="0"/>
          <w:kern w:val="0"/>
        </w:rPr>
        <w:sectPr>
          <w:pgSz w:w="11910" w:h="16850"/>
          <w:pgMar w:top="1440" w:right="1080" w:bottom="1440" w:left="1080" w:header="1001" w:footer="981" w:gutter="0"/>
          <w:cols w:space="0" w:num="1"/>
          <w:docGrid w:type="linesAndChars" w:linePitch="288" w:charSpace="-4058"/>
        </w:sectPr>
      </w:pPr>
    </w:p>
    <w:p>
      <w:pPr>
        <w:pStyle w:val="6"/>
        <w:jc w:val="center"/>
        <w:rPr>
          <w:snapToGrid w:val="0"/>
          <w:color w:val="000000" w:themeColor="text1"/>
          <w:kern w:val="0"/>
          <w:highlight w:val="none"/>
          <w14:textFill>
            <w14:solidFill>
              <w14:schemeClr w14:val="tx1"/>
            </w14:solidFill>
          </w14:textFill>
        </w:rPr>
      </w:pPr>
      <w:bookmarkStart w:id="4" w:name="_Toc5576"/>
      <w:r>
        <w:rPr>
          <w:rFonts w:hint="eastAsia"/>
          <w:snapToGrid w:val="0"/>
          <w:color w:val="000000" w:themeColor="text1"/>
          <w:kern w:val="0"/>
          <w:highlight w:val="none"/>
          <w14:textFill>
            <w14:solidFill>
              <w14:schemeClr w14:val="tx1"/>
            </w14:solidFill>
          </w14:textFill>
        </w:rPr>
        <w:t>招标文件第一部分</w:t>
      </w:r>
      <w:bookmarkEnd w:id="0"/>
      <w:r>
        <w:rPr>
          <w:rFonts w:hint="eastAsia"/>
          <w:snapToGrid w:val="0"/>
          <w:color w:val="000000" w:themeColor="text1"/>
          <w:kern w:val="0"/>
          <w:highlight w:val="none"/>
          <w14:textFill>
            <w14:solidFill>
              <w14:schemeClr w14:val="tx1"/>
            </w14:solidFill>
          </w14:textFill>
        </w:rPr>
        <w:t>（专用部分）</w:t>
      </w:r>
      <w:bookmarkEnd w:id="1"/>
      <w:bookmarkEnd w:id="2"/>
      <w:bookmarkEnd w:id="3"/>
      <w:bookmarkEnd w:id="4"/>
    </w:p>
    <w:p>
      <w:pPr>
        <w:pStyle w:val="7"/>
        <w:rPr>
          <w:snapToGrid w:val="0"/>
          <w:color w:val="000000" w:themeColor="text1"/>
          <w:kern w:val="0"/>
          <w:highlight w:val="none"/>
          <w14:textFill>
            <w14:solidFill>
              <w14:schemeClr w14:val="tx1"/>
            </w14:solidFill>
          </w14:textFill>
        </w:rPr>
      </w:pPr>
      <w:bookmarkStart w:id="5" w:name="_Toc13189"/>
      <w:bookmarkStart w:id="6" w:name="_Toc30035"/>
      <w:bookmarkStart w:id="7" w:name="_Toc11781"/>
      <w:bookmarkStart w:id="8" w:name="_Toc8645"/>
      <w:bookmarkStart w:id="9" w:name="_Toc17872"/>
      <w:bookmarkStart w:id="10" w:name="_Toc462234292"/>
      <w:bookmarkStart w:id="11" w:name="_Toc4967"/>
      <w:bookmarkStart w:id="12" w:name="_Toc482084451"/>
      <w:r>
        <w:rPr>
          <w:rFonts w:hint="eastAsia"/>
          <w:snapToGrid w:val="0"/>
          <w:color w:val="000000" w:themeColor="text1"/>
          <w:kern w:val="0"/>
          <w:highlight w:val="none"/>
          <w14:textFill>
            <w14:solidFill>
              <w14:schemeClr w14:val="tx1"/>
            </w14:solidFill>
          </w14:textFill>
        </w:rPr>
        <w:t>第一章 招标公告</w:t>
      </w:r>
      <w:bookmarkEnd w:id="5"/>
      <w:bookmarkEnd w:id="6"/>
      <w:bookmarkEnd w:id="7"/>
      <w:bookmarkEnd w:id="8"/>
      <w:bookmarkEnd w:id="9"/>
      <w:bookmarkEnd w:id="10"/>
      <w:bookmarkEnd w:id="11"/>
      <w:bookmarkEnd w:id="12"/>
    </w:p>
    <w:p>
      <w:pPr>
        <w:pStyle w:val="22"/>
        <w:widowControl w:val="0"/>
        <w:ind w:firstLine="0" w:firstLineChars="0"/>
        <w:jc w:val="center"/>
        <w:rPr>
          <w:b/>
          <w:bCs/>
          <w:snapToGrid w:val="0"/>
          <w:color w:val="000000" w:themeColor="text1"/>
          <w:kern w:val="0"/>
          <w:sz w:val="24"/>
          <w:szCs w:val="24"/>
          <w:highlight w:val="none"/>
          <w14:textFill>
            <w14:solidFill>
              <w14:schemeClr w14:val="tx1"/>
            </w14:solidFill>
          </w14:textFill>
        </w:rPr>
      </w:pPr>
      <w:bookmarkStart w:id="13" w:name="_Toc35393789"/>
      <w:bookmarkStart w:id="14" w:name="_Toc28359001"/>
      <w:bookmarkStart w:id="15" w:name="_Toc31345"/>
      <w:bookmarkStart w:id="16" w:name="_Toc10733"/>
      <w:bookmarkStart w:id="17" w:name="_Toc12163"/>
      <w:r>
        <w:rPr>
          <w:rFonts w:hint="eastAsia"/>
          <w:b/>
          <w:bCs/>
          <w:snapToGrid w:val="0"/>
          <w:color w:val="000000" w:themeColor="text1"/>
          <w:kern w:val="0"/>
          <w:sz w:val="24"/>
          <w:szCs w:val="24"/>
          <w:highlight w:val="none"/>
          <w14:textFill>
            <w14:solidFill>
              <w14:schemeClr w14:val="tx1"/>
            </w14:solidFill>
          </w14:textFill>
        </w:rPr>
        <w:t>皖北卫生职业学院</w:t>
      </w:r>
      <w:r>
        <w:rPr>
          <w:rFonts w:hint="eastAsia"/>
          <w:b/>
          <w:bCs/>
          <w:snapToGrid w:val="0"/>
          <w:color w:val="000000" w:themeColor="text1"/>
          <w:kern w:val="0"/>
          <w:sz w:val="24"/>
          <w:szCs w:val="24"/>
          <w:highlight w:val="none"/>
          <w:lang w:eastAsia="zh-CN"/>
          <w14:textFill>
            <w14:solidFill>
              <w14:schemeClr w14:val="tx1"/>
            </w14:solidFill>
          </w14:textFill>
        </w:rPr>
        <w:t>第二食堂</w:t>
      </w:r>
      <w:r>
        <w:rPr>
          <w:rFonts w:hint="eastAsia"/>
          <w:b/>
          <w:bCs/>
          <w:snapToGrid w:val="0"/>
          <w:color w:val="000000" w:themeColor="text1"/>
          <w:kern w:val="0"/>
          <w:sz w:val="24"/>
          <w:szCs w:val="24"/>
          <w:highlight w:val="none"/>
          <w14:textFill>
            <w14:solidFill>
              <w14:schemeClr w14:val="tx1"/>
            </w14:solidFill>
          </w14:textFill>
        </w:rPr>
        <w:t>经营服务项目招标公告</w:t>
      </w:r>
      <w:bookmarkEnd w:id="13"/>
      <w:bookmarkEnd w:id="14"/>
    </w:p>
    <w:p>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80" w:lineRule="exact"/>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皖北卫生职业学院</w:t>
      </w:r>
      <w:r>
        <w:rPr>
          <w:rFonts w:hint="eastAsia" w:ascii="仿宋" w:hAnsi="仿宋" w:eastAsia="仿宋" w:cs="仿宋"/>
          <w:snapToGrid w:val="0"/>
          <w:color w:val="000000" w:themeColor="text1"/>
          <w:kern w:val="0"/>
          <w:sz w:val="28"/>
          <w:szCs w:val="28"/>
          <w:highlight w:val="none"/>
          <w:u w:val="single"/>
          <w:lang w:eastAsia="zh-CN"/>
          <w14:textFill>
            <w14:solidFill>
              <w14:schemeClr w14:val="tx1"/>
            </w14:solidFill>
          </w14:textFill>
        </w:rPr>
        <w:t>第二食堂</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经营服务项目</w:t>
      </w:r>
      <w:r>
        <w:rPr>
          <w:rFonts w:hint="eastAsia" w:ascii="仿宋" w:hAnsi="仿宋" w:eastAsia="仿宋" w:cs="仿宋"/>
          <w:snapToGrid w:val="0"/>
          <w:color w:val="000000" w:themeColor="text1"/>
          <w:kern w:val="0"/>
          <w:sz w:val="28"/>
          <w:szCs w:val="28"/>
          <w:highlight w:val="none"/>
          <w14:textFill>
            <w14:solidFill>
              <w14:schemeClr w14:val="tx1"/>
            </w14:solidFill>
          </w14:textFill>
        </w:rPr>
        <w:t>招标项目的潜在投标人应在</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全国公共资源交易平台（安徽省·宿州市）门户网站（网址：</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fldChar w:fldCharType="begin"/>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instrText xml:space="preserve"> HYPERLINK "http://ggzyjy.ahsz.gov.cn）获取招标文件，并于2024年07月" </w:instrText>
      </w:r>
      <w:r>
        <w:rPr>
          <w:rFonts w:hint="eastAsia" w:ascii="仿宋" w:hAnsi="仿宋" w:eastAsia="仿宋" w:cs="仿宋"/>
          <w:snapToGrid w:val="0"/>
          <w:color w:val="000000" w:themeColor="text1"/>
          <w:kern w:val="0"/>
          <w:sz w:val="28"/>
          <w:szCs w:val="28"/>
          <w:highlight w:val="none"/>
          <w14:textFill>
            <w14:solidFill>
              <w14:schemeClr w14:val="tx1"/>
            </w14:solidFill>
          </w14:textFill>
        </w:rPr>
        <w:fldChar w:fldCharType="separate"/>
      </w:r>
      <w:r>
        <w:rPr>
          <w:rStyle w:val="21"/>
          <w:rFonts w:hint="eastAsia" w:ascii="仿宋" w:hAnsi="仿宋" w:eastAsia="仿宋" w:cs="仿宋"/>
          <w:snapToGrid w:val="0"/>
          <w:color w:val="000000" w:themeColor="text1"/>
          <w:kern w:val="0"/>
          <w:sz w:val="28"/>
          <w:szCs w:val="28"/>
          <w:highlight w:val="none"/>
          <w14:textFill>
            <w14:solidFill>
              <w14:schemeClr w14:val="tx1"/>
            </w14:solidFill>
          </w14:textFill>
        </w:rPr>
        <w:t>http://ggzyjy.ahsz.gov.cn）获取招标文件，并于202</w:t>
      </w:r>
      <w:r>
        <w:rPr>
          <w:rStyle w:val="21"/>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4</w:t>
      </w:r>
      <w:r>
        <w:rPr>
          <w:rStyle w:val="21"/>
          <w:rFonts w:hint="eastAsia" w:ascii="仿宋" w:hAnsi="仿宋" w:eastAsia="仿宋" w:cs="仿宋"/>
          <w:bCs/>
          <w:snapToGrid w:val="0"/>
          <w:color w:val="000000" w:themeColor="text1"/>
          <w:kern w:val="0"/>
          <w:sz w:val="28"/>
          <w:szCs w:val="28"/>
          <w:highlight w:val="none"/>
          <w14:textFill>
            <w14:solidFill>
              <w14:schemeClr w14:val="tx1"/>
            </w14:solidFill>
          </w14:textFill>
        </w:rPr>
        <w:t>年</w:t>
      </w:r>
      <w:r>
        <w:rPr>
          <w:rStyle w:val="21"/>
          <w:rFonts w:hint="eastAsia" w:ascii="仿宋" w:hAnsi="仿宋" w:eastAsia="仿宋" w:cs="仿宋"/>
          <w:bCs/>
          <w:snapToGrid w:val="0"/>
          <w:color w:val="000000" w:themeColor="text1"/>
          <w:kern w:val="0"/>
          <w:sz w:val="28"/>
          <w:szCs w:val="28"/>
          <w:highlight w:val="none"/>
          <w:lang w:val="en-US" w:eastAsia="zh-CN"/>
          <w14:textFill>
            <w14:solidFill>
              <w14:schemeClr w14:val="tx1"/>
            </w14:solidFill>
          </w14:textFill>
        </w:rPr>
        <w:t xml:space="preserve"> </w:t>
      </w:r>
      <w:r>
        <w:rPr>
          <w:rStyle w:val="21"/>
          <w:rFonts w:hint="eastAsia" w:ascii="仿宋" w:hAnsi="仿宋" w:eastAsia="仿宋" w:cs="仿宋"/>
          <w:bCs/>
          <w:snapToGrid w:val="0"/>
          <w:color w:val="000000" w:themeColor="text1"/>
          <w:kern w:val="0"/>
          <w:sz w:val="28"/>
          <w:szCs w:val="28"/>
          <w:highlight w:val="non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fldChar w:fldCharType="end"/>
      </w:r>
      <w:r>
        <w:rPr>
          <w:rFonts w:hint="eastAsia" w:ascii="仿宋" w:hAnsi="仿宋" w:eastAsia="仿宋" w:cs="仿宋"/>
          <w:bCs/>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日09点00分（</w:t>
      </w:r>
      <w:r>
        <w:rPr>
          <w:rFonts w:hint="eastAsia" w:ascii="仿宋" w:hAnsi="仿宋" w:eastAsia="仿宋" w:cs="仿宋"/>
          <w:bCs/>
          <w:snapToGrid w:val="0"/>
          <w:color w:val="000000" w:themeColor="text1"/>
          <w:kern w:val="0"/>
          <w:sz w:val="28"/>
          <w:szCs w:val="28"/>
          <w:highlight w:val="none"/>
          <w14:textFill>
            <w14:solidFill>
              <w14:schemeClr w14:val="tx1"/>
            </w14:solidFill>
          </w14:textFill>
        </w:rPr>
        <w:t>北京时间）前提交投标文件</w:t>
      </w:r>
      <w:r>
        <w:rPr>
          <w:rFonts w:hint="eastAsia" w:ascii="仿宋" w:hAnsi="仿宋" w:eastAsia="仿宋" w:cs="仿宋"/>
          <w:snapToGrid w:val="0"/>
          <w:color w:val="000000" w:themeColor="text1"/>
          <w:kern w:val="0"/>
          <w:sz w:val="28"/>
          <w:szCs w:val="28"/>
          <w:highlight w:val="none"/>
          <w14:textFill>
            <w14:solidFill>
              <w14:schemeClr w14:val="tx1"/>
            </w14:solidFill>
          </w14:textFill>
        </w:rPr>
        <w:t>。</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18" w:name="_Toc28164"/>
      <w:bookmarkStart w:id="19" w:name="_Toc35393790"/>
      <w:bookmarkStart w:id="20" w:name="_Toc35393621"/>
      <w:bookmarkStart w:id="21" w:name="_Toc28359002"/>
      <w:bookmarkStart w:id="22" w:name="_Toc30893"/>
      <w:bookmarkStart w:id="23" w:name="_Toc16120"/>
      <w:bookmarkStart w:id="24" w:name="_Toc28359079"/>
      <w:bookmarkStart w:id="25" w:name="_Hlk24379207"/>
      <w:r>
        <w:rPr>
          <w:rFonts w:hint="eastAsia" w:ascii="仿宋" w:hAnsi="仿宋" w:eastAsia="仿宋" w:cs="仿宋"/>
          <w:snapToGrid w:val="0"/>
          <w:color w:val="000000" w:themeColor="text1"/>
          <w:kern w:val="0"/>
          <w:sz w:val="28"/>
          <w:highlight w:val="none"/>
          <w14:textFill>
            <w14:solidFill>
              <w14:schemeClr w14:val="tx1"/>
            </w14:solidFill>
          </w14:textFill>
        </w:rPr>
        <w:t>一、项目基本情况</w:t>
      </w:r>
      <w:bookmarkEnd w:id="18"/>
      <w:bookmarkEnd w:id="19"/>
      <w:bookmarkEnd w:id="20"/>
      <w:bookmarkEnd w:id="21"/>
      <w:bookmarkEnd w:id="22"/>
      <w:bookmarkEnd w:id="23"/>
      <w:bookmarkEnd w:id="24"/>
    </w:p>
    <w:p>
      <w:pPr>
        <w:kinsoku w:val="0"/>
        <w:overflowPunct w:val="0"/>
        <w:autoSpaceDE w:val="0"/>
        <w:autoSpaceDN w:val="0"/>
        <w:adjustRightInd w:val="0"/>
        <w:snapToGrid w:val="0"/>
        <w:spacing w:line="380" w:lineRule="exact"/>
        <w:ind w:firstLine="560" w:firstLineChars="200"/>
        <w:rPr>
          <w:rFonts w:hint="eastAsia"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项目编号：</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项目名称：皖北卫生职业学院</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第二食堂</w:t>
      </w:r>
      <w:r>
        <w:rPr>
          <w:rFonts w:hint="eastAsia" w:ascii="仿宋" w:hAnsi="仿宋" w:eastAsia="仿宋" w:cs="仿宋"/>
          <w:snapToGrid w:val="0"/>
          <w:color w:val="000000" w:themeColor="text1"/>
          <w:kern w:val="0"/>
          <w:sz w:val="28"/>
          <w:szCs w:val="28"/>
          <w:highlight w:val="none"/>
          <w14:textFill>
            <w14:solidFill>
              <w14:schemeClr w14:val="tx1"/>
            </w14:solidFill>
          </w14:textFill>
        </w:rPr>
        <w:t>经营服务项目</w:t>
      </w:r>
      <w:bookmarkEnd w:id="25"/>
      <w:r>
        <w:rPr>
          <w:rFonts w:hint="eastAsia" w:ascii="仿宋" w:hAnsi="仿宋" w:eastAsia="仿宋" w:cs="仿宋"/>
          <w:snapToGrid w:val="0"/>
          <w:color w:val="000000" w:themeColor="text1"/>
          <w:kern w:val="0"/>
          <w:sz w:val="28"/>
          <w:szCs w:val="28"/>
          <w:highlight w:val="none"/>
          <w14:textFill>
            <w14:solidFill>
              <w14:schemeClr w14:val="tx1"/>
            </w14:solidFill>
          </w14:textFill>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最低限价：</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装饰装修投资与设备配备投资（一次性投入），不低于100万。</w:t>
      </w:r>
    </w:p>
    <w:p>
      <w:pPr>
        <w:kinsoku w:val="0"/>
        <w:overflowPunct w:val="0"/>
        <w:autoSpaceDE w:val="0"/>
        <w:autoSpaceDN w:val="0"/>
        <w:adjustRightInd w:val="0"/>
        <w:snapToGrid w:val="0"/>
        <w:spacing w:line="38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缴纳水资源管理费、污水处理费、垃圾清运及处理费、水电管理费（不含水电费）、食品卫生监督费、校园一卡通系统及明厨亮灶监控维护维修费、饮食文化活动及其公共建设费等费用，不低于</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0万每年</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采购需求：详见第三章 货物服务需求一览表</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合同履行期限：3年（2+1），中标后先签订2年经营服务合同，经营期间每年由学校总务处等相关部门进行师生满意度考核，对综合满意度达到80%以上（含80%），且无重大食品安全事件；前2年合同期内被校方因食品安全负面问题书面约谈整改</w:t>
      </w:r>
      <w:r>
        <w:rPr>
          <w:rFonts w:hint="eastAsia" w:ascii="仿宋" w:hAnsi="仿宋" w:eastAsia="仿宋" w:cs="仿宋"/>
          <w:snapToGrid w:val="0"/>
          <w:color w:val="000000" w:themeColor="text1"/>
          <w:kern w:val="0"/>
          <w:sz w:val="28"/>
          <w:szCs w:val="28"/>
          <w:highlight w:val="none"/>
          <w:lang w:eastAsia="zh-CN"/>
          <w14:textFill>
            <w14:solidFill>
              <w14:schemeClr w14:val="tx1"/>
            </w14:solidFill>
          </w14:textFill>
        </w:rPr>
        <w:t>不多于</w:t>
      </w:r>
      <w:r>
        <w:rPr>
          <w:rFonts w:hint="eastAsia" w:ascii="仿宋" w:hAnsi="仿宋" w:eastAsia="仿宋" w:cs="仿宋"/>
          <w:snapToGrid w:val="0"/>
          <w:color w:val="000000" w:themeColor="text1"/>
          <w:kern w:val="0"/>
          <w:sz w:val="28"/>
          <w:szCs w:val="28"/>
          <w:highlight w:val="none"/>
          <w14:textFill>
            <w14:solidFill>
              <w14:schemeClr w14:val="tx1"/>
            </w14:solidFill>
          </w14:textFill>
        </w:rPr>
        <w:t>3次；被省、市、区市场监管等部门立案查处不多于1次且及时整改落实的，经学校研究同意可以续签第3年合同。</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本项目不接受联合体投标。</w:t>
      </w:r>
      <w:bookmarkStart w:id="26" w:name="_Toc28359080"/>
      <w:bookmarkStart w:id="27" w:name="_Toc18753"/>
      <w:bookmarkStart w:id="28" w:name="_Toc28359003"/>
      <w:bookmarkStart w:id="29" w:name="_Toc35393622"/>
      <w:bookmarkStart w:id="30" w:name="_Toc35393791"/>
      <w:bookmarkStart w:id="31" w:name="_Toc28723"/>
      <w:bookmarkStart w:id="32" w:name="_Toc8986"/>
    </w:p>
    <w:p>
      <w:pPr>
        <w:kinsoku w:val="0"/>
        <w:overflowPunct w:val="0"/>
        <w:autoSpaceDE w:val="0"/>
        <w:autoSpaceDN w:val="0"/>
        <w:adjustRightInd w:val="0"/>
        <w:snapToGrid w:val="0"/>
        <w:spacing w:line="380" w:lineRule="exact"/>
        <w:rPr>
          <w:rFonts w:ascii="仿宋" w:hAnsi="仿宋" w:eastAsia="仿宋" w:cs="仿宋"/>
          <w:b/>
          <w:bCs/>
          <w:snapToGrid w:val="0"/>
          <w:color w:val="000000" w:themeColor="text1"/>
          <w:kern w:val="0"/>
          <w:sz w:val="28"/>
          <w:szCs w:val="28"/>
          <w:highlight w:val="none"/>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14:textFill>
            <w14:solidFill>
              <w14:schemeClr w14:val="tx1"/>
            </w14:solidFill>
          </w14:textFill>
        </w:rPr>
        <w:t>二、申请人的资格要求</w:t>
      </w:r>
      <w:bookmarkEnd w:id="26"/>
      <w:bookmarkEnd w:id="27"/>
      <w:bookmarkEnd w:id="28"/>
      <w:bookmarkEnd w:id="29"/>
      <w:bookmarkEnd w:id="30"/>
      <w:bookmarkEnd w:id="31"/>
      <w:bookmarkEnd w:id="32"/>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1.满足《中华人民共和国政府采购法》第二十二条规定；</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bookmarkStart w:id="33" w:name="_Toc28359081"/>
      <w:bookmarkStart w:id="34" w:name="_Toc28359004"/>
      <w:r>
        <w:rPr>
          <w:rFonts w:hint="eastAsia" w:ascii="仿宋" w:hAnsi="仿宋" w:eastAsia="仿宋" w:cs="仿宋"/>
          <w:snapToGrid w:val="0"/>
          <w:color w:val="000000" w:themeColor="text1"/>
          <w:kern w:val="0"/>
          <w:sz w:val="28"/>
          <w:szCs w:val="28"/>
          <w:highlight w:val="none"/>
          <w14:textFill>
            <w14:solidFill>
              <w14:schemeClr w14:val="tx1"/>
            </w14:solidFill>
          </w14:textFill>
        </w:rPr>
        <w:t>2.本项目的特定资格要求：供应商（含不具有独立法人资格的分公司、不含具备独立法人资格的子公司）存在以下不良信用记录情形之一，不得推荐为中标候选人，不得确定为中标人：</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（1）供应商被人民法院列入失信被执行人的；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（2）供应商或其法定代表人或拟派项目经理（项目负责人）被列入行贿犯罪档案的；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（3）供应商被市场监督管理局列入企业经营异常名录的；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（4）供应商被税务部门列入重大税收违法案件当事人名单的；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（5）供应商被政府采购监管部门列入政府采购严重违法失信行为记录名单的。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情形（2）由供应商提供无行贿犯罪记录承诺函。</w:t>
      </w:r>
    </w:p>
    <w:p>
      <w:pPr>
        <w:kinsoku w:val="0"/>
        <w:overflowPunct w:val="0"/>
        <w:autoSpaceDE w:val="0"/>
        <w:autoSpaceDN w:val="0"/>
        <w:adjustRightInd w:val="0"/>
        <w:snapToGrid w:val="0"/>
        <w:spacing w:line="380" w:lineRule="exact"/>
        <w:ind w:firstLine="562" w:firstLineChars="200"/>
        <w:rPr>
          <w:rFonts w:ascii="仿宋" w:hAnsi="仿宋" w:eastAsia="仿宋" w:cs="仿宋"/>
          <w:bCs/>
          <w:color w:val="000000" w:themeColor="text1"/>
          <w:sz w:val="28"/>
          <w:szCs w:val="28"/>
          <w:highlight w:val="none"/>
          <w14:textFill>
            <w14:solidFill>
              <w14:schemeClr w14:val="tx1"/>
            </w14:solidFill>
          </w14:textFill>
        </w:rPr>
      </w:pPr>
      <w:bookmarkStart w:id="35" w:name="_Toc25311"/>
      <w:bookmarkStart w:id="36" w:name="_Toc18699"/>
      <w:bookmarkStart w:id="37" w:name="_Toc35393623"/>
      <w:bookmarkStart w:id="38" w:name="_Toc26228"/>
      <w:bookmarkStart w:id="39" w:name="_Toc35393792"/>
      <w:r>
        <w:rPr>
          <w:rFonts w:hint="eastAsia" w:ascii="仿宋" w:hAnsi="仿宋" w:eastAsia="仿宋" w:cs="仿宋"/>
          <w:b/>
          <w:bCs/>
          <w:snapToGrid w:val="0"/>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仿宋"/>
          <w:b/>
          <w:bCs/>
          <w:snapToGrid w:val="0"/>
          <w:color w:val="000000" w:themeColor="text1"/>
          <w:kern w:val="0"/>
          <w:sz w:val="28"/>
          <w:szCs w:val="28"/>
          <w:highlight w:val="none"/>
          <w14:textFill>
            <w14:solidFill>
              <w14:schemeClr w14:val="tx1"/>
            </w14:solidFill>
          </w14:textFill>
        </w:rPr>
        <w:t>.投标人必须具有有效的营业执照和食品经营许可证。</w:t>
      </w:r>
      <w:bookmarkEnd w:id="35"/>
    </w:p>
    <w:p>
      <w:pPr>
        <w:shd w:val="clear" w:color="auto" w:fill="FFFFFF"/>
        <w:kinsoku w:val="0"/>
        <w:overflowPunct w:val="0"/>
        <w:autoSpaceDE w:val="0"/>
        <w:autoSpaceDN w:val="0"/>
        <w:adjustRightInd w:val="0"/>
        <w:snapToGrid w:val="0"/>
        <w:spacing w:line="380" w:lineRule="exact"/>
        <w:ind w:firstLine="48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注：投标单位必须使用本单位资质，一旦发现资质挂靠现象，一律取消投标资格。</w:t>
      </w:r>
    </w:p>
    <w:p>
      <w:pPr>
        <w:kinsoku w:val="0"/>
        <w:overflowPunct w:val="0"/>
        <w:autoSpaceDE w:val="0"/>
        <w:autoSpaceDN w:val="0"/>
        <w:adjustRightInd w:val="0"/>
        <w:snapToGrid w:val="0"/>
        <w:spacing w:line="380" w:lineRule="exact"/>
        <w:ind w:firstLine="562" w:firstLineChars="200"/>
        <w:rPr>
          <w:rFonts w:ascii="仿宋" w:hAnsi="仿宋" w:eastAsia="仿宋" w:cs="仿宋"/>
          <w:b/>
          <w:bCs/>
          <w:snapToGrid w:val="0"/>
          <w:color w:val="000000" w:themeColor="text1"/>
          <w:kern w:val="0"/>
          <w:sz w:val="28"/>
          <w:szCs w:val="28"/>
          <w:highlight w:val="none"/>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lang w:val="en-US" w:eastAsia="zh-CN"/>
          <w14:textFill>
            <w14:solidFill>
              <w14:schemeClr w14:val="tx1"/>
            </w14:solidFill>
          </w14:textFill>
        </w:rPr>
        <w:t>4</w:t>
      </w:r>
      <w:bookmarkStart w:id="203" w:name="_GoBack"/>
      <w:bookmarkEnd w:id="203"/>
      <w:r>
        <w:rPr>
          <w:rFonts w:hint="eastAsia" w:ascii="仿宋" w:hAnsi="仿宋" w:eastAsia="仿宋" w:cs="仿宋"/>
          <w:b/>
          <w:bCs/>
          <w:snapToGrid w:val="0"/>
          <w:color w:val="000000" w:themeColor="text1"/>
          <w:kern w:val="0"/>
          <w:sz w:val="28"/>
          <w:szCs w:val="28"/>
          <w:highlight w:val="none"/>
          <w14:textFill>
            <w14:solidFill>
              <w14:schemeClr w14:val="tx1"/>
            </w14:solidFill>
          </w14:textFill>
        </w:rPr>
        <w:t>.近三年内未出现食品安全事故及被相关主管部门记入不良记录（投标人自行承诺）。</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40" w:name="_Toc20032"/>
      <w:r>
        <w:rPr>
          <w:rFonts w:hint="eastAsia" w:ascii="仿宋" w:hAnsi="仿宋" w:eastAsia="仿宋" w:cs="仿宋"/>
          <w:snapToGrid w:val="0"/>
          <w:color w:val="000000" w:themeColor="text1"/>
          <w:kern w:val="0"/>
          <w:sz w:val="28"/>
          <w:highlight w:val="none"/>
          <w14:textFill>
            <w14:solidFill>
              <w14:schemeClr w14:val="tx1"/>
            </w14:solidFill>
          </w14:textFill>
        </w:rPr>
        <w:t>三、获取招标文件</w:t>
      </w:r>
      <w:bookmarkEnd w:id="33"/>
      <w:bookmarkEnd w:id="34"/>
      <w:bookmarkEnd w:id="36"/>
      <w:bookmarkEnd w:id="37"/>
      <w:bookmarkEnd w:id="38"/>
      <w:bookmarkEnd w:id="39"/>
      <w:bookmarkEnd w:id="40"/>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时间：</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202</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年</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日</w:t>
      </w:r>
      <w:r>
        <w:rPr>
          <w:rFonts w:hint="eastAsia" w:ascii="仿宋" w:hAnsi="仿宋" w:eastAsia="仿宋" w:cs="仿宋"/>
          <w:snapToGrid w:val="0"/>
          <w:color w:val="000000" w:themeColor="text1"/>
          <w:kern w:val="0"/>
          <w:sz w:val="28"/>
          <w:szCs w:val="28"/>
          <w:highlight w:val="none"/>
          <w14:textFill>
            <w14:solidFill>
              <w14:schemeClr w14:val="tx1"/>
            </w14:solidFill>
          </w14:textFill>
        </w:rPr>
        <w:t>至</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202</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年</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日</w:t>
      </w:r>
      <w:r>
        <w:rPr>
          <w:rFonts w:hint="eastAsia" w:ascii="仿宋" w:hAnsi="仿宋" w:eastAsia="仿宋" w:cs="仿宋"/>
          <w:snapToGrid w:val="0"/>
          <w:color w:val="000000" w:themeColor="text1"/>
          <w:kern w:val="0"/>
          <w:sz w:val="28"/>
          <w:szCs w:val="28"/>
          <w:highlight w:val="none"/>
          <w14:textFill>
            <w14:solidFill>
              <w14:schemeClr w14:val="tx1"/>
            </w14:solidFill>
          </w14:textFill>
        </w:rPr>
        <w:t>，每天上午</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8:00</w:t>
      </w:r>
      <w:r>
        <w:rPr>
          <w:rFonts w:hint="eastAsia" w:ascii="仿宋" w:hAnsi="仿宋" w:eastAsia="仿宋" w:cs="仿宋"/>
          <w:snapToGrid w:val="0"/>
          <w:color w:val="000000" w:themeColor="text1"/>
          <w:kern w:val="0"/>
          <w:sz w:val="28"/>
          <w:szCs w:val="28"/>
          <w:highlight w:val="none"/>
          <w14:textFill>
            <w14:solidFill>
              <w14:schemeClr w14:val="tx1"/>
            </w14:solidFill>
          </w14:textFill>
        </w:rPr>
        <w:t>至</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 xml:space="preserve">12:00 </w:t>
      </w:r>
      <w:r>
        <w:rPr>
          <w:rFonts w:hint="eastAsia" w:ascii="仿宋" w:hAnsi="仿宋" w:eastAsia="仿宋" w:cs="仿宋"/>
          <w:snapToGrid w:val="0"/>
          <w:color w:val="000000" w:themeColor="text1"/>
          <w:kern w:val="0"/>
          <w:sz w:val="28"/>
          <w:szCs w:val="28"/>
          <w:highlight w:val="none"/>
          <w14:textFill>
            <w14:solidFill>
              <w14:schemeClr w14:val="tx1"/>
            </w14:solidFill>
          </w14:textFill>
        </w:rPr>
        <w:t>，下午</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12:00</w:t>
      </w:r>
      <w:r>
        <w:rPr>
          <w:rFonts w:hint="eastAsia" w:ascii="仿宋" w:hAnsi="仿宋" w:eastAsia="仿宋" w:cs="仿宋"/>
          <w:snapToGrid w:val="0"/>
          <w:color w:val="000000" w:themeColor="text1"/>
          <w:kern w:val="0"/>
          <w:sz w:val="28"/>
          <w:szCs w:val="28"/>
          <w:highlight w:val="none"/>
          <w14:textFill>
            <w14:solidFill>
              <w14:schemeClr w14:val="tx1"/>
            </w14:solidFill>
          </w14:textFill>
        </w:rPr>
        <w:t>至</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17:00</w:t>
      </w:r>
      <w:r>
        <w:rPr>
          <w:rFonts w:hint="eastAsia" w:ascii="仿宋" w:hAnsi="仿宋" w:eastAsia="仿宋" w:cs="仿宋"/>
          <w:snapToGrid w:val="0"/>
          <w:color w:val="000000" w:themeColor="text1"/>
          <w:kern w:val="0"/>
          <w:sz w:val="28"/>
          <w:szCs w:val="28"/>
          <w:highlight w:val="none"/>
          <w14:textFill>
            <w14:solidFill>
              <w14:schemeClr w14:val="tx1"/>
            </w14:solidFill>
          </w14:textFill>
        </w:rPr>
        <w:t>（北京时间，法定节假日除外）</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获取地点：网上获取。</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方式：</w:t>
      </w:r>
      <w:r>
        <w:rPr>
          <w:rFonts w:hint="eastAsia" w:ascii="仿宋" w:hAnsi="仿宋" w:eastAsia="仿宋" w:cs="仿宋"/>
          <w:color w:val="000000" w:themeColor="text1"/>
          <w:sz w:val="28"/>
          <w:szCs w:val="28"/>
          <w:highlight w:val="none"/>
          <w14:textFill>
            <w14:solidFill>
              <w14:schemeClr w14:val="tx1"/>
            </w14:solidFill>
          </w14:textFill>
        </w:rPr>
        <w:t>凡有意参加投标者，请将营业执照扫描件及法人身份证明或法人授权委托书加盖公章，在招标文件规定获取时间内将上述材料扫描后发送至邮箱:</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@qq.com，发送后请电话通知</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，审核通过后将招标文件电子版发送至投标人邮箱。</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售价：每套人民币0元整，招标文件售后不退。</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41" w:name="_Toc28359005"/>
      <w:bookmarkStart w:id="42" w:name="_Toc28359082"/>
      <w:bookmarkStart w:id="43" w:name="_Toc35393624"/>
      <w:bookmarkStart w:id="44" w:name="_Toc24777"/>
      <w:bookmarkStart w:id="45" w:name="_Toc35393793"/>
      <w:bookmarkStart w:id="46" w:name="_Toc30265"/>
      <w:bookmarkStart w:id="47" w:name="_Toc29782"/>
      <w:r>
        <w:rPr>
          <w:rFonts w:hint="eastAsia" w:ascii="仿宋" w:hAnsi="仿宋" w:eastAsia="仿宋" w:cs="仿宋"/>
          <w:snapToGrid w:val="0"/>
          <w:color w:val="000000" w:themeColor="text1"/>
          <w:kern w:val="0"/>
          <w:sz w:val="28"/>
          <w:highlight w:val="none"/>
          <w14:textFill>
            <w14:solidFill>
              <w14:schemeClr w14:val="tx1"/>
            </w14:solidFill>
          </w14:textFill>
        </w:rPr>
        <w:t>四、提交投标文件</w:t>
      </w:r>
      <w:bookmarkEnd w:id="41"/>
      <w:bookmarkEnd w:id="42"/>
      <w:r>
        <w:rPr>
          <w:rFonts w:hint="eastAsia" w:ascii="仿宋" w:hAnsi="仿宋" w:eastAsia="仿宋" w:cs="仿宋"/>
          <w:snapToGrid w:val="0"/>
          <w:color w:val="000000" w:themeColor="text1"/>
          <w:kern w:val="0"/>
          <w:sz w:val="28"/>
          <w:highlight w:val="none"/>
          <w14:textFill>
            <w14:solidFill>
              <w14:schemeClr w14:val="tx1"/>
            </w14:solidFill>
          </w14:textFill>
        </w:rPr>
        <w:t>截止时间、开标时间和地点</w:t>
      </w:r>
      <w:bookmarkEnd w:id="43"/>
      <w:bookmarkEnd w:id="44"/>
      <w:bookmarkEnd w:id="45"/>
      <w:bookmarkEnd w:id="46"/>
      <w:bookmarkEnd w:id="47"/>
    </w:p>
    <w:p>
      <w:pPr>
        <w:kinsoku w:val="0"/>
        <w:overflowPunct w:val="0"/>
        <w:autoSpaceDE w:val="0"/>
        <w:autoSpaceDN w:val="0"/>
        <w:adjustRightInd w:val="0"/>
        <w:snapToGrid w:val="0"/>
        <w:spacing w:line="380" w:lineRule="exact"/>
        <w:ind w:firstLine="560" w:firstLineChars="200"/>
        <w:rPr>
          <w:rFonts w:ascii="仿宋" w:hAnsi="仿宋" w:eastAsia="仿宋" w:cs="仿宋"/>
          <w:bCs/>
          <w:snapToGrid w:val="0"/>
          <w:color w:val="000000" w:themeColor="text1"/>
          <w:kern w:val="0"/>
          <w:sz w:val="28"/>
          <w:szCs w:val="28"/>
          <w:highlight w:val="none"/>
          <w:u w:val="single"/>
          <w14:textFill>
            <w14:solidFill>
              <w14:schemeClr w14:val="tx1"/>
            </w14:solidFill>
          </w14:textFill>
        </w:rPr>
      </w:pP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202</w:t>
      </w:r>
      <w:r>
        <w:rPr>
          <w:rFonts w:hint="eastAsia" w:ascii="仿宋" w:hAnsi="仿宋" w:eastAsia="仿宋" w:cs="仿宋"/>
          <w:bCs/>
          <w:snapToGrid w:val="0"/>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年 月 日09点00分</w:t>
      </w:r>
      <w:r>
        <w:rPr>
          <w:rFonts w:hint="eastAsia" w:ascii="仿宋" w:hAnsi="仿宋" w:eastAsia="仿宋" w:cs="仿宋"/>
          <w:bCs/>
          <w:snapToGrid w:val="0"/>
          <w:color w:val="000000" w:themeColor="text1"/>
          <w:kern w:val="0"/>
          <w:sz w:val="28"/>
          <w:szCs w:val="28"/>
          <w:highlight w:val="none"/>
          <w14:textFill>
            <w14:solidFill>
              <w14:schemeClr w14:val="tx1"/>
            </w14:solidFill>
          </w14:textFill>
        </w:rPr>
        <w:t>（北京时间）</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u w:val="singl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地点：</w:t>
      </w:r>
      <w:r>
        <w:rPr>
          <w:rFonts w:hint="eastAsia" w:ascii="仿宋" w:hAnsi="仿宋" w:eastAsia="仿宋" w:cs="仿宋"/>
          <w:color w:val="000000" w:themeColor="text1"/>
          <w:sz w:val="28"/>
          <w:szCs w:val="28"/>
          <w:highlight w:val="none"/>
          <w14:textFill>
            <w14:solidFill>
              <w14:schemeClr w14:val="tx1"/>
            </w14:solidFill>
          </w14:textFill>
        </w:rPr>
        <w:t>宿州市公共资源交易中心</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48" w:name="_Toc28359007"/>
      <w:bookmarkStart w:id="49" w:name="_Toc35393625"/>
      <w:bookmarkStart w:id="50" w:name="_Toc20785"/>
      <w:bookmarkStart w:id="51" w:name="_Toc10275"/>
      <w:bookmarkStart w:id="52" w:name="_Toc3410"/>
      <w:bookmarkStart w:id="53" w:name="_Toc28359084"/>
      <w:bookmarkStart w:id="54" w:name="_Toc35393794"/>
      <w:r>
        <w:rPr>
          <w:rFonts w:hint="eastAsia" w:ascii="仿宋" w:hAnsi="仿宋" w:eastAsia="仿宋" w:cs="仿宋"/>
          <w:snapToGrid w:val="0"/>
          <w:color w:val="000000" w:themeColor="text1"/>
          <w:kern w:val="0"/>
          <w:sz w:val="28"/>
          <w:highlight w:val="none"/>
          <w14:textFill>
            <w14:solidFill>
              <w14:schemeClr w14:val="tx1"/>
            </w14:solidFill>
          </w14:textFill>
        </w:rPr>
        <w:t>五、公告期限</w:t>
      </w:r>
      <w:bookmarkEnd w:id="48"/>
      <w:bookmarkEnd w:id="49"/>
      <w:bookmarkEnd w:id="50"/>
      <w:bookmarkEnd w:id="51"/>
      <w:bookmarkEnd w:id="52"/>
      <w:bookmarkEnd w:id="53"/>
      <w:bookmarkEnd w:id="54"/>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自本公告发布之日起至202</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8"/>
          <w:szCs w:val="28"/>
          <w:highlight w:val="none"/>
          <w14:textFill>
            <w14:solidFill>
              <w14:schemeClr w14:val="tx1"/>
            </w14:solidFill>
          </w14:textFill>
        </w:rPr>
        <w:t>年</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14:textFill>
            <w14:solidFill>
              <w14:schemeClr w14:val="tx1"/>
            </w14:solidFill>
          </w14:textFill>
        </w:rPr>
        <w:t>日17:00（北京时间）。</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55" w:name="_Toc35393626"/>
      <w:bookmarkStart w:id="56" w:name="_Toc35393795"/>
      <w:bookmarkStart w:id="57" w:name="_Toc8775"/>
      <w:bookmarkStart w:id="58" w:name="_Toc1108"/>
      <w:bookmarkStart w:id="59" w:name="_Toc23340"/>
      <w:r>
        <w:rPr>
          <w:rFonts w:hint="eastAsia" w:ascii="仿宋" w:hAnsi="仿宋" w:eastAsia="仿宋" w:cs="仿宋"/>
          <w:snapToGrid w:val="0"/>
          <w:color w:val="000000" w:themeColor="text1"/>
          <w:kern w:val="0"/>
          <w:sz w:val="28"/>
          <w:highlight w:val="none"/>
          <w14:textFill>
            <w14:solidFill>
              <w14:schemeClr w14:val="tx1"/>
            </w14:solidFill>
          </w14:textFill>
        </w:rPr>
        <w:t>六、其他补充事宜</w:t>
      </w:r>
      <w:bookmarkEnd w:id="55"/>
      <w:bookmarkEnd w:id="56"/>
      <w:bookmarkEnd w:id="57"/>
      <w:bookmarkEnd w:id="58"/>
      <w:bookmarkEnd w:id="59"/>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lang w:val="en-US"/>
          <w14:textFill>
            <w14:solidFill>
              <w14:schemeClr w14:val="tx1"/>
            </w14:solidFill>
          </w14:textFill>
        </w:rPr>
      </w:pPr>
      <w:bookmarkStart w:id="60" w:name="_Toc35393796"/>
      <w:bookmarkStart w:id="61" w:name="_Toc28359085"/>
      <w:bookmarkStart w:id="62" w:name="_Toc28359008"/>
      <w:bookmarkStart w:id="63" w:name="_Toc35393627"/>
      <w:bookmarkStart w:id="64" w:name="_Toc17696"/>
      <w:bookmarkStart w:id="65" w:name="_Toc2975"/>
      <w:bookmarkStart w:id="66" w:name="_Toc11402"/>
      <w:r>
        <w:rPr>
          <w:rFonts w:hint="eastAsia" w:ascii="仿宋" w:hAnsi="仿宋" w:eastAsia="仿宋" w:cs="仿宋"/>
          <w:color w:val="000000" w:themeColor="text1"/>
          <w:sz w:val="28"/>
          <w:szCs w:val="28"/>
          <w:highlight w:val="none"/>
          <w:lang w:val="en-US"/>
          <w14:textFill>
            <w14:solidFill>
              <w14:schemeClr w14:val="tx1"/>
            </w14:solidFill>
          </w14:textFill>
        </w:rPr>
        <w:t>1、本项目采用不见面开标，投标人无须前往现场递交投标文件。投标供应商请在投标截止时间前将签字盖章并加密的投标文件PDF格式（并标注项目名称、单位名称）发送至</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14:textFill>
            <w14:solidFill>
              <w14:schemeClr w14:val="tx1"/>
            </w14:solidFill>
          </w14:textFill>
        </w:rPr>
        <w:t>@qq.com邮箱内，密码请牢记。在宣布发送解密密码后30分钟内将解密密码（并注明单位名称+联系人姓名+手机号码）发送至邮箱：</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14:textFill>
            <w14:solidFill>
              <w14:schemeClr w14:val="tx1"/>
            </w14:solidFill>
          </w14:textFill>
        </w:rPr>
        <w:t>@qq.com，未能及时发送“密码”的按无效标处理。解密成功后进行开标、评标活动。（请投标供应商提前做好传送邮件准备，防止网络拥挤造成发送未成功。除图表外，其他投标文件内容均应采用 A4 纸格式)。</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、请投标人保证邮件可正常打开查看标书，若文件损坏或标书无法查看的，造成的一切后果由投标人自行承担。</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、投标人自身原因导致投标文件发送失败的，风险由投标人自行承担。</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、本招标项目开评标过程中的询标、澄清等程序均采用远程方式进行，请各投标人在规定时间内对询标内容以PDF格式回复，发送至指定邮箱，询标也在指定邮箱，时间</w:t>
      </w:r>
      <w:r>
        <w:rPr>
          <w:rFonts w:hint="eastAsia" w:ascii="仿宋" w:hAnsi="仿宋" w:eastAsia="仿宋" w:cs="仿宋"/>
          <w:color w:val="000000" w:themeColor="text1"/>
          <w:sz w:val="28"/>
          <w:szCs w:val="28"/>
          <w:highlight w:val="none"/>
          <w:lang w:eastAsia="zh-CN"/>
          <w14:textFill>
            <w14:solidFill>
              <w14:schemeClr w14:val="tx1"/>
            </w14:solidFill>
          </w14:textFill>
        </w:rPr>
        <w:t>不多于</w:t>
      </w:r>
      <w:r>
        <w:rPr>
          <w:rFonts w:hint="eastAsia" w:ascii="仿宋" w:hAnsi="仿宋" w:eastAsia="仿宋" w:cs="仿宋"/>
          <w:color w:val="000000" w:themeColor="text1"/>
          <w:sz w:val="28"/>
          <w:szCs w:val="28"/>
          <w:highlight w:val="none"/>
          <w14:textFill>
            <w14:solidFill>
              <w14:schemeClr w14:val="tx1"/>
            </w14:solidFill>
          </w14:textFill>
        </w:rPr>
        <w:t>询标发起后15分钟，若超过15分钟，视为放弃解释权力，评委按不利于投标人解释处理。</w:t>
      </w:r>
      <w:r>
        <w:rPr>
          <w:rFonts w:hint="eastAsia" w:ascii="仿宋" w:hAnsi="仿宋" w:eastAsia="仿宋" w:cs="仿宋"/>
          <w:color w:val="000000" w:themeColor="text1"/>
          <w:sz w:val="28"/>
          <w:szCs w:val="28"/>
          <w:highlight w:val="none"/>
          <w:lang w:val="en-US"/>
          <w14:textFill>
            <w14:solidFill>
              <w14:schemeClr w14:val="tx1"/>
            </w14:solidFill>
          </w14:textFill>
        </w:rPr>
        <w:t>请各投标人在开标当天评标结束前不要离开电脑，</w:t>
      </w:r>
      <w:r>
        <w:rPr>
          <w:rFonts w:hint="eastAsia" w:ascii="仿宋" w:hAnsi="仿宋" w:eastAsia="仿宋" w:cs="仿宋"/>
          <w:color w:val="000000" w:themeColor="text1"/>
          <w:sz w:val="28"/>
          <w:szCs w:val="28"/>
          <w:highlight w:val="none"/>
          <w14:textFill>
            <w14:solidFill>
              <w14:schemeClr w14:val="tx1"/>
            </w14:solidFill>
          </w14:textFill>
        </w:rPr>
        <w:t>时刻关注自己的邮箱。</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 xml:space="preserve">5、投标文件以邮箱收到的时间为准；投标截止时间之后收到的投标文件，不予解密、唱标。 </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 xml:space="preserve">6、投标人多次发送邮件的，以最后收到的投标文件为准。 </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r>
        <w:rPr>
          <w:rFonts w:hint="eastAsia" w:ascii="仿宋" w:hAnsi="仿宋" w:eastAsia="仿宋" w:cs="仿宋"/>
          <w:snapToGrid w:val="0"/>
          <w:color w:val="000000" w:themeColor="text1"/>
          <w:kern w:val="0"/>
          <w:sz w:val="28"/>
          <w:highlight w:val="none"/>
          <w14:textFill>
            <w14:solidFill>
              <w14:schemeClr w14:val="tx1"/>
            </w14:solidFill>
          </w14:textFill>
        </w:rPr>
        <w:t>七、对本次招标提出询问，请按以下方式联系</w:t>
      </w:r>
      <w:bookmarkEnd w:id="60"/>
      <w:bookmarkEnd w:id="61"/>
      <w:bookmarkEnd w:id="62"/>
      <w:bookmarkEnd w:id="63"/>
      <w:bookmarkEnd w:id="64"/>
      <w:bookmarkEnd w:id="65"/>
      <w:bookmarkEnd w:id="66"/>
    </w:p>
    <w:bookmarkEnd w:id="15"/>
    <w:bookmarkEnd w:id="16"/>
    <w:bookmarkEnd w:id="17"/>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bookmarkStart w:id="67" w:name="_Toc6411"/>
      <w:bookmarkStart w:id="68" w:name="_Toc23419"/>
      <w:bookmarkStart w:id="69" w:name="_Toc482084456"/>
      <w:bookmarkStart w:id="70" w:name="_Toc6951"/>
      <w:r>
        <w:rPr>
          <w:rFonts w:hint="eastAsia" w:ascii="仿宋" w:hAnsi="仿宋" w:eastAsia="仿宋" w:cs="仿宋"/>
          <w:color w:val="000000" w:themeColor="text1"/>
          <w:sz w:val="28"/>
          <w:szCs w:val="28"/>
          <w:highlight w:val="none"/>
          <w14:textFill>
            <w14:solidFill>
              <w14:schemeClr w14:val="tx1"/>
            </w14:solidFill>
          </w14:textFill>
        </w:rPr>
        <w:t>1.采购人信息</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皖北卫生职业学院  </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w:t>
      </w:r>
      <w:bookmarkStart w:id="71" w:name="_Toc28359009"/>
      <w:bookmarkStart w:id="72" w:name="_Toc28359086"/>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2.采购代理机构信息（如有）</w:t>
      </w:r>
      <w:bookmarkEnd w:id="71"/>
      <w:bookmarkEnd w:id="72"/>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w:t>
      </w:r>
      <w:r>
        <w:rPr>
          <w:rFonts w:hint="eastAsia" w:ascii="仿宋" w:hAnsi="仿宋" w:eastAsia="仿宋" w:cs="仿宋"/>
          <w:color w:val="000000" w:themeColor="text1"/>
          <w:sz w:val="28"/>
          <w:szCs w:val="28"/>
          <w:highlight w:val="none"/>
          <w:u w:val="single"/>
          <w14:textFill>
            <w14:solidFill>
              <w14:schemeClr w14:val="tx1"/>
            </w14:solidFill>
          </w14:textFill>
        </w:rPr>
        <w:t>　管理有限公司</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14:textFill>
            <w14:solidFill>
              <w14:schemeClr w14:val="tx1"/>
            </w14:solidFill>
          </w14:textFill>
        </w:rPr>
        <w:t>　</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w:t>
      </w:r>
      <w:bookmarkStart w:id="73" w:name="_Toc28359087"/>
      <w:bookmarkStart w:id="74" w:name="_Toc28359010"/>
      <w:r>
        <w:rPr>
          <w:rFonts w:hint="eastAsia" w:ascii="仿宋" w:hAnsi="仿宋" w:eastAsia="仿宋" w:cs="仿宋"/>
          <w:color w:val="000000" w:themeColor="text1"/>
          <w:sz w:val="28"/>
          <w:szCs w:val="28"/>
          <w:highlight w:val="none"/>
          <w:u w:val="single"/>
          <w14:textFill>
            <w14:solidFill>
              <w14:schemeClr w14:val="tx1"/>
            </w14:solidFill>
          </w14:textFill>
        </w:rPr>
        <w:t>　　　</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3.项目联系方式</w:t>
      </w:r>
      <w:bookmarkEnd w:id="73"/>
      <w:bookmarkEnd w:id="74"/>
    </w:p>
    <w:p>
      <w:pPr>
        <w:pStyle w:val="13"/>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项目联系人：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14:textFill>
            <w14:solidFill>
              <w14:schemeClr w14:val="tx1"/>
            </w14:solidFill>
          </w14:textFill>
        </w:rPr>
        <w:t>　1　</w:t>
      </w:r>
    </w:p>
    <w:p>
      <w:pPr>
        <w:pStyle w:val="2"/>
        <w:ind w:firstLine="640"/>
        <w:rPr>
          <w:color w:val="000000" w:themeColor="text1"/>
          <w:highlight w:val="none"/>
          <w14:textFill>
            <w14:solidFill>
              <w14:schemeClr w14:val="tx1"/>
            </w14:solidFill>
          </w14:textFill>
        </w:rPr>
      </w:pPr>
    </w:p>
    <w:p>
      <w:pPr>
        <w:pStyle w:val="7"/>
        <w:kinsoku w:val="0"/>
        <w:wordWrap/>
        <w:autoSpaceDE w:val="0"/>
        <w:autoSpaceDN w:val="0"/>
        <w:adjustRightInd w:val="0"/>
        <w:snapToGrid w:val="0"/>
        <w:spacing w:line="420" w:lineRule="exact"/>
        <w:rPr>
          <w:rFonts w:hint="eastAsia"/>
          <w:snapToGrid w:val="0"/>
          <w:color w:val="000000" w:themeColor="text1"/>
          <w:kern w:val="0"/>
          <w:highlight w:val="none"/>
          <w14:textFill>
            <w14:solidFill>
              <w14:schemeClr w14:val="tx1"/>
            </w14:solidFill>
          </w14:textFill>
        </w:rPr>
      </w:pPr>
      <w:bookmarkStart w:id="75" w:name="_Toc3349"/>
    </w:p>
    <w:p>
      <w:pPr>
        <w:pStyle w:val="7"/>
        <w:kinsoku w:val="0"/>
        <w:wordWrap/>
        <w:autoSpaceDE w:val="0"/>
        <w:autoSpaceDN w:val="0"/>
        <w:adjustRightInd w:val="0"/>
        <w:snapToGrid w:val="0"/>
        <w:spacing w:line="420" w:lineRule="exac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第二章 投标人须知前附表</w:t>
      </w:r>
      <w:bookmarkEnd w:id="67"/>
      <w:bookmarkEnd w:id="68"/>
      <w:bookmarkEnd w:id="69"/>
      <w:bookmarkEnd w:id="70"/>
      <w:bookmarkEnd w:id="75"/>
    </w:p>
    <w:tbl>
      <w:tblPr>
        <w:tblStyle w:val="18"/>
        <w:tblW w:w="498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425"/>
        <w:gridCol w:w="772"/>
        <w:gridCol w:w="5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b/>
                <w:snapToGrid w:val="0"/>
                <w:color w:val="000000" w:themeColor="text1"/>
                <w:kern w:val="0"/>
                <w:sz w:val="22"/>
                <w:highlight w:val="none"/>
                <w14:textFill>
                  <w14:solidFill>
                    <w14:schemeClr w14:val="tx1"/>
                  </w14:solidFill>
                </w14:textFill>
              </w:rPr>
            </w:pPr>
            <w:r>
              <w:rPr>
                <w:rFonts w:hint="eastAsia" w:ascii="宋体" w:hAnsi="宋体" w:cs="宋体"/>
                <w:b/>
                <w:snapToGrid w:val="0"/>
                <w:color w:val="000000" w:themeColor="text1"/>
                <w:kern w:val="0"/>
                <w:sz w:val="22"/>
                <w:highlight w:val="none"/>
                <w14:textFill>
                  <w14:solidFill>
                    <w14:schemeClr w14:val="tx1"/>
                  </w14:solidFill>
                </w14:textFill>
              </w:rPr>
              <w:t>序号</w:t>
            </w:r>
          </w:p>
        </w:tc>
        <w:tc>
          <w:tcPr>
            <w:tcW w:w="4624" w:type="pct"/>
            <w:gridSpan w:val="3"/>
            <w:vAlign w:val="center"/>
          </w:tcPr>
          <w:p>
            <w:pPr>
              <w:kinsoku w:val="0"/>
              <w:autoSpaceDE w:val="0"/>
              <w:autoSpaceDN w:val="0"/>
              <w:adjustRightInd w:val="0"/>
              <w:snapToGrid w:val="0"/>
              <w:spacing w:line="420" w:lineRule="exact"/>
              <w:jc w:val="center"/>
              <w:rPr>
                <w:rFonts w:ascii="宋体" w:hAnsi="宋体" w:cs="宋体"/>
                <w:b/>
                <w:snapToGrid w:val="0"/>
                <w:color w:val="000000" w:themeColor="text1"/>
                <w:kern w:val="0"/>
                <w:sz w:val="22"/>
                <w:highlight w:val="none"/>
                <w14:textFill>
                  <w14:solidFill>
                    <w14:schemeClr w14:val="tx1"/>
                  </w14:solidFill>
                </w14:textFill>
              </w:rPr>
            </w:pPr>
            <w:r>
              <w:rPr>
                <w:rFonts w:hint="eastAsia" w:ascii="宋体" w:hAnsi="宋体" w:cs="宋体"/>
                <w:b/>
                <w:snapToGrid w:val="0"/>
                <w:color w:val="000000" w:themeColor="text1"/>
                <w:kern w:val="0"/>
                <w:sz w:val="22"/>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项目名称</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皖北卫生职业学院</w:t>
            </w:r>
            <w:r>
              <w:rPr>
                <w:rFonts w:hint="eastAsia" w:ascii="宋体" w:hAnsi="宋体" w:cs="宋体"/>
                <w:snapToGrid w:val="0"/>
                <w:color w:val="000000" w:themeColor="text1"/>
                <w:kern w:val="0"/>
                <w:sz w:val="22"/>
                <w:highlight w:val="none"/>
                <w:lang w:eastAsia="zh-CN"/>
                <w14:textFill>
                  <w14:solidFill>
                    <w14:schemeClr w14:val="tx1"/>
                  </w14:solidFill>
                </w14:textFill>
              </w:rPr>
              <w:t>第二食堂</w:t>
            </w:r>
            <w:r>
              <w:rPr>
                <w:rFonts w:hint="eastAsia" w:ascii="宋体" w:hAnsi="宋体" w:cs="宋体"/>
                <w:snapToGrid w:val="0"/>
                <w:color w:val="000000" w:themeColor="text1"/>
                <w:kern w:val="0"/>
                <w:sz w:val="22"/>
                <w:highlight w:val="none"/>
                <w14:textFill>
                  <w14:solidFill>
                    <w14:schemeClr w14:val="tx1"/>
                  </w14:solidFill>
                </w14:textFill>
              </w:rPr>
              <w:t>经营服务项目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项目编号</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采购人</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名 称：皖北卫生职业学院  　</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 xml:space="preserve">地址： 皖北卫生职业学院   </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 xml:space="preserve">联系方式：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代理机构</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名称：</w:t>
            </w:r>
          </w:p>
          <w:p>
            <w:pPr>
              <w:kinsoku w:val="0"/>
              <w:autoSpaceDE w:val="0"/>
              <w:autoSpaceDN w:val="0"/>
              <w:adjustRightInd w:val="0"/>
              <w:snapToGrid w:val="0"/>
              <w:spacing w:line="420" w:lineRule="exact"/>
              <w:ind w:firstLine="440" w:firstLineChars="200"/>
              <w:rPr>
                <w:rFonts w:hint="eastAsia"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地址：</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联系人：</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5</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采购内容和预算</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restar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6</w:t>
            </w:r>
          </w:p>
        </w:tc>
        <w:tc>
          <w:tcPr>
            <w:tcW w:w="1345" w:type="pct"/>
            <w:vMerge w:val="restar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项目类别</w:t>
            </w:r>
          </w:p>
        </w:tc>
        <w:tc>
          <w:tcPr>
            <w:tcW w:w="428" w:type="pct"/>
            <w:vMerge w:val="restar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□货物类</w:t>
            </w:r>
          </w:p>
        </w:tc>
        <w:tc>
          <w:tcPr>
            <w:tcW w:w="2850"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134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428" w:type="pct"/>
            <w:vMerge w:val="continue"/>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p>
        </w:tc>
        <w:tc>
          <w:tcPr>
            <w:tcW w:w="2850"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□非单一产品采购，其中标符号的为核心产品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134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7</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评审办法</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☑综合评分法□有效最低价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8</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中标人个数</w:t>
            </w:r>
          </w:p>
        </w:tc>
        <w:tc>
          <w:tcPr>
            <w:tcW w:w="3279" w:type="pct"/>
            <w:gridSpan w:val="2"/>
            <w:vAlign w:val="center"/>
          </w:tcPr>
          <w:p>
            <w:pPr>
              <w:spacing w:line="500" w:lineRule="exact"/>
              <w:ind w:firstLine="468"/>
              <w:rPr>
                <w:rFonts w:hint="default" w:ascii="宋体" w:hAnsi="宋体" w:eastAsia="宋体" w:cs="宋体"/>
                <w:b/>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kern w:val="0"/>
                <w:sz w:val="22"/>
                <w:highlight w:val="none"/>
                <w14:textFill>
                  <w14:solidFill>
                    <w14:schemeClr w14:val="tx1"/>
                  </w14:solidFill>
                </w14:textFill>
              </w:rPr>
              <w:t>推荐1名中标候选人。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9</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招标文件的澄清和修改</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lang w:bidi="he-IL"/>
                <w14:textFill>
                  <w14:solidFill>
                    <w14:schemeClr w14:val="tx1"/>
                  </w14:solidFill>
                </w14:textFill>
              </w:rPr>
            </w:pPr>
            <w:r>
              <w:rPr>
                <w:rFonts w:hint="eastAsia" w:ascii="宋体" w:hAnsi="宋体" w:cs="宋体"/>
                <w:snapToGrid w:val="0"/>
                <w:color w:val="000000" w:themeColor="text1"/>
                <w:kern w:val="0"/>
                <w:sz w:val="22"/>
                <w:highlight w:val="none"/>
                <w:lang w:bidi="he-IL"/>
                <w14:textFill>
                  <w14:solidFill>
                    <w14:schemeClr w14:val="tx1"/>
                  </w14:solidFill>
                </w14:textFill>
              </w:rPr>
              <w:t>详见“第五章11、招标文件的澄清和修改”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10</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招标文件的质疑和答复</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lang w:bidi="he-IL"/>
                <w14:textFill>
                  <w14:solidFill>
                    <w14:schemeClr w14:val="tx1"/>
                  </w14:solidFill>
                </w14:textFill>
              </w:rPr>
            </w:pPr>
            <w:r>
              <w:rPr>
                <w:rFonts w:hint="eastAsia" w:ascii="宋体" w:hAnsi="宋体" w:cs="宋体"/>
                <w:snapToGrid w:val="0"/>
                <w:color w:val="000000" w:themeColor="text1"/>
                <w:kern w:val="0"/>
                <w:sz w:val="22"/>
                <w:highlight w:val="none"/>
                <w:lang w:bidi="he-IL"/>
                <w14:textFill>
                  <w14:solidFill>
                    <w14:schemeClr w14:val="tx1"/>
                  </w14:solidFill>
                </w14:textFill>
              </w:rPr>
              <w:t>详见“第五章12、招标文件的质疑和答复”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12</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u w:val="singl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投标保证金</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投标保证金到账截止时间</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本项目无需缴纳。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投标文件份数</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邮箱提交的电子投标文件。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15</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投标文件格式</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16</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服务期限</w:t>
            </w:r>
          </w:p>
        </w:tc>
        <w:tc>
          <w:tcPr>
            <w:tcW w:w="3279" w:type="pct"/>
            <w:gridSpan w:val="2"/>
            <w:vAlign w:val="center"/>
          </w:tcPr>
          <w:p>
            <w:pPr>
              <w:kinsoku w:val="0"/>
              <w:autoSpaceDE w:val="0"/>
              <w:autoSpaceDN w:val="0"/>
              <w:adjustRightInd w:val="0"/>
              <w:snapToGrid w:val="0"/>
              <w:spacing w:line="420" w:lineRule="exact"/>
              <w:ind w:firstLine="468"/>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服务期限：</w:t>
            </w:r>
            <w:r>
              <w:rPr>
                <w:rFonts w:hint="eastAsia" w:ascii="宋体" w:hAnsi="宋体" w:cs="宋体"/>
                <w:b/>
                <w:bCs/>
                <w:color w:val="000000" w:themeColor="text1"/>
                <w:sz w:val="22"/>
                <w:highlight w:val="none"/>
                <w14:textFill>
                  <w14:solidFill>
                    <w14:schemeClr w14:val="tx1"/>
                  </w14:solidFill>
                </w14:textFill>
              </w:rPr>
              <w:t>3年（2+1），</w:t>
            </w:r>
            <w:r>
              <w:rPr>
                <w:rFonts w:hint="eastAsia" w:ascii="宋体" w:hAnsi="宋体" w:cs="宋体"/>
                <w:color w:val="000000" w:themeColor="text1"/>
                <w:sz w:val="22"/>
                <w:highlight w:val="none"/>
                <w14:textFill>
                  <w14:solidFill>
                    <w14:schemeClr w14:val="tx1"/>
                  </w14:solidFill>
                </w14:textFill>
              </w:rPr>
              <w:t>中标后先签订2年经营服务合同，经营期间每年由学校总务处等相关部门进行师生满意度考核，对综合满意度达到80%以上（含80%），且无重大食品安全事件，前2年</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合同期内被校方因食品安全负面问题书面约谈整改</w:t>
            </w:r>
            <w:r>
              <w:rPr>
                <w:rFonts w:hint="eastAsia" w:asciiTheme="minorEastAsia" w:hAnsiTheme="minorEastAsia" w:eastAsiaTheme="minorEastAsia" w:cstheme="minorEastAsia"/>
                <w:snapToGrid w:val="0"/>
                <w:color w:val="000000" w:themeColor="text1"/>
                <w:kern w:val="0"/>
                <w:sz w:val="22"/>
                <w:highlight w:val="none"/>
                <w:lang w:eastAsia="zh-CN"/>
                <w14:textFill>
                  <w14:solidFill>
                    <w14:schemeClr w14:val="tx1"/>
                  </w14:solidFill>
                </w14:textFill>
              </w:rPr>
              <w:t>不多于</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3次；被省、市、区市场监管等部门立案查处不多于1次且及时整改落实的，</w:t>
            </w:r>
            <w:r>
              <w:rPr>
                <w:rFonts w:hint="eastAsia" w:asciiTheme="minorEastAsia" w:hAnsiTheme="minorEastAsia" w:eastAsiaTheme="minorEastAsia" w:cstheme="minorEastAsia"/>
                <w:color w:val="000000" w:themeColor="text1"/>
                <w:sz w:val="22"/>
                <w:highlight w:val="none"/>
                <w14:textFill>
                  <w14:solidFill>
                    <w14:schemeClr w14:val="tx1"/>
                  </w14:solidFill>
                </w14:textFill>
              </w:rPr>
              <w:t>经学校研究同意可以续签第3年合同。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17</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投标截止时间和开标时间</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18</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投标文件提交地点</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19</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投标有效期</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开标后60天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20</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公告公示媒介</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宿州市公共资源交易中心门户网（网址：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"http://ggzyjy.ahsz.gov.cn/"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kern w:val="0"/>
                <w:sz w:val="22"/>
                <w:highlight w:val="none"/>
                <w14:textFill>
                  <w14:solidFill>
                    <w14:schemeClr w14:val="tx1"/>
                  </w14:solidFill>
                </w14:textFill>
              </w:rPr>
              <w:t>http://ggzyjy.ahsz.gov.cn/</w:t>
            </w:r>
            <w:r>
              <w:rPr>
                <w:rFonts w:hint="eastAsia" w:ascii="宋体" w:hAnsi="宋体" w:cs="宋体"/>
                <w:snapToGrid w:val="0"/>
                <w:color w:val="000000" w:themeColor="text1"/>
                <w:kern w:val="0"/>
                <w:sz w:val="22"/>
                <w:highlight w:val="none"/>
                <w14:textFill>
                  <w14:solidFill>
                    <w14:schemeClr w14:val="tx1"/>
                  </w14:solidFill>
                </w14:textFill>
              </w:rPr>
              <w:fldChar w:fldCharType="end"/>
            </w:r>
            <w:r>
              <w:rPr>
                <w:rFonts w:hint="eastAsia" w:ascii="宋体" w:hAnsi="宋体" w:cs="宋体"/>
                <w:snapToGrid w:val="0"/>
                <w:color w:val="000000" w:themeColor="text1"/>
                <w:kern w:val="0"/>
                <w:sz w:val="22"/>
                <w:highlight w:val="none"/>
                <w14:textFill>
                  <w14:solidFill>
                    <w14:schemeClr w14:val="tx1"/>
                  </w14:solidFill>
                </w14:textFill>
              </w:rPr>
              <w:t>）和本项目交易平台所在地交易中心门户网（</w:t>
            </w:r>
            <w:r>
              <w:rPr>
                <w:rFonts w:hint="eastAsia" w:ascii="宋体" w:hAnsi="宋体" w:cs="宋体"/>
                <w:snapToGrid w:val="0"/>
                <w:color w:val="000000" w:themeColor="text1"/>
                <w:kern w:val="0"/>
                <w:sz w:val="22"/>
                <w:highlight w:val="none"/>
                <w:u w:val="single"/>
                <w14:textFill>
                  <w14:solidFill>
                    <w14:schemeClr w14:val="tx1"/>
                  </w14:solidFill>
                </w14:textFill>
              </w:rPr>
              <w:t>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"http://ggzyjy.ahsz.gov.cn/"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kern w:val="0"/>
                <w:sz w:val="22"/>
                <w:highlight w:val="none"/>
                <w:u w:val="single"/>
                <w14:textFill>
                  <w14:solidFill>
                    <w14:schemeClr w14:val="tx1"/>
                  </w14:solidFill>
                </w14:textFill>
              </w:rPr>
              <w:t>http://ggzyjy.ahsz.gov.cn/</w:t>
            </w:r>
            <w:r>
              <w:rPr>
                <w:rFonts w:hint="eastAsia" w:ascii="宋体" w:hAnsi="宋体" w:cs="宋体"/>
                <w:snapToGrid w:val="0"/>
                <w:color w:val="000000" w:themeColor="text1"/>
                <w:kern w:val="0"/>
                <w:sz w:val="22"/>
                <w:highlight w:val="none"/>
                <w:u w:val="single"/>
                <w14:textFill>
                  <w14:solidFill>
                    <w14:schemeClr w14:val="tx1"/>
                  </w14:solidFill>
                </w14:textFill>
              </w:rPr>
              <w:fldChar w:fldCharType="end"/>
            </w:r>
            <w:r>
              <w:rPr>
                <w:rFonts w:hint="eastAsia" w:ascii="宋体" w:hAnsi="宋体" w:cs="宋体"/>
                <w:snapToGrid w:val="0"/>
                <w:color w:val="000000" w:themeColor="text1"/>
                <w:kern w:val="0"/>
                <w:sz w:val="22"/>
                <w:highlight w:val="none"/>
                <w14:textFill>
                  <w14:solidFill>
                    <w14:schemeClr w14:val="tx1"/>
                  </w14:solidFill>
                </w14:textFill>
              </w:rPr>
              <w:t>），并同时在安徽省公共资源交易监管网、安徽省政府采购网发布。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b/>
                <w:bCs/>
                <w:snapToGrid w:val="0"/>
                <w:color w:val="000000" w:themeColor="text1"/>
                <w:kern w:val="0"/>
                <w:sz w:val="22"/>
                <w:highlight w:val="none"/>
                <w14:textFill>
                  <w14:solidFill>
                    <w14:schemeClr w14:val="tx1"/>
                  </w14:solidFill>
                </w14:textFill>
              </w:rPr>
              <w:t>电子投标文件制作注意事项（重要）</w:t>
            </w:r>
          </w:p>
        </w:tc>
        <w:tc>
          <w:tcPr>
            <w:tcW w:w="3279" w:type="pct"/>
            <w:gridSpan w:val="2"/>
            <w:vAlign w:val="center"/>
          </w:tcPr>
          <w:p>
            <w:pPr>
              <w:pStyle w:val="27"/>
              <w:kinsoku w:val="0"/>
              <w:autoSpaceDE w:val="0"/>
              <w:autoSpaceDN w:val="0"/>
              <w:adjustRightInd w:val="0"/>
              <w:snapToGrid w:val="0"/>
              <w:spacing w:line="420" w:lineRule="exact"/>
              <w:ind w:firstLine="0" w:firstLineChars="0"/>
              <w:rPr>
                <w:rFonts w:ascii="宋体" w:hAnsi="宋体"/>
                <w:b/>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1、</w:t>
            </w:r>
            <w:r>
              <w:rPr>
                <w:rFonts w:hint="eastAsia"/>
                <w:color w:val="000000" w:themeColor="text1"/>
                <w:sz w:val="22"/>
                <w:szCs w:val="22"/>
                <w:highlight w:val="none"/>
                <w14:textFill>
                  <w14:solidFill>
                    <w14:schemeClr w14:val="tx1"/>
                  </w14:solidFill>
                </w14:textFill>
              </w:rPr>
              <w:t>本项目投标文件组成中另外设置以下节点供投标人上传对应资料，不能对应的，可上传至资格证明文件</w:t>
            </w:r>
            <w:r>
              <w:rPr>
                <w:rFonts w:hint="eastAsia"/>
                <w:color w:val="000000" w:themeColor="text1"/>
                <w:sz w:val="22"/>
                <w:szCs w:val="22"/>
                <w:highlight w:val="none"/>
                <w:lang w:val="en-US"/>
                <w14:textFill>
                  <w14:solidFill>
                    <w14:schemeClr w14:val="tx1"/>
                  </w14:solidFill>
                </w14:textFill>
              </w:rPr>
              <w:t>中“招标文件规定的其他材料”</w:t>
            </w:r>
            <w:r>
              <w:rPr>
                <w:rFonts w:hint="eastAsia"/>
                <w:color w:val="000000" w:themeColor="text1"/>
                <w:sz w:val="22"/>
                <w:szCs w:val="22"/>
                <w:highlight w:val="none"/>
                <w14:textFill>
                  <w14:solidFill>
                    <w14:schemeClr w14:val="tx1"/>
                  </w14:solidFill>
                </w14:textFill>
              </w:rPr>
              <w:t>节点</w:t>
            </w:r>
            <w:r>
              <w:rPr>
                <w:rFonts w:hint="eastAsia" w:ascii="宋体" w:hAnsi="宋体"/>
                <w:b/>
                <w:color w:val="000000" w:themeColor="text1"/>
                <w:sz w:val="22"/>
                <w:szCs w:val="22"/>
                <w:highlight w:val="none"/>
                <w14:textFill>
                  <w14:solidFill>
                    <w14:schemeClr w14:val="tx1"/>
                  </w14:solidFill>
                </w14:textFill>
              </w:rPr>
              <w:t>：</w:t>
            </w:r>
          </w:p>
          <w:p>
            <w:pPr>
              <w:kinsoku w:val="0"/>
              <w:autoSpaceDE w:val="0"/>
              <w:autoSpaceDN w:val="0"/>
              <w:adjustRightInd w:val="0"/>
              <w:snapToGrid w:val="0"/>
              <w:spacing w:line="420" w:lineRule="exact"/>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2、</w:t>
            </w:r>
            <w:r>
              <w:rPr>
                <w:rFonts w:hint="eastAsia"/>
                <w:color w:val="000000" w:themeColor="text1"/>
                <w:sz w:val="22"/>
                <w:highlight w:val="none"/>
                <w:lang w:val="zh-CN"/>
                <w14:textFill>
                  <w14:solidFill>
                    <w14:schemeClr w14:val="tx1"/>
                  </w14:solidFill>
                </w14:textFill>
              </w:rPr>
              <w:t>投标人制作完成投标文件PDF格式后请进行预览，仔细检查投标文件的清晰度，保证招标文件要求的扫描件清晰显示，如因 材料模糊不清，导致评标委员会无法辨认的，一切后果由供应商自行承担。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22</w:t>
            </w:r>
          </w:p>
        </w:tc>
        <w:tc>
          <w:tcPr>
            <w:tcW w:w="1345" w:type="pct"/>
            <w:vAlign w:val="center"/>
          </w:tcPr>
          <w:p>
            <w:pPr>
              <w:pStyle w:val="27"/>
              <w:kinsoku w:val="0"/>
              <w:autoSpaceDE w:val="0"/>
              <w:autoSpaceDN w:val="0"/>
              <w:adjustRightInd w:val="0"/>
              <w:snapToGrid w:val="0"/>
              <w:spacing w:line="420" w:lineRule="exact"/>
              <w:ind w:firstLine="0" w:firstLineChars="0"/>
              <w:rPr>
                <w:rFonts w:ascii="宋体" w:hAnsi="宋体" w:cs="宋体"/>
                <w:snapToGrid w:val="0"/>
                <w:color w:val="000000" w:themeColor="text1"/>
                <w:kern w:val="0"/>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电子招投标具体要求</w:t>
            </w:r>
          </w:p>
        </w:tc>
        <w:tc>
          <w:tcPr>
            <w:tcW w:w="3279" w:type="pct"/>
            <w:gridSpan w:val="2"/>
            <w:vAlign w:val="center"/>
          </w:tcPr>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本工程采用全流程网上招投标。</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（1）投标人提交的投标文件应当全部使用招标文件所要求的投标文件格式，生成的电子加密PDF投标文件。</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（2）在编制投标文件时，以最后发出的电子招标文件为准进行投标文件编制。</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（3）投标人必须通过邮箱发送投标文件电子版至指定的邮箱。</w:t>
            </w:r>
          </w:p>
          <w:p>
            <w:pPr>
              <w:pStyle w:val="27"/>
              <w:kinsoku w:val="0"/>
              <w:autoSpaceDE w:val="0"/>
              <w:autoSpaceDN w:val="0"/>
              <w:adjustRightInd w:val="0"/>
              <w:snapToGrid w:val="0"/>
              <w:spacing w:line="420" w:lineRule="exact"/>
              <w:ind w:firstLine="0" w:firstLineChars="0"/>
              <w:rPr>
                <w:rFonts w:ascii="宋体" w:hAnsi="宋体" w:cs="宋体"/>
                <w:snapToGrid w:val="0"/>
                <w:color w:val="000000" w:themeColor="text1"/>
                <w:kern w:val="0"/>
                <w:sz w:val="22"/>
                <w:szCs w:val="22"/>
                <w:highlight w:val="none"/>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不符合以上三项内容中任意一项要求，经评委会评审可以按无效标处理。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b/>
                <w:bCs/>
                <w:snapToGrid w:val="0"/>
                <w:color w:val="000000" w:themeColor="text1"/>
                <w:kern w:val="0"/>
                <w:sz w:val="22"/>
                <w:highlight w:val="none"/>
                <w14:textFill>
                  <w14:solidFill>
                    <w14:schemeClr w14:val="tx1"/>
                  </w14:solidFill>
                </w14:textFill>
              </w:rPr>
              <w:t>注意事项</w:t>
            </w:r>
          </w:p>
        </w:tc>
        <w:tc>
          <w:tcPr>
            <w:tcW w:w="3279" w:type="pct"/>
            <w:gridSpan w:val="2"/>
            <w:vAlign w:val="center"/>
          </w:tcPr>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开标方式：</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1、本项目不要求投标人到达开标现场，本次招标采用邮箱</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递交投标文件。投标人的投标文件须按招标文件要求进行编</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制并签字盖章，将签字盖章后的投标文件彩色扫描生成一个</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加密PDF文档，投标文件提交截止时间前发送至邮箱</w:t>
            </w:r>
          </w:p>
          <w:p>
            <w:pPr>
              <w:pStyle w:val="27"/>
              <w:kinsoku w:val="0"/>
              <w:autoSpaceDE w:val="0"/>
              <w:autoSpaceDN w:val="0"/>
              <w:adjustRightInd w:val="0"/>
              <w:snapToGrid w:val="0"/>
              <w:spacing w:line="420" w:lineRule="exact"/>
              <w:ind w:left="440" w:hanging="440" w:hangingChars="20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@qq.com。</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2、本次招标签到以在线验证方式进行。于202</w:t>
            </w: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lang w:val="en-US"/>
                <w14:textFill>
                  <w14:solidFill>
                    <w14:schemeClr w14:val="tx1"/>
                  </w14:solidFill>
                </w14:textFill>
              </w:rPr>
              <w:t>年</w:t>
            </w:r>
            <w:r>
              <w:rPr>
                <w:rFonts w:hint="eastAsia"/>
                <w:color w:val="000000" w:themeColor="text1"/>
                <w:sz w:val="22"/>
                <w:szCs w:val="22"/>
                <w:highlight w:val="none"/>
                <w:lang w:val="en-US" w:eastAsia="zh-CN"/>
                <w14:textFill>
                  <w14:solidFill>
                    <w14:schemeClr w14:val="tx1"/>
                  </w14:solidFill>
                </w14:textFill>
              </w:rPr>
              <w:t xml:space="preserve"> </w:t>
            </w:r>
            <w:r>
              <w:rPr>
                <w:rFonts w:hint="eastAsia"/>
                <w:color w:val="000000" w:themeColor="text1"/>
                <w:sz w:val="22"/>
                <w:szCs w:val="22"/>
                <w:highlight w:val="none"/>
                <w:lang w:val="en-US"/>
                <w14:textFill>
                  <w14:solidFill>
                    <w14:schemeClr w14:val="tx1"/>
                  </w14:solidFill>
                </w14:textFill>
              </w:rPr>
              <w:t>月</w:t>
            </w:r>
            <w:r>
              <w:rPr>
                <w:rFonts w:hint="eastAsia"/>
                <w:color w:val="000000" w:themeColor="text1"/>
                <w:sz w:val="22"/>
                <w:szCs w:val="22"/>
                <w:highlight w:val="none"/>
                <w:lang w:val="en-US" w:eastAsia="zh-CN"/>
                <w14:textFill>
                  <w14:solidFill>
                    <w14:schemeClr w14:val="tx1"/>
                  </w14:solidFill>
                </w14:textFill>
              </w:rPr>
              <w:t xml:space="preserve"> </w:t>
            </w:r>
            <w:r>
              <w:rPr>
                <w:rFonts w:hint="eastAsia"/>
                <w:color w:val="000000" w:themeColor="text1"/>
                <w:sz w:val="22"/>
                <w:szCs w:val="22"/>
                <w:highlight w:val="none"/>
                <w:lang w:val="en-US"/>
                <w14:textFill>
                  <w14:solidFill>
                    <w14:schemeClr w14:val="tx1"/>
                  </w14:solidFill>
                </w14:textFill>
              </w:rPr>
              <w:t>日08时50分开始申请加入QQ群,加入群时备注“公司名称+法定代表人或其委托代理人姓名+联系电话”。</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3、202</w:t>
            </w: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lang w:val="en-US"/>
                <w14:textFill>
                  <w14:solidFill>
                    <w14:schemeClr w14:val="tx1"/>
                  </w14:solidFill>
                </w14:textFill>
              </w:rPr>
              <w:t>年月日09时00分开启视频直播并开标。</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4、在宣布发送解密密码后30分钟内将解密密码（并注明单位名称+联系人姓名+手机号码）发送至邮箱：</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lang w:val="en-US"/>
                <w14:textFill>
                  <w14:solidFill>
                    <w14:schemeClr w14:val="tx1"/>
                  </w14:solidFill>
                </w14:textFill>
              </w:rPr>
              <w:t>@qq.com。（未能及时发送“密码”的或密码错误的无法进行解密的，按无效标处理）。</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5、本项目开评标过程中的询标、澄清等程序均采用邮箱发送方式进行，开标会议结束后，请各投标人及时查看邮箱（投标文件递交时邮箱），询标、澄清等响应时间</w:t>
            </w:r>
            <w:r>
              <w:rPr>
                <w:rFonts w:hint="eastAsia"/>
                <w:color w:val="000000" w:themeColor="text1"/>
                <w:sz w:val="22"/>
                <w:szCs w:val="22"/>
                <w:highlight w:val="none"/>
                <w:lang w:val="en-US" w:eastAsia="zh-CN"/>
                <w14:textFill>
                  <w14:solidFill>
                    <w14:schemeClr w14:val="tx1"/>
                  </w14:solidFill>
                </w14:textFill>
              </w:rPr>
              <w:t>不多于</w:t>
            </w:r>
            <w:r>
              <w:rPr>
                <w:rFonts w:hint="eastAsia"/>
                <w:color w:val="000000" w:themeColor="text1"/>
                <w:sz w:val="22"/>
                <w:szCs w:val="22"/>
                <w:highlight w:val="none"/>
                <w:lang w:val="en-US"/>
                <w14:textFill>
                  <w14:solidFill>
                    <w14:schemeClr w14:val="tx1"/>
                  </w14:solidFill>
                </w14:textFill>
              </w:rPr>
              <w:t>询标、澄清等发起后15分钟，若超过15分钟，视为放弃解释权力，评标小组按不利于投标人解释处理。</w:t>
            </w:r>
          </w:p>
          <w:p>
            <w:pPr>
              <w:tabs>
                <w:tab w:val="left" w:pos="2213"/>
              </w:tabs>
              <w:kinsoku w:val="0"/>
              <w:autoSpaceDE w:val="0"/>
              <w:autoSpaceDN w:val="0"/>
              <w:adjustRightInd w:val="0"/>
              <w:snapToGrid w:val="0"/>
              <w:spacing w:line="420" w:lineRule="exact"/>
              <w:rPr>
                <w:rFonts w:ascii="宋体" w:hAnsi="宋体" w:cs="宋体"/>
                <w:bCs/>
                <w:snapToGrid w:val="0"/>
                <w:color w:val="000000" w:themeColor="text1"/>
                <w:kern w:val="0"/>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6、投标人自身原因导致解密失败，风险由投标人自行承担。因投标人没有及时登录直播间、密码发送、询标、澄清等等环节导致的一切后果，由投标人自行承担。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其它</w:t>
            </w:r>
          </w:p>
        </w:tc>
        <w:tc>
          <w:tcPr>
            <w:tcW w:w="3279" w:type="pct"/>
            <w:gridSpan w:val="2"/>
            <w:vAlign w:val="center"/>
          </w:tcPr>
          <w:p>
            <w:pPr>
              <w:kinsoku w:val="0"/>
              <w:autoSpaceDE w:val="0"/>
              <w:autoSpaceDN w:val="0"/>
              <w:adjustRightInd w:val="0"/>
              <w:snapToGrid w:val="0"/>
              <w:spacing w:line="420" w:lineRule="exact"/>
              <w:jc w:val="left"/>
              <w:rPr>
                <w:rFonts w:ascii="宋体" w:hAnsi="宋体"/>
                <w:b/>
                <w:color w:val="000000" w:themeColor="text1"/>
                <w:kern w:val="0"/>
                <w:sz w:val="22"/>
                <w:highlight w:val="none"/>
                <w14:textFill>
                  <w14:solidFill>
                    <w14:schemeClr w14:val="tx1"/>
                  </w14:solidFill>
                </w14:textFill>
              </w:rPr>
            </w:pPr>
            <w:r>
              <w:rPr>
                <w:rFonts w:hint="eastAsia" w:ascii="宋体" w:hAnsi="宋体"/>
                <w:b/>
                <w:color w:val="000000" w:themeColor="text1"/>
                <w:kern w:val="0"/>
                <w:sz w:val="22"/>
                <w:highlight w:val="none"/>
                <w14:textFill>
                  <w14:solidFill>
                    <w14:schemeClr w14:val="tx1"/>
                  </w14:solidFill>
                </w14:textFill>
              </w:rPr>
              <w:t>（一）招标代理费：</w:t>
            </w:r>
          </w:p>
          <w:p>
            <w:pPr>
              <w:kinsoku w:val="0"/>
              <w:autoSpaceDE w:val="0"/>
              <w:autoSpaceDN w:val="0"/>
              <w:adjustRightInd w:val="0"/>
              <w:snapToGrid w:val="0"/>
              <w:spacing w:line="420" w:lineRule="exact"/>
              <w:ind w:firstLine="442" w:firstLineChars="200"/>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招标代理费：中标人以中标的水资源管理费、污水处理费、垃圾清运及垃圾处理费等费用金额为取费依据，参照原国家计委计价﹝2002﹞1980号文件的60%收取。</w:t>
            </w:r>
          </w:p>
          <w:p>
            <w:pPr>
              <w:kinsoku w:val="0"/>
              <w:autoSpaceDE w:val="0"/>
              <w:autoSpaceDN w:val="0"/>
              <w:adjustRightInd w:val="0"/>
              <w:snapToGrid w:val="0"/>
              <w:spacing w:line="420" w:lineRule="exact"/>
              <w:ind w:firstLine="442" w:firstLineChars="200"/>
              <w:rPr>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以上费用，不单独列出，投标人自行考虑，在领取中标通知书前支付给招标代理机构。</w:t>
            </w:r>
          </w:p>
          <w:p>
            <w:pPr>
              <w:tabs>
                <w:tab w:val="left" w:pos="2213"/>
              </w:tabs>
              <w:kinsoku w:val="0"/>
              <w:autoSpaceDE w:val="0"/>
              <w:autoSpaceDN w:val="0"/>
              <w:adjustRightInd w:val="0"/>
              <w:snapToGrid w:val="0"/>
              <w:spacing w:line="420" w:lineRule="exact"/>
              <w:ind w:firstLine="440" w:firstLineChars="200"/>
              <w:rPr>
                <w:rFonts w:ascii="宋体" w:hAnsi="宋体" w:cs="宋体"/>
                <w:bCs/>
                <w:snapToGrid w:val="0"/>
                <w:color w:val="000000" w:themeColor="text1"/>
                <w:kern w:val="0"/>
                <w:sz w:val="22"/>
                <w:highlight w:val="none"/>
                <w14:textFill>
                  <w14:solidFill>
                    <w14:schemeClr w14:val="tx1"/>
                  </w14:solidFill>
                </w14:textFill>
              </w:rPr>
            </w:pPr>
            <w:r>
              <w:rPr>
                <w:rFonts w:hint="eastAsia" w:ascii="宋体" w:hAnsi="宋体" w:cs="宋体"/>
                <w:bCs/>
                <w:snapToGrid w:val="0"/>
                <w:color w:val="000000" w:themeColor="text1"/>
                <w:kern w:val="0"/>
                <w:sz w:val="22"/>
                <w:highlight w:val="none"/>
                <w14:textFill>
                  <w14:solidFill>
                    <w14:schemeClr w14:val="tx1"/>
                  </w14:solidFill>
                </w14:textFill>
              </w:rPr>
              <w:t>3、中标供应商在办理中标通知书时，需提供彩色打印五份纸质投标文件（文件内容与投标电子文件一致）。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25</w:t>
            </w:r>
          </w:p>
        </w:tc>
        <w:tc>
          <w:tcPr>
            <w:tcW w:w="4624" w:type="pct"/>
            <w:gridSpan w:val="3"/>
            <w:vAlign w:val="center"/>
          </w:tcPr>
          <w:p>
            <w:pPr>
              <w:tabs>
                <w:tab w:val="left" w:pos="2213"/>
              </w:tabs>
              <w:kinsoku w:val="0"/>
              <w:autoSpaceDE w:val="0"/>
              <w:autoSpaceDN w:val="0"/>
              <w:adjustRightInd w:val="0"/>
              <w:snapToGrid w:val="0"/>
              <w:spacing w:line="420" w:lineRule="exact"/>
              <w:rPr>
                <w:rFonts w:ascii="宋体" w:hAnsi="宋体" w:cs="宋体"/>
                <w:bCs/>
                <w:snapToGrid w:val="0"/>
                <w:color w:val="000000" w:themeColor="text1"/>
                <w:kern w:val="0"/>
                <w:sz w:val="22"/>
                <w:highlight w:val="none"/>
                <w14:textFill>
                  <w14:solidFill>
                    <w14:schemeClr w14:val="tx1"/>
                  </w14:solidFill>
                </w14:textFill>
              </w:rPr>
            </w:pPr>
          </w:p>
        </w:tc>
      </w:tr>
    </w:tbl>
    <w:p>
      <w:pPr>
        <w:pStyle w:val="7"/>
        <w:rPr>
          <w:snapToGrid w:val="0"/>
          <w:color w:val="000000" w:themeColor="text1"/>
          <w:kern w:val="0"/>
          <w:highlight w:val="none"/>
          <w14:textFill>
            <w14:solidFill>
              <w14:schemeClr w14:val="tx1"/>
            </w14:solidFill>
          </w14:textFill>
        </w:rPr>
      </w:pPr>
      <w:r>
        <w:rPr>
          <w:rFonts w:hint="eastAsia"/>
          <w:snapToGrid w:val="0"/>
          <w:color w:val="000000" w:themeColor="text1"/>
          <w:kern w:val="0"/>
          <w:sz w:val="28"/>
          <w:highlight w:val="none"/>
          <w14:textFill>
            <w14:solidFill>
              <w14:schemeClr w14:val="tx1"/>
            </w14:solidFill>
          </w14:textFill>
        </w:rPr>
        <w:br w:type="page"/>
      </w:r>
      <w:bookmarkStart w:id="76" w:name="_Hlt516969057"/>
      <w:bookmarkEnd w:id="76"/>
      <w:bookmarkStart w:id="77" w:name="_Toc482084457"/>
      <w:bookmarkStart w:id="78" w:name="_Toc31402"/>
      <w:bookmarkStart w:id="79" w:name="_Toc14416"/>
      <w:bookmarkStart w:id="80" w:name="_Toc16866"/>
      <w:bookmarkStart w:id="81" w:name="_Toc19096"/>
      <w:bookmarkStart w:id="82" w:name="_Toc220232390"/>
      <w:r>
        <w:rPr>
          <w:rFonts w:hint="eastAsia"/>
          <w:snapToGrid w:val="0"/>
          <w:color w:val="000000" w:themeColor="text1"/>
          <w:kern w:val="0"/>
          <w:highlight w:val="none"/>
          <w14:textFill>
            <w14:solidFill>
              <w14:schemeClr w14:val="tx1"/>
            </w14:solidFill>
          </w14:textFill>
        </w:rPr>
        <w:t>第三章 货物服务需求一览表</w:t>
      </w:r>
      <w:bookmarkEnd w:id="77"/>
      <w:bookmarkEnd w:id="78"/>
      <w:bookmarkEnd w:id="79"/>
      <w:bookmarkEnd w:id="80"/>
      <w:bookmarkEnd w:id="81"/>
      <w:bookmarkEnd w:id="82"/>
    </w:p>
    <w:p>
      <w:pPr>
        <w:pStyle w:val="8"/>
        <w:ind w:firstLine="0" w:firstLineChars="0"/>
        <w:jc w:val="center"/>
        <w:rPr>
          <w:color w:val="000000" w:themeColor="text1"/>
          <w:kern w:val="0"/>
          <w:highlight w:val="none"/>
          <w14:textFill>
            <w14:solidFill>
              <w14:schemeClr w14:val="tx1"/>
            </w14:solidFill>
          </w14:textFill>
        </w:rPr>
      </w:pPr>
      <w:bookmarkStart w:id="83" w:name="_Toc26212"/>
      <w:bookmarkStart w:id="84" w:name="_Toc14943"/>
      <w:bookmarkStart w:id="85" w:name="_Toc27229"/>
      <w:bookmarkStart w:id="86" w:name="_Toc23845"/>
      <w:bookmarkStart w:id="87" w:name="_Toc482084459"/>
      <w:bookmarkStart w:id="88" w:name="_Toc30135"/>
      <w:bookmarkStart w:id="89" w:name="_Toc28940"/>
      <w:bookmarkStart w:id="90" w:name="_Toc462234312"/>
      <w:r>
        <w:rPr>
          <w:rFonts w:hint="eastAsia"/>
          <w:color w:val="000000" w:themeColor="text1"/>
          <w:kern w:val="0"/>
          <w:highlight w:val="none"/>
          <w14:textFill>
            <w14:solidFill>
              <w14:schemeClr w14:val="tx1"/>
            </w14:solidFill>
          </w14:textFill>
        </w:rPr>
        <w:t>一、服务需求</w:t>
      </w:r>
      <w:bookmarkEnd w:id="83"/>
      <w:bookmarkEnd w:id="84"/>
      <w:bookmarkEnd w:id="85"/>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一、项目简介</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皖北卫生职业学院现有在校生约9970余人，教职工440余人（人数仅供参考）。目前校内</w:t>
      </w:r>
      <w:r>
        <w:rPr>
          <w:rFonts w:hint="eastAsia" w:ascii="宋体" w:hAnsi="宋体" w:cs="宋体"/>
          <w:color w:val="000000" w:themeColor="text1"/>
          <w:sz w:val="24"/>
          <w:highlight w:val="none"/>
          <w:lang w:val="en-US" w:eastAsia="zh-CN"/>
          <w14:textFill>
            <w14:solidFill>
              <w14:schemeClr w14:val="tx1"/>
            </w14:solidFill>
          </w14:textFill>
        </w:rPr>
        <w:t>已</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val="en-US" w:eastAsia="zh-CN"/>
          <w14:textFill>
            <w14:solidFill>
              <w14:schemeClr w14:val="tx1"/>
            </w14:solidFill>
          </w14:textFill>
        </w:rPr>
        <w:t>两</w:t>
      </w:r>
      <w:r>
        <w:rPr>
          <w:rFonts w:hint="eastAsia" w:ascii="宋体" w:hAnsi="宋体" w:cs="宋体"/>
          <w:color w:val="000000" w:themeColor="text1"/>
          <w:sz w:val="24"/>
          <w:highlight w:val="none"/>
          <w14:textFill>
            <w14:solidFill>
              <w14:schemeClr w14:val="tx1"/>
            </w14:solidFill>
          </w14:textFill>
        </w:rPr>
        <w:t>家食堂。为进一步提高学校餐饮管理水平和服务质量，经学院研究，根据《高等学校引入社会餐饮企业承办食堂管理规范》，结合学校实际情况，决定将学院</w:t>
      </w:r>
      <w:r>
        <w:rPr>
          <w:rFonts w:hint="eastAsia" w:ascii="宋体" w:hAnsi="宋体" w:cs="宋体"/>
          <w:color w:val="000000" w:themeColor="text1"/>
          <w:sz w:val="24"/>
          <w:highlight w:val="none"/>
          <w:lang w:val="en-US" w:eastAsia="zh-CN"/>
          <w14:textFill>
            <w14:solidFill>
              <w14:schemeClr w14:val="tx1"/>
            </w14:solidFill>
          </w14:textFill>
        </w:rPr>
        <w:t>礼堂下方第二</w:t>
      </w:r>
      <w:r>
        <w:rPr>
          <w:rFonts w:hint="eastAsia" w:ascii="宋体" w:hAnsi="宋体" w:cs="宋体"/>
          <w:color w:val="000000" w:themeColor="text1"/>
          <w:sz w:val="24"/>
          <w:highlight w:val="none"/>
          <w14:textFill>
            <w14:solidFill>
              <w14:schemeClr w14:val="tx1"/>
            </w14:solidFill>
          </w14:textFill>
        </w:rPr>
        <w:t>学生食堂（以下均简称</w:t>
      </w:r>
      <w:r>
        <w:rPr>
          <w:rFonts w:hint="eastAsia" w:ascii="宋体" w:hAnsi="宋体" w:cs="宋体"/>
          <w:color w:val="000000" w:themeColor="text1"/>
          <w:sz w:val="24"/>
          <w:highlight w:val="none"/>
          <w:lang w:eastAsia="zh-CN"/>
          <w14:textFill>
            <w14:solidFill>
              <w14:schemeClr w14:val="tx1"/>
            </w14:solidFill>
          </w14:textFill>
        </w:rPr>
        <w:t>第二食堂</w:t>
      </w:r>
      <w:r>
        <w:rPr>
          <w:rFonts w:hint="eastAsia" w:ascii="宋体" w:hAnsi="宋体" w:cs="宋体"/>
          <w:color w:val="000000" w:themeColor="text1"/>
          <w:sz w:val="24"/>
          <w:highlight w:val="none"/>
          <w14:textFill>
            <w14:solidFill>
              <w14:schemeClr w14:val="tx1"/>
            </w14:solidFill>
          </w14:textFill>
        </w:rPr>
        <w:t>）餐饮服务通过公开招标方式委托第三方经营。</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第二食堂</w:t>
      </w:r>
      <w:r>
        <w:rPr>
          <w:rFonts w:hint="eastAsia" w:ascii="宋体" w:hAnsi="宋体" w:cs="宋体"/>
          <w:color w:val="000000" w:themeColor="text1"/>
          <w:kern w:val="0"/>
          <w:sz w:val="24"/>
          <w:highlight w:val="none"/>
          <w14:textFill>
            <w14:solidFill>
              <w14:schemeClr w14:val="tx1"/>
            </w14:solidFill>
          </w14:textFill>
        </w:rPr>
        <w:t>所在主体工程</w:t>
      </w:r>
      <w:r>
        <w:rPr>
          <w:rFonts w:hint="eastAsia" w:ascii="宋体" w:hAnsi="宋体" w:cs="宋体"/>
          <w:color w:val="000000" w:themeColor="text1"/>
          <w:kern w:val="0"/>
          <w:sz w:val="24"/>
          <w:highlight w:val="none"/>
          <w:lang w:val="en-US" w:eastAsia="zh-CN"/>
          <w14:textFill>
            <w14:solidFill>
              <w14:schemeClr w14:val="tx1"/>
            </w14:solidFill>
          </w14:textFill>
        </w:rPr>
        <w:t>一层</w:t>
      </w:r>
      <w:r>
        <w:rPr>
          <w:rFonts w:hint="eastAsia" w:ascii="宋体" w:hAnsi="宋体" w:cs="宋体"/>
          <w:color w:val="000000" w:themeColor="text1"/>
          <w:sz w:val="24"/>
          <w:highlight w:val="none"/>
          <w14:textFill>
            <w14:solidFill>
              <w14:schemeClr w14:val="tx1"/>
            </w14:solidFill>
          </w14:textFill>
        </w:rPr>
        <w:t>总建筑面积约</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000 </w:t>
      </w:r>
      <w:r>
        <w:rPr>
          <w:rFonts w:hint="eastAsia" w:ascii="宋体" w:hAnsi="宋体" w:cs="宋体"/>
          <w:color w:val="000000" w:themeColor="text1"/>
          <w:sz w:val="24"/>
          <w:highlight w:val="none"/>
          <w14:textFill>
            <w14:solidFill>
              <w14:schemeClr w14:val="tx1"/>
            </w14:solidFill>
          </w14:textFill>
        </w:rPr>
        <w:t>平方米（以实际勘查为准），其中</w:t>
      </w:r>
      <w:r>
        <w:rPr>
          <w:rFonts w:hint="eastAsia" w:ascii="宋体" w:hAnsi="宋体" w:cs="宋体"/>
          <w:color w:val="000000" w:themeColor="text1"/>
          <w:sz w:val="24"/>
          <w:highlight w:val="none"/>
          <w:lang w:val="en-US" w:eastAsia="zh-CN"/>
          <w14:textFill>
            <w14:solidFill>
              <w14:schemeClr w14:val="tx1"/>
            </w14:solidFill>
          </w14:textFill>
        </w:rPr>
        <w:t>二层为教辅用房。</w:t>
      </w:r>
      <w:r>
        <w:rPr>
          <w:rFonts w:hint="eastAsia" w:ascii="宋体" w:hAnsi="宋体" w:cs="宋体"/>
          <w:color w:val="000000" w:themeColor="text1"/>
          <w:sz w:val="24"/>
          <w:highlight w:val="none"/>
          <w14:textFill>
            <w14:solidFill>
              <w14:schemeClr w14:val="tx1"/>
            </w14:solidFill>
          </w14:textFill>
        </w:rPr>
        <w:t>中标人必须依据《中华人民共和国食品安全法》（2021年修订本）、《学校食品安全与营养健康管理规定》《高等学校引入社会餐饮企业承办食堂管理规范》、《安徽省高等学校标准化学生食堂指标体系》、《安徽省高校文化餐厅建设指南》等文件要求，按照基本大伙，兼特色餐饮和文化餐厅进行装饰装修，</w:t>
      </w:r>
      <w:r>
        <w:rPr>
          <w:rFonts w:hint="eastAsia" w:ascii="宋体" w:hAnsi="宋体" w:cs="宋体"/>
          <w:color w:val="000000" w:themeColor="text1"/>
          <w:sz w:val="24"/>
          <w:highlight w:val="none"/>
          <w:lang w:val="en-US" w:eastAsia="zh-CN"/>
          <w14:textFill>
            <w14:solidFill>
              <w14:schemeClr w14:val="tx1"/>
            </w14:solidFill>
          </w14:textFill>
        </w:rPr>
        <w:t>装修前图纸必须通过宿州市和埇桥区市场监督管理局审核通过，</w:t>
      </w:r>
      <w:r>
        <w:rPr>
          <w:rFonts w:hint="eastAsia" w:ascii="宋体" w:hAnsi="宋体" w:cs="宋体"/>
          <w:color w:val="000000" w:themeColor="text1"/>
          <w:sz w:val="24"/>
          <w:highlight w:val="none"/>
          <w14:textFill>
            <w14:solidFill>
              <w14:schemeClr w14:val="tx1"/>
            </w14:solidFill>
          </w14:textFill>
        </w:rPr>
        <w:t>添置货架、水池、餐桌椅、工作台、自动洗碗机、智慧食堂及其它餐厨加工储藏、人员办公等设备，自主经营，自负盈亏。此处简介为概况，数据仅供参考，投标方应充分考虑到前述现状实情可能存在的误差与将来可能出现的变化，同时，提醒各投标单位认真察看学院周边情况，具体情况投标方可联系学校总务处到现场察看。</w:t>
      </w:r>
    </w:p>
    <w:p>
      <w:pPr>
        <w:spacing w:line="500" w:lineRule="exact"/>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各投标人务必于202</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年</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日</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时前到我校现场勘察，逾期概不接待。</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68"/>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皖北卫生职业学院</w:t>
      </w:r>
      <w:r>
        <w:rPr>
          <w:rFonts w:hint="eastAsia" w:ascii="宋体" w:hAnsi="宋体" w:cs="宋体"/>
          <w:color w:val="000000" w:themeColor="text1"/>
          <w:kern w:val="0"/>
          <w:sz w:val="24"/>
          <w:highlight w:val="none"/>
          <w:lang w:eastAsia="zh-CN"/>
          <w14:textFill>
            <w14:solidFill>
              <w14:schemeClr w14:val="tx1"/>
            </w14:solidFill>
          </w14:textFill>
        </w:rPr>
        <w:t>第二食堂</w:t>
      </w:r>
      <w:r>
        <w:rPr>
          <w:rFonts w:hint="eastAsia" w:ascii="宋体" w:hAnsi="宋体" w:cs="宋体"/>
          <w:bCs/>
          <w:color w:val="000000" w:themeColor="text1"/>
          <w:kern w:val="0"/>
          <w:sz w:val="24"/>
          <w:highlight w:val="none"/>
          <w14:textFill>
            <w14:solidFill>
              <w14:schemeClr w14:val="tx1"/>
            </w14:solidFill>
          </w14:textFill>
        </w:rPr>
        <w:t>经营服务项目。</w:t>
      </w:r>
    </w:p>
    <w:p>
      <w:pPr>
        <w:keepNext w:val="0"/>
        <w:keepLines w:val="0"/>
        <w:pageBreakBefore w:val="0"/>
        <w:kinsoku/>
        <w:wordWrap/>
        <w:overflowPunct/>
        <w:topLinePunct w:val="0"/>
        <w:autoSpaceDE/>
        <w:autoSpaceDN/>
        <w:bidi w:val="0"/>
        <w:adjustRightInd/>
        <w:snapToGrid/>
        <w:spacing w:line="500" w:lineRule="exact"/>
        <w:ind w:firstLine="468"/>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经营服务期限：3年（2+1），</w:t>
      </w:r>
      <w:r>
        <w:rPr>
          <w:rFonts w:hint="eastAsia" w:ascii="宋体" w:hAnsi="宋体" w:cs="宋体"/>
          <w:color w:val="000000" w:themeColor="text1"/>
          <w:sz w:val="24"/>
          <w:highlight w:val="none"/>
          <w14:textFill>
            <w14:solidFill>
              <w14:schemeClr w14:val="tx1"/>
            </w14:solidFill>
          </w14:textFill>
        </w:rPr>
        <w:t>中标后先签订2年经营服务合同，经营期间每年由学校总务处等相关部门进行师生满意度考核，对综合满意度达到80%以上（含80%），</w:t>
      </w:r>
      <w:r>
        <w:rPr>
          <w:rFonts w:hint="eastAsia" w:ascii="宋体" w:hAnsi="宋体" w:cs="宋体"/>
          <w:color w:val="000000" w:themeColor="text1"/>
          <w:sz w:val="24"/>
          <w:szCs w:val="24"/>
          <w:highlight w:val="none"/>
          <w14:textFill>
            <w14:solidFill>
              <w14:schemeClr w14:val="tx1"/>
            </w14:solidFill>
          </w14:textFill>
        </w:rPr>
        <w:t>且前2年合同期内无重大食品安全事件；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被校方因食品安全负面问题书面约谈整改</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不多于</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3次；被省、市、区市场监管等部门立案查处不多于1次且及时整改落实的，</w:t>
      </w:r>
      <w:r>
        <w:rPr>
          <w:rFonts w:hint="eastAsia" w:ascii="宋体" w:hAnsi="宋体" w:cs="宋体"/>
          <w:color w:val="000000" w:themeColor="text1"/>
          <w:sz w:val="24"/>
          <w:highlight w:val="none"/>
          <w14:textFill>
            <w14:solidFill>
              <w14:schemeClr w14:val="tx1"/>
            </w14:solidFill>
          </w14:textFill>
        </w:rPr>
        <w:t>经学校研究同意可以续签第3年合同。</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三、</w:t>
      </w:r>
      <w:r>
        <w:rPr>
          <w:rFonts w:hint="eastAsia" w:ascii="宋体" w:hAnsi="宋体" w:cs="宋体"/>
          <w:b/>
          <w:color w:val="000000" w:themeColor="text1"/>
          <w:kern w:val="0"/>
          <w:sz w:val="24"/>
          <w:highlight w:val="none"/>
          <w14:textFill>
            <w14:solidFill>
              <w14:schemeClr w14:val="tx1"/>
            </w14:solidFill>
          </w14:textFill>
        </w:rPr>
        <w:t>项目管理要求</w:t>
      </w:r>
      <w:r>
        <w:rPr>
          <w:rFonts w:hint="eastAsia" w:ascii="宋体" w:hAnsi="宋体" w:cs="宋体"/>
          <w:b/>
          <w:color w:val="000000" w:themeColor="text1"/>
          <w:kern w:val="0"/>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s="宋体"/>
          <w:b/>
          <w:color w:val="000000" w:themeColor="text1"/>
          <w:sz w:val="24"/>
          <w:highlight w:val="none"/>
          <w14:textFill>
            <w14:solidFill>
              <w14:schemeClr w14:val="tx1"/>
            </w14:solidFill>
          </w14:textFill>
        </w:rPr>
      </w:pPr>
      <w:bookmarkStart w:id="91" w:name="_Hlt509716920"/>
      <w:bookmarkEnd w:id="91"/>
      <w:r>
        <w:rPr>
          <w:rFonts w:hint="eastAsia" w:ascii="宋体" w:hAnsi="宋体" w:cs="宋体"/>
          <w:b/>
          <w:color w:val="000000" w:themeColor="text1"/>
          <w:sz w:val="24"/>
          <w:highlight w:val="none"/>
          <w14:textFill>
            <w14:solidFill>
              <w14:schemeClr w14:val="tx1"/>
            </w14:solidFill>
          </w14:textFill>
        </w:rPr>
        <w:t>1.装饰装修与设备管理要求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（1）投</w:t>
      </w:r>
      <w:r>
        <w:rPr>
          <w:rFonts w:hint="eastAsia" w:ascii="宋体" w:hAnsi="宋体" w:cs="宋体"/>
          <w:b/>
          <w:color w:val="000000" w:themeColor="text1"/>
          <w:sz w:val="24"/>
          <w:szCs w:val="24"/>
          <w:highlight w:val="none"/>
          <w14:textFill>
            <w14:solidFill>
              <w14:schemeClr w14:val="tx1"/>
            </w14:solidFill>
          </w14:textFill>
        </w:rPr>
        <w:t>标人投标文件中</w:t>
      </w:r>
      <w:r>
        <w:rPr>
          <w:rFonts w:hint="eastAsia" w:ascii="宋体" w:hAnsi="宋体" w:cs="宋体"/>
          <w:b/>
          <w:color w:val="000000" w:themeColor="text1"/>
          <w:sz w:val="24"/>
          <w:szCs w:val="24"/>
          <w:highlight w:val="none"/>
          <w:lang w:val="en-US" w:eastAsia="zh-CN"/>
          <w14:textFill>
            <w14:solidFill>
              <w14:schemeClr w14:val="tx1"/>
            </w14:solidFill>
          </w14:textFill>
        </w:rPr>
        <w:t>“安徽省高等学校标准化学生食堂指标体系”</w:t>
      </w:r>
      <w:r>
        <w:rPr>
          <w:rFonts w:hint="eastAsia" w:ascii="宋体" w:hAnsi="宋体" w:cs="宋体"/>
          <w:b/>
          <w:color w:val="000000" w:themeColor="text1"/>
          <w:sz w:val="24"/>
          <w:szCs w:val="24"/>
          <w:highlight w:val="none"/>
          <w14:textFill>
            <w14:solidFill>
              <w14:schemeClr w14:val="tx1"/>
            </w14:solidFill>
          </w14:textFill>
        </w:rPr>
        <w:t>要提供具体详实的设计方案（至少包含装饰装修图纸、设计图、彩色效果图和工程量清单）</w:t>
      </w:r>
      <w:r>
        <w:rPr>
          <w:rFonts w:hint="eastAsia" w:ascii="宋体" w:hAnsi="宋体" w:cs="宋体"/>
          <w:b/>
          <w:color w:val="000000" w:themeColor="text1"/>
          <w:sz w:val="24"/>
          <w:szCs w:val="24"/>
          <w:highlight w:val="none"/>
          <w:lang w:val="en-US" w:eastAsia="zh-CN"/>
          <w14:textFill>
            <w14:solidFill>
              <w14:schemeClr w14:val="tx1"/>
            </w14:solidFill>
          </w14:textFill>
        </w:rPr>
        <w:t>，装修要求简约不奢华、节能环保、健康绿色、融入学校元素、彰显历史文化、打造校园文化美食餐厅，装饰装修水电费一并计入本食堂经营用水电费。 装修改造过程中涉及一卡通设备和线路的拆除，要进行恢复。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用于对食堂特别是加工与售卖分离、后堂、烟道等进行规范改造、装饰、空调设备添置等。</w:t>
      </w:r>
      <w:r>
        <w:rPr>
          <w:rFonts w:hint="eastAsia" w:ascii="宋体" w:hAnsi="宋体" w:cs="宋体"/>
          <w:b/>
          <w:color w:val="000000" w:themeColor="text1"/>
          <w:sz w:val="24"/>
          <w:highlight w:val="none"/>
          <w14:textFill>
            <w14:solidFill>
              <w14:schemeClr w14:val="tx1"/>
            </w14:solidFill>
          </w14:textFill>
        </w:rPr>
        <w:t>中标人必须配备智慧食堂、自动洗碗机等智能设备设施。其规划设置的食堂窗口的装修风格、售卖食材种类、档口设置等必须上报学院总务处审核批准，经总务处同意后方可实施；不得拆分档口违规分包转包，</w:t>
      </w:r>
      <w:r>
        <w:rPr>
          <w:rFonts w:hint="eastAsia" w:ascii="宋体" w:hAnsi="宋体" w:cs="宋体"/>
          <w:b/>
          <w:color w:val="000000" w:themeColor="text1"/>
          <w:sz w:val="24"/>
          <w:highlight w:val="none"/>
          <w:lang w:val="en-US" w:eastAsia="zh-CN"/>
          <w14:textFill>
            <w14:solidFill>
              <w14:schemeClr w14:val="tx1"/>
            </w14:solidFill>
          </w14:textFill>
        </w:rPr>
        <w:t>必须</w:t>
      </w:r>
      <w:r>
        <w:rPr>
          <w:rFonts w:hint="eastAsia" w:ascii="宋体" w:hAnsi="宋体" w:cs="宋体"/>
          <w:b/>
          <w:color w:val="000000" w:themeColor="text1"/>
          <w:sz w:val="24"/>
          <w:highlight w:val="none"/>
          <w14:textFill>
            <w14:solidFill>
              <w14:schemeClr w14:val="tx1"/>
            </w14:solidFill>
          </w14:textFill>
        </w:rPr>
        <w:t>按制售分离等要求改造加工场所，不</w:t>
      </w:r>
      <w:r>
        <w:rPr>
          <w:rFonts w:hint="eastAsia" w:ascii="宋体" w:hAnsi="宋体" w:cs="宋体"/>
          <w:b/>
          <w:color w:val="000000" w:themeColor="text1"/>
          <w:sz w:val="24"/>
          <w:highlight w:val="none"/>
          <w:lang w:val="en-US" w:eastAsia="zh-CN"/>
          <w14:textFill>
            <w14:solidFill>
              <w14:schemeClr w14:val="tx1"/>
            </w14:solidFill>
          </w14:textFill>
        </w:rPr>
        <w:t>得</w:t>
      </w:r>
      <w:r>
        <w:rPr>
          <w:rFonts w:hint="eastAsia" w:ascii="宋体" w:hAnsi="宋体" w:cs="宋体"/>
          <w:b/>
          <w:color w:val="000000" w:themeColor="text1"/>
          <w:sz w:val="24"/>
          <w:highlight w:val="none"/>
          <w14:textFill>
            <w14:solidFill>
              <w14:schemeClr w14:val="tx1"/>
            </w14:solidFill>
          </w14:textFill>
        </w:rPr>
        <w:t>进行超范围经营等。</w:t>
      </w:r>
      <w:r>
        <w:rPr>
          <w:rFonts w:hint="eastAsia" w:ascii="宋体" w:hAnsi="宋体" w:cs="宋体"/>
          <w:bCs/>
          <w:color w:val="000000" w:themeColor="text1"/>
          <w:sz w:val="24"/>
          <w:highlight w:val="none"/>
          <w14:textFill>
            <w14:solidFill>
              <w14:schemeClr w14:val="tx1"/>
            </w14:solidFill>
          </w14:textFill>
        </w:rPr>
        <w:t>同时中标人需积极配合学院完成明厨亮灶工程建设。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第二食堂</w:t>
      </w:r>
      <w:r>
        <w:rPr>
          <w:rFonts w:hint="eastAsia" w:ascii="宋体" w:hAnsi="宋体" w:cs="宋体"/>
          <w:b/>
          <w:color w:val="000000" w:themeColor="text1"/>
          <w:sz w:val="24"/>
          <w:highlight w:val="none"/>
          <w14:textFill>
            <w14:solidFill>
              <w14:schemeClr w14:val="tx1"/>
            </w14:solidFill>
          </w14:textFill>
        </w:rPr>
        <w:t>投资装饰装修与设备费用最低不少于100万，</w:t>
      </w:r>
      <w:r>
        <w:rPr>
          <w:rFonts w:hint="eastAsia" w:ascii="宋体" w:hAnsi="宋体" w:cs="宋体"/>
          <w:b/>
          <w:color w:val="000000" w:themeColor="text1"/>
          <w:sz w:val="24"/>
          <w:highlight w:val="none"/>
          <w:lang w:val="en-US" w:eastAsia="zh-CN"/>
          <w14:textFill>
            <w14:solidFill>
              <w14:schemeClr w14:val="tx1"/>
            </w14:solidFill>
          </w14:textFill>
        </w:rPr>
        <w:t>中标方签订合同前把升级改造资金打入学校指定的专门账户并接受采购人的监管，升级改造费用支出须经采购人同意后方能从专门账户支出。</w:t>
      </w:r>
      <w:r>
        <w:rPr>
          <w:rFonts w:hint="eastAsia" w:ascii="宋体" w:hAnsi="宋体" w:cs="宋体"/>
          <w:b/>
          <w:color w:val="000000" w:themeColor="text1"/>
          <w:sz w:val="24"/>
          <w:highlight w:val="none"/>
          <w14:textFill>
            <w14:solidFill>
              <w14:schemeClr w14:val="tx1"/>
            </w14:solidFill>
          </w14:textFill>
        </w:rPr>
        <w:t>具体费用以中标单位最终上浮报价为准，装修、投入完成后由学校抽取的第三方公司进行审计，低于最终报价的则视为违约，学校有权终止合同或要求中标单位按投标承诺进行投入费用差额部分补足，或从履约保证金中扣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装饰装修需按照最新的《食品安全法》、《消防法》、《安徽省高等学校标准化学生食堂指标体系》、《安徽省高校文化餐厅建设指南》等文件进行图纸设计和编制工程量清单，按时完成。装饰装修水电费一并计入本食堂经营用水电费，装饰装修水费按照每吨2.35元、电费按照每度0.7元收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经营期间内，负责维修食堂内的水电、空调、桌椅等，确保周边下水道通畅（根据校方要求进行改造和维护、维修）。天气炎热或者寒冷时确保空调正常运转，营造适宜就餐环境。投标企业服务经营活动过程中不得私自改变食堂布局结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经营方在合同期内不得将经营的场所、设备、设施以任何形式分包、转包、转租、转让、分租。如发现有任何分包、转包、转租、转让、分租的形式，学校将立即停止相应窗口的营业并处以2000元罚款，学校有权终止合同，在经营期满后不再考虑继续经营，经营方将被列入学校招投标工作中的黑名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期满或因经营方的责任而导致合同终止后，经营方自备物资（指库存物资、自行添置的设备等）由经营方自行处理，学校不承担任何处理的义务。学校所提供或投入的设施、设备等固定资产存放地点如需调整须征得总务处同意并报学校备案。经营方经营期满必须确保院方所投入的设施、设备正常、完好，保质保量如数交回学校，如有缺损或丢失照价赔偿。</w:t>
      </w:r>
    </w:p>
    <w:p>
      <w:pPr>
        <w:spacing w:line="500" w:lineRule="exact"/>
        <w:ind w:firstLine="465"/>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（4）餐厅、各操作间、室内外楼梯等环境卫生清洁、承包区域周围10米内均属于经营方的管理范围。经营过程中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学校的房屋建筑的维修工作及维修费用，由学校负责；原有学校提供的设备（含明厨亮灶设施设备）、设施维修工作及维修费用，由经营方负责，确因设备设施老化非人为因素造成的损耗及损坏，经总务处确认，维修及更换费用由学校负责。经营方自备的餐具设备、设施维修及更换费用由经营方自行承担。经营方必须每学期至少一次对厨房油烟设备及其管道的清洗，确保厨房油烟设备及其管道畅通，无消防隐患，并提供对其设备清洗的协议和验收报告，费用由经营方自行承担。</w:t>
      </w:r>
    </w:p>
    <w:p>
      <w:pPr>
        <w:spacing w:line="500" w:lineRule="exact"/>
        <w:ind w:firstLine="465"/>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2.安全</w:t>
      </w:r>
      <w:r>
        <w:rPr>
          <w:rFonts w:hint="eastAsia" w:ascii="宋体" w:hAnsi="宋体" w:cs="宋体"/>
          <w:b/>
          <w:color w:val="000000" w:themeColor="text1"/>
          <w:sz w:val="24"/>
          <w:highlight w:val="none"/>
          <w14:textFill>
            <w14:solidFill>
              <w14:schemeClr w14:val="tx1"/>
            </w14:solidFill>
          </w14:textFill>
        </w:rPr>
        <w:t>管理要求</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中标人为食品安全、防火、防盗等直接责任人，对相应工作负有直接管理义务。</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食品安全法》（2021年修订）、《学校食品安全与营养健康管理规定》、《消防法》及其他国家、省市和皖北卫生职业学院相关文件和管理制度，所有员工都要经过培训、办理健康证才能上岗；严格执行清洁消毒规定，有防鼠、灭蝇、防虫、防毒等措施；及时办理餐饮服务许可证或食品经营许可证的年检手续，接受卫生、市场监管部门的检查。其体检、检查和年检等费用自理。</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（2）中标人必须自行做好安全、防盗、防火和食品卫生等工作，如发生失窃、火灾、食物中毒等事故，造成的一切损失均由中标人自行负责。</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（3）严格控制各种食品的进货渠道，规范食品及原料采购管理制度，所有原料供应必须证照齐全，建立索票索证制度，并将所有资料上报学校总务处。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（4）负责落实食堂托管范围内及学校指定区域的卫生工作，建立和健全一整套生产管理、卫生管理和消防及安全管理制度。</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（5）中标人必须接受学校和上级有关部门的监督与管理，自觉接受对财务管理、食品采购、生产流程、卫生消毒、供应价格、服务规范等方面的全方位监控。</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4.用工管理要求</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由中标人自行招聘和管理员工，依法用工，用工责任和风险由中标人自负。学校有权对食堂用工情况进行监督和检查。</w:t>
      </w:r>
    </w:p>
    <w:p>
      <w:pPr>
        <w:spacing w:line="500" w:lineRule="exact"/>
        <w:ind w:firstLine="480" w:firstLineChars="200"/>
        <w:rPr>
          <w:rFonts w:ascii="宋体" w:hAnsi="宋体" w:cs="宋体"/>
          <w:color w:val="000000" w:themeColor="text1"/>
          <w:spacing w:val="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（1）中标人要科学合理地配备餐饮操作和餐厅服务人员，要选聘高水平的厨师及服务团队。</w:t>
      </w:r>
      <w:r>
        <w:rPr>
          <w:rFonts w:hint="eastAsia" w:ascii="宋体" w:hAnsi="宋体" w:cs="宋体"/>
          <w:color w:val="000000" w:themeColor="text1"/>
          <w:sz w:val="24"/>
          <w:highlight w:val="none"/>
          <w:lang w:val="en-US" w:eastAsia="zh-CN"/>
          <w14:textFill>
            <w14:solidFill>
              <w14:schemeClr w14:val="tx1"/>
            </w14:solidFill>
          </w14:textFill>
        </w:rPr>
        <w:t>项目经理必须相对固定，且每月出勤率不低于22天，并提供近12个月及以上社保部门出具的本单位为其缴纳社保的证明，如每学年度出现3个月及以上达不到考勤要求的，甲方有权终止合同。</w:t>
      </w:r>
      <w:r>
        <w:rPr>
          <w:rFonts w:hint="eastAsia" w:ascii="宋体" w:hAnsi="宋体" w:cs="宋体"/>
          <w:color w:val="000000" w:themeColor="text1"/>
          <w:sz w:val="24"/>
          <w:highlight w:val="none"/>
          <w14:textFill>
            <w14:solidFill>
              <w14:schemeClr w14:val="tx1"/>
            </w14:solidFill>
          </w14:textFill>
        </w:rPr>
        <w:t>项目经理必须相对固定，如需调整项目经理必须经学校认可且新项目经理的资质、条件不得低于</w:t>
      </w:r>
      <w:r>
        <w:rPr>
          <w:rFonts w:hint="eastAsia" w:ascii="宋体" w:hAnsi="宋体" w:cs="宋体"/>
          <w:color w:val="000000" w:themeColor="text1"/>
          <w:spacing w:val="8"/>
          <w:sz w:val="24"/>
          <w:highlight w:val="none"/>
          <w14:textFill>
            <w14:solidFill>
              <w14:schemeClr w14:val="tx1"/>
            </w14:solidFill>
          </w14:textFill>
        </w:rPr>
        <w:t>投标时承诺的条件。如中途随意调整一次，学校有权扣除履约保证金</w:t>
      </w:r>
      <w:r>
        <w:rPr>
          <w:rFonts w:hint="eastAsia" w:ascii="宋体" w:hAnsi="宋体" w:cs="宋体"/>
          <w:b/>
          <w:bCs/>
          <w:color w:val="000000" w:themeColor="text1"/>
          <w:spacing w:val="8"/>
          <w:sz w:val="24"/>
          <w:highlight w:val="none"/>
          <w:lang w:val="en-US" w:eastAsia="zh-CN"/>
          <w14:textFill>
            <w14:solidFill>
              <w14:schemeClr w14:val="tx1"/>
            </w14:solidFill>
          </w14:textFill>
        </w:rPr>
        <w:t>5000</w:t>
      </w:r>
      <w:r>
        <w:rPr>
          <w:rFonts w:hint="eastAsia" w:ascii="宋体" w:hAnsi="宋体" w:cs="宋体"/>
          <w:color w:val="000000" w:themeColor="text1"/>
          <w:spacing w:val="8"/>
          <w:sz w:val="24"/>
          <w:highlight w:val="none"/>
          <w14:textFill>
            <w14:solidFill>
              <w14:schemeClr w14:val="tx1"/>
            </w14:solidFill>
          </w14:textFill>
        </w:rPr>
        <w:t>元。因经营管理不善，学校要求经营方调整项目经理的，经营方应无条件安排，并在5个工作日内完成调整。逾期则按每人每天</w:t>
      </w:r>
      <w:r>
        <w:rPr>
          <w:rFonts w:hint="eastAsia" w:ascii="宋体" w:hAnsi="宋体" w:cs="宋体"/>
          <w:b/>
          <w:bCs/>
          <w:color w:val="000000" w:themeColor="text1"/>
          <w:spacing w:val="8"/>
          <w:sz w:val="24"/>
          <w:highlight w:val="none"/>
          <w14:textFill>
            <w14:solidFill>
              <w14:schemeClr w14:val="tx1"/>
            </w14:solidFill>
          </w14:textFill>
        </w:rPr>
        <w:t>500</w:t>
      </w:r>
      <w:r>
        <w:rPr>
          <w:rFonts w:hint="eastAsia" w:ascii="宋体" w:hAnsi="宋体" w:cs="宋体"/>
          <w:color w:val="000000" w:themeColor="text1"/>
          <w:spacing w:val="8"/>
          <w:sz w:val="24"/>
          <w:highlight w:val="none"/>
          <w14:textFill>
            <w14:solidFill>
              <w14:schemeClr w14:val="tx1"/>
            </w14:solidFill>
          </w14:textFill>
        </w:rPr>
        <w:t>元从履约保证金中扣除。</w:t>
      </w:r>
    </w:p>
    <w:p>
      <w:pPr>
        <w:spacing w:line="500" w:lineRule="exact"/>
        <w:ind w:firstLine="51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8"/>
          <w:sz w:val="24"/>
          <w:highlight w:val="none"/>
          <w14:textFill>
            <w14:solidFill>
              <w14:schemeClr w14:val="tx1"/>
            </w14:solidFill>
          </w14:textFill>
        </w:rPr>
        <w:t>（2）经营方须严格按照国家《劳动法》、《劳动合同》等规定合法用工，经营方的员工，与学校不存在任何雇佣、委托等劳动关系，同时经营方员工在工作过程中非学校直接原因造成的事故，安全责任由经营方负责。经营过程中，食堂所有员工必须持有合法、有效的健康证，办证费用由经营方自行承担。</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（3）中标人要对食堂员工的思想道德、业务素质、安全健康等进行全面管理，所有人员应规范服务操作程序，做到文明用语、礼貌服务。</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（4）按照国家《工会法》等相关文件依法成立相关组织并举办相应活动。</w:t>
      </w:r>
    </w:p>
    <w:p>
      <w:pPr>
        <w:spacing w:line="5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经营方在经营期间自觉接受学校和市场监督管理局及相关政府部门的监督检查，学校将定期对经营食堂的服务、价格等情况进行综合测评，若经营期间发生食物中毒事故或其它重大事故，学校可对经营方作出相应处理直至终止经营合同，没收合同履约保证金及菜品质量、价格控制、优质服务保证金。由此造成的一切损失均由经营方承担，学校不承担任何赔偿义务或其他附加责任。</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5.日常经营管理</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必须合法自主经营，严格执行《食品卫生法》及国家、地方政府制订的有关餐饮服务的法律、法规、规程、标准，遵守学校的相关制度，服从学校的管理和监督（如服从学校安排在节假日、寒暑假保质保量向师生提供服务等）。</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（2）创造文明就餐的食堂文化氛围，食堂就餐秩序良好。定期主动了解师生的</w:t>
      </w:r>
      <w:r>
        <w:rPr>
          <w:rFonts w:hint="eastAsia" w:ascii="宋体" w:hAnsi="宋体" w:cs="宋体"/>
          <w:color w:val="000000" w:themeColor="text1"/>
          <w:sz w:val="24"/>
          <w:highlight w:val="none"/>
          <w:lang w:val="en-US" w:eastAsia="zh-CN"/>
          <w14:textFill>
            <w14:solidFill>
              <w14:schemeClr w14:val="tx1"/>
            </w14:solidFill>
          </w14:textFill>
        </w:rPr>
        <w:t>就餐</w:t>
      </w:r>
      <w:r>
        <w:rPr>
          <w:rFonts w:hint="eastAsia" w:ascii="宋体" w:hAnsi="宋体" w:cs="宋体"/>
          <w:color w:val="000000" w:themeColor="text1"/>
          <w:sz w:val="24"/>
          <w:highlight w:val="none"/>
          <w14:textFill>
            <w14:solidFill>
              <w14:schemeClr w14:val="tx1"/>
            </w14:solidFill>
          </w14:textFill>
        </w:rPr>
        <w:t>要求，调查就餐人员满意度，对检查、测评、提出的意见和建议进行整改。</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保证一日三餐正点，饭菜</w:t>
      </w:r>
      <w:r>
        <w:rPr>
          <w:rFonts w:hint="eastAsia" w:ascii="宋体" w:hAnsi="宋体" w:cs="宋体"/>
          <w:color w:val="000000" w:themeColor="text1"/>
          <w:sz w:val="24"/>
          <w:highlight w:val="none"/>
          <w14:textFill>
            <w14:solidFill>
              <w14:schemeClr w14:val="tx1"/>
            </w14:solidFill>
          </w14:textFill>
        </w:rPr>
        <w:t>销售明码标价，基本大伙要以相对稳定</w:t>
      </w:r>
      <w:r>
        <w:rPr>
          <w:rFonts w:hint="eastAsia" w:ascii="宋体" w:hAnsi="宋体" w:cs="宋体"/>
          <w:b/>
          <w:bCs/>
          <w:color w:val="000000" w:themeColor="text1"/>
          <w:sz w:val="24"/>
          <w:highlight w:val="none"/>
          <w14:textFill>
            <w14:solidFill>
              <w14:schemeClr w14:val="tx1"/>
            </w14:solidFill>
          </w14:textFill>
        </w:rPr>
        <w:t>且较为低廉</w:t>
      </w:r>
      <w:r>
        <w:rPr>
          <w:rFonts w:hint="eastAsia" w:ascii="宋体" w:hAnsi="宋体" w:cs="宋体"/>
          <w:color w:val="000000" w:themeColor="text1"/>
          <w:sz w:val="24"/>
          <w:highlight w:val="none"/>
          <w14:textFill>
            <w14:solidFill>
              <w14:schemeClr w14:val="tx1"/>
            </w14:solidFill>
          </w14:textFill>
        </w:rPr>
        <w:t>的价格供应米饭、馒头、荤素包子、鸡蛋、白米粥、杂粮粥、豆浆、面条、水饺、鸡蛋汤、各种素菜、荤素混炒、猪肉、鸡肉、鱼肉等家常菜肴，并且保证主副食花色品种不断翻新和多样化。</w:t>
      </w:r>
      <w:r>
        <w:rPr>
          <w:rFonts w:hint="eastAsia" w:ascii="宋体" w:hAnsi="宋体" w:cs="宋体"/>
          <w:bCs/>
          <w:color w:val="000000" w:themeColor="text1"/>
          <w:sz w:val="24"/>
          <w:highlight w:val="none"/>
          <w14:textFill>
            <w14:solidFill>
              <w14:schemeClr w14:val="tx1"/>
            </w14:solidFill>
          </w14:textFill>
        </w:rPr>
        <w:t>为了能适应不同地区、风俗、口味、经济状况的师生就餐，必须承诺履行菜肴品种丰富，价格有高、中、低搭配（比例原则上为2：5：3）；</w:t>
      </w:r>
      <w:r>
        <w:rPr>
          <w:rFonts w:hint="eastAsia" w:ascii="宋体" w:hAnsi="宋体" w:cs="宋体"/>
          <w:b/>
          <w:color w:val="000000" w:themeColor="text1"/>
          <w:sz w:val="24"/>
          <w:highlight w:val="none"/>
          <w14:textFill>
            <w14:solidFill>
              <w14:schemeClr w14:val="tx1"/>
            </w14:solidFill>
          </w14:textFill>
        </w:rPr>
        <w:t>价格为2元及以下菜品普通餐销售窗口每餐不少于2个品种，保证不脱销，中、晚餐师生就餐期间必须有足量免费汤供应，且随季节合理更换汤的种类。</w:t>
      </w:r>
      <w:r>
        <w:rPr>
          <w:rFonts w:hint="eastAsia" w:ascii="宋体" w:hAnsi="宋体" w:cs="宋体"/>
          <w:bCs/>
          <w:color w:val="000000" w:themeColor="text1"/>
          <w:sz w:val="24"/>
          <w:highlight w:val="none"/>
          <w14:textFill>
            <w14:solidFill>
              <w14:schemeClr w14:val="tx1"/>
            </w14:solidFill>
          </w14:textFill>
        </w:rPr>
        <w:t>学生食堂禁止制售国家明令禁止销售的品种和凉菜。不准出售变质、变味、剩饭菜。学校将不定期在师生中调查饭菜质量、数量、价格以及服务情况并将有关信息通知经营者，经营者应虚心听取意见，采取措施及时解决存在的问题。</w:t>
      </w:r>
    </w:p>
    <w:p>
      <w:pP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（4）基本大伙要按投标报价（食堂基本大伙品目参考报价单）为基准，价格相对稳定</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毛利率控制在26%范围内；且基本大伙售饭档口占比全部档口比例不低于60%；不得未经学校同意，减少大伙档口和饭菜花色品种，改为特色档口，而导致学生就餐困难和饭菜价格隐形增加，否则视为违约，学院有权解除合同并扣除履约保证金作为处罚；各种特色餐饮，同类情况下，价格要低于当地市场价的10%以上。</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 w:val="0"/>
          <w:bCs w:val="0"/>
          <w:color w:val="000000" w:themeColor="text1"/>
          <w:sz w:val="24"/>
          <w:highlight w:val="none"/>
          <w14:textFill>
            <w14:solidFill>
              <w14:schemeClr w14:val="tx1"/>
            </w14:solidFill>
          </w14:textFill>
        </w:rPr>
        <w:t>学生</w:t>
      </w:r>
      <w:r>
        <w:rPr>
          <w:rFonts w:hint="eastAsia" w:ascii="宋体" w:hAnsi="宋体" w:cs="宋体"/>
          <w:color w:val="000000" w:themeColor="text1"/>
          <w:sz w:val="24"/>
          <w:highlight w:val="none"/>
          <w14:textFill>
            <w14:solidFill>
              <w14:schemeClr w14:val="tx1"/>
            </w14:solidFill>
          </w14:textFill>
        </w:rPr>
        <w:t>餐厅要制定详细的特色经营方案，要聘请高水平的厨师和服务团队，创建安徽省一流的文化餐厅品牌。</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（6）经营方</w:t>
      </w:r>
      <w:r>
        <w:rPr>
          <w:rFonts w:hint="eastAsia" w:ascii="宋体" w:hAnsi="宋体" w:cs="宋体"/>
          <w:bCs/>
          <w:color w:val="000000" w:themeColor="text1"/>
          <w:sz w:val="24"/>
          <w:highlight w:val="none"/>
          <w14:textFill>
            <w14:solidFill>
              <w14:schemeClr w14:val="tx1"/>
            </w14:solidFill>
          </w14:textFill>
        </w:rPr>
        <w:t>从事的经营服务范围只限于餐饮服务，不得从事瓶装矿泉水、水果、方便面、袋装零食等校园超市售卖物品类其它非加工制作餐饮品项目的销售服务。每发现一次扣除履约金</w:t>
      </w:r>
      <w:r>
        <w:rPr>
          <w:rFonts w:hint="eastAsia" w:ascii="宋体" w:hAnsi="宋体" w:cs="宋体"/>
          <w:b/>
          <w:color w:val="000000" w:themeColor="text1"/>
          <w:sz w:val="24"/>
          <w:highlight w:val="none"/>
          <w14:textFill>
            <w14:solidFill>
              <w14:schemeClr w14:val="tx1"/>
            </w14:solidFill>
          </w14:textFill>
        </w:rPr>
        <w:t>500</w:t>
      </w:r>
      <w:r>
        <w:rPr>
          <w:rFonts w:hint="eastAsia" w:ascii="宋体" w:hAnsi="宋体" w:cs="宋体"/>
          <w:bCs/>
          <w:color w:val="000000" w:themeColor="text1"/>
          <w:sz w:val="24"/>
          <w:highlight w:val="none"/>
          <w14:textFill>
            <w14:solidFill>
              <w14:schemeClr w14:val="tx1"/>
            </w14:solidFill>
          </w14:textFill>
        </w:rPr>
        <w:t>元，情况严重屡犯不改者学校有权解除合同。</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经营方负责承包食厨废弃物（泔水）的清运，按相关要求招请有资质的单位专门承担此项任务，所发生的费用由经营方承担。食厨废弃物（泔水）按规定投放专用容器中，严禁混入生活垃圾收集桶内，做到日产日清，清除后的容器应及时清洗消毒。若发现食厨废弃物（泔水）混入生活垃圾收集桶内，每发现一次扣除履约金</w:t>
      </w:r>
      <w:r>
        <w:rPr>
          <w:rFonts w:hint="eastAsia" w:ascii="宋体" w:hAnsi="宋体" w:cs="宋体"/>
          <w:b/>
          <w:color w:val="000000" w:themeColor="text1"/>
          <w:sz w:val="24"/>
          <w:highlight w:val="none"/>
          <w14:textFill>
            <w14:solidFill>
              <w14:schemeClr w14:val="tx1"/>
            </w14:solidFill>
          </w14:textFill>
        </w:rPr>
        <w:t>500</w:t>
      </w:r>
      <w:r>
        <w:rPr>
          <w:rFonts w:hint="eastAsia" w:ascii="宋体" w:hAnsi="宋体" w:cs="宋体"/>
          <w:bCs/>
          <w:color w:val="000000" w:themeColor="text1"/>
          <w:sz w:val="24"/>
          <w:highlight w:val="none"/>
          <w14:textFill>
            <w14:solidFill>
              <w14:schemeClr w14:val="tx1"/>
            </w14:solidFill>
          </w14:textFill>
        </w:rPr>
        <w:t>元。</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6.财务管理要求</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（1）学校严格按照国家文件规定实行“零租赁”。</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“校园一卡通”（浙江正元为一卡通服务方）、农行智慧食堂扫脸支付</w:t>
      </w:r>
      <w:r>
        <w:rPr>
          <w:rFonts w:hint="eastAsia" w:ascii="宋体" w:hAnsi="宋体" w:cs="宋体"/>
          <w:bCs/>
          <w:color w:val="000000" w:themeColor="text1"/>
          <w:sz w:val="24"/>
          <w:highlight w:val="none"/>
          <w:lang w:val="en-US" w:eastAsia="zh-CN"/>
          <w14:textFill>
            <w14:solidFill>
              <w14:schemeClr w14:val="tx1"/>
            </w14:solidFill>
          </w14:textFill>
        </w:rPr>
        <w:t>等</w:t>
      </w:r>
      <w:r>
        <w:rPr>
          <w:rFonts w:hint="eastAsia" w:ascii="宋体" w:hAnsi="宋体" w:cs="宋体"/>
          <w:b/>
          <w:bCs/>
          <w:color w:val="000000" w:themeColor="text1"/>
          <w:sz w:val="24"/>
          <w:highlight w:val="none"/>
          <w14:textFill>
            <w14:solidFill>
              <w14:schemeClr w14:val="tx1"/>
            </w14:solidFill>
          </w14:textFill>
        </w:rPr>
        <w:t>为食堂消费的指定支付方式。</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lang w:val="en-US" w:eastAsia="zh-CN"/>
          <w14:textFill>
            <w14:solidFill>
              <w14:schemeClr w14:val="tx1"/>
            </w14:solidFill>
          </w14:textFill>
        </w:rPr>
        <w:t>已经根据原食堂</w:t>
      </w:r>
      <w:r>
        <w:rPr>
          <w:rFonts w:hint="eastAsia" w:ascii="宋体" w:hAnsi="宋体" w:cs="宋体"/>
          <w:bCs/>
          <w:color w:val="000000" w:themeColor="text1"/>
          <w:sz w:val="24"/>
          <w:highlight w:val="none"/>
          <w14:textFill>
            <w14:solidFill>
              <w14:schemeClr w14:val="tx1"/>
            </w14:solidFill>
          </w14:textFill>
        </w:rPr>
        <w:t>开设售饭窗口数量布设卡机等支付设施，</w:t>
      </w:r>
      <w:r>
        <w:rPr>
          <w:rFonts w:hint="eastAsia" w:ascii="宋体" w:hAnsi="宋体" w:cs="宋体"/>
          <w:bCs/>
          <w:color w:val="000000" w:themeColor="text1"/>
          <w:sz w:val="24"/>
          <w:highlight w:val="none"/>
          <w:lang w:val="en-US" w:eastAsia="zh-CN"/>
          <w14:textFill>
            <w14:solidFill>
              <w14:schemeClr w14:val="tx1"/>
            </w14:solidFill>
          </w14:textFill>
        </w:rPr>
        <w:t>中标方</w:t>
      </w:r>
      <w:r>
        <w:rPr>
          <w:rFonts w:hint="eastAsia" w:ascii="宋体" w:hAnsi="宋体" w:cs="宋体"/>
          <w:b/>
          <w:color w:val="000000" w:themeColor="text1"/>
          <w:sz w:val="24"/>
          <w:szCs w:val="24"/>
          <w:highlight w:val="none"/>
          <w:lang w:val="en-US" w:eastAsia="zh-CN"/>
          <w14:textFill>
            <w14:solidFill>
              <w14:schemeClr w14:val="tx1"/>
            </w14:solidFill>
          </w14:textFill>
        </w:rPr>
        <w:t>在装修改造过程中涉及一卡通设备和线路的拆除，要进行恢复。在合理设置窗口的过程中</w:t>
      </w:r>
      <w:r>
        <w:rPr>
          <w:rFonts w:hint="eastAsia" w:ascii="宋体" w:hAnsi="宋体" w:cs="宋体"/>
          <w:color w:val="000000" w:themeColor="text1"/>
          <w:sz w:val="24"/>
          <w:highlight w:val="none"/>
          <w14:textFill>
            <w14:solidFill>
              <w14:schemeClr w14:val="tx1"/>
            </w14:solidFill>
          </w14:textFill>
        </w:rPr>
        <w:t>如卡机不够，</w:t>
      </w:r>
      <w:r>
        <w:rPr>
          <w:rFonts w:hint="eastAsia" w:ascii="宋体" w:hAnsi="宋体" w:cs="宋体"/>
          <w:color w:val="000000" w:themeColor="text1"/>
          <w:sz w:val="24"/>
          <w:highlight w:val="none"/>
          <w:lang w:val="en-US" w:eastAsia="zh-CN"/>
          <w14:textFill>
            <w14:solidFill>
              <w14:schemeClr w14:val="tx1"/>
            </w14:solidFill>
          </w14:textFill>
        </w:rPr>
        <w:t>中标方应</w:t>
      </w:r>
      <w:r>
        <w:rPr>
          <w:rFonts w:hint="eastAsia" w:ascii="宋体" w:hAnsi="宋体" w:cs="宋体"/>
          <w:bCs/>
          <w:color w:val="000000" w:themeColor="text1"/>
          <w:sz w:val="24"/>
          <w:highlight w:val="none"/>
          <w14:textFill>
            <w14:solidFill>
              <w14:schemeClr w14:val="tx1"/>
            </w14:solidFill>
          </w14:textFill>
        </w:rPr>
        <w:t>提前联系校园一卡通</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自行</w:t>
      </w:r>
      <w:r>
        <w:rPr>
          <w:rFonts w:hint="eastAsia" w:ascii="宋体" w:hAnsi="宋体" w:cs="宋体"/>
          <w:color w:val="000000" w:themeColor="text1"/>
          <w:sz w:val="24"/>
          <w:highlight w:val="none"/>
          <w:lang w:val="en-US" w:eastAsia="zh-CN"/>
          <w14:textFill>
            <w14:solidFill>
              <w14:schemeClr w14:val="tx1"/>
            </w14:solidFill>
          </w14:textFill>
        </w:rPr>
        <w:t>铺设线路及</w:t>
      </w:r>
      <w:r>
        <w:rPr>
          <w:rFonts w:hint="eastAsia" w:ascii="宋体" w:hAnsi="宋体" w:cs="宋体"/>
          <w:color w:val="000000" w:themeColor="text1"/>
          <w:sz w:val="24"/>
          <w:highlight w:val="none"/>
          <w14:textFill>
            <w14:solidFill>
              <w14:schemeClr w14:val="tx1"/>
            </w14:solidFill>
          </w14:textFill>
        </w:rPr>
        <w:t>添置卡机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严禁使用微信、支付宝及现金收费，</w:t>
      </w:r>
      <w:r>
        <w:rPr>
          <w:rFonts w:hint="eastAsia" w:ascii="宋体" w:hAnsi="宋体" w:cs="宋体"/>
          <w:color w:val="000000" w:themeColor="text1"/>
          <w:sz w:val="24"/>
          <w:highlight w:val="none"/>
          <w14:textFill>
            <w14:solidFill>
              <w14:schemeClr w14:val="tx1"/>
            </w14:solidFill>
          </w14:textFill>
        </w:rPr>
        <w:t>违反规定每次</w:t>
      </w:r>
      <w:r>
        <w:rPr>
          <w:rFonts w:hint="eastAsia" w:ascii="宋体" w:hAnsi="宋体" w:cs="宋体"/>
          <w:b/>
          <w:bCs/>
          <w:color w:val="000000" w:themeColor="text1"/>
          <w:sz w:val="24"/>
          <w:highlight w:val="none"/>
          <w14:textFill>
            <w14:solidFill>
              <w14:schemeClr w14:val="tx1"/>
            </w14:solidFill>
          </w14:textFill>
        </w:rPr>
        <w:t>每例</w:t>
      </w:r>
      <w:r>
        <w:rPr>
          <w:rFonts w:hint="eastAsia" w:ascii="宋体" w:hAnsi="宋体" w:cs="宋体"/>
          <w:color w:val="000000" w:themeColor="text1"/>
          <w:sz w:val="24"/>
          <w:highlight w:val="none"/>
          <w14:textFill>
            <w14:solidFill>
              <w14:schemeClr w14:val="tx1"/>
            </w14:solidFill>
          </w14:textFill>
        </w:rPr>
        <w:t>扣除履约保证金500元。</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（3）与中标人每月按合同约定结算营业款，水电费按宿州市水电费统一标准收取（目前水按照2.35元/吨、电0.7元/度</w:t>
      </w:r>
      <w:r>
        <w:rPr>
          <w:rFonts w:hint="eastAsia" w:ascii="宋体" w:hAnsi="宋体" w:cs="宋体"/>
          <w:b/>
          <w:bCs/>
          <w:color w:val="000000" w:themeColor="text1"/>
          <w:sz w:val="24"/>
          <w:highlight w:val="none"/>
          <w14:textFill>
            <w14:solidFill>
              <w14:schemeClr w14:val="tx1"/>
            </w14:solidFill>
          </w14:textFill>
        </w:rPr>
        <w:t>，如有政策调整双方再行协商）</w:t>
      </w:r>
      <w:r>
        <w:rPr>
          <w:rFonts w:hint="eastAsia" w:ascii="宋体" w:hAnsi="宋体" w:cs="宋体"/>
          <w:color w:val="000000" w:themeColor="text1"/>
          <w:sz w:val="24"/>
          <w:highlight w:val="none"/>
          <w14:textFill>
            <w14:solidFill>
              <w14:schemeClr w14:val="tx1"/>
            </w14:solidFill>
          </w14:textFill>
        </w:rPr>
        <w:t>实行代缴代扣，每月扣除水电费及履约保证金扣除金额后将剩余经营款打入中标人账户。如开通燃气后，燃气费</w:t>
      </w:r>
      <w:r>
        <w:rPr>
          <w:rFonts w:hint="eastAsia" w:ascii="宋体" w:hAnsi="宋体" w:cs="宋体"/>
          <w:b/>
          <w:bCs/>
          <w:color w:val="000000" w:themeColor="text1"/>
          <w:sz w:val="24"/>
          <w:highlight w:val="none"/>
          <w14:textFill>
            <w14:solidFill>
              <w14:schemeClr w14:val="tx1"/>
            </w14:solidFill>
          </w14:textFill>
        </w:rPr>
        <w:t>由</w:t>
      </w:r>
      <w:r>
        <w:rPr>
          <w:rFonts w:hint="eastAsia" w:ascii="宋体" w:hAnsi="宋体" w:cs="宋体"/>
          <w:color w:val="000000" w:themeColor="text1"/>
          <w:sz w:val="24"/>
          <w:highlight w:val="none"/>
          <w14:textFill>
            <w14:solidFill>
              <w14:schemeClr w14:val="tx1"/>
            </w14:solidFill>
          </w14:textFill>
        </w:rPr>
        <w:t>中标人自行缴纳。如预留燃气接口不够，中标人自行联系燃气公司按规范添置，费用自理。</w:t>
      </w:r>
    </w:p>
    <w:p>
      <w:pP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中标人签订合同后按半年或年度缴纳投标报价的水资源管理费、污水处理费、垃圾清运及垃圾处理费等费用，由中标单位转账到学校财务处指定账户或从经营款中扣除。</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（4）中标人要注重公益性，建立成本核算机制，严格控制毛利润。</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（5）签订风险责任承诺。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中标人必须对自身经营风险承担全部的责任，与校方签订《食品与消防安全责任书》并对卫生与安全责任做出明确承诺。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①中标人要按投标书中的条款和双方签订的合同规定，承担全部的安全、卫生、质量、价格、效益、风险等责任。</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②中标人在经营过程中与外界发生的一切债权、债务等纠纷均与学校无关。</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③中标人不得以任何理由不按时或不充足供应</w:t>
      </w:r>
      <w:r>
        <w:rPr>
          <w:rFonts w:hint="eastAsia" w:ascii="宋体" w:hAnsi="宋体" w:cs="宋体"/>
          <w:b/>
          <w:bCs/>
          <w:color w:val="000000" w:themeColor="text1"/>
          <w:sz w:val="24"/>
          <w:highlight w:val="none"/>
          <w14:textFill>
            <w14:solidFill>
              <w14:schemeClr w14:val="tx1"/>
            </w14:solidFill>
          </w14:textFill>
        </w:rPr>
        <w:t>师生餐饮服务</w:t>
      </w:r>
      <w:r>
        <w:rPr>
          <w:rFonts w:hint="eastAsia" w:ascii="宋体" w:hAnsi="宋体" w:cs="宋体"/>
          <w:color w:val="000000" w:themeColor="text1"/>
          <w:sz w:val="24"/>
          <w:highlight w:val="none"/>
          <w14:textFill>
            <w14:solidFill>
              <w14:schemeClr w14:val="tx1"/>
            </w14:solidFill>
          </w14:textFill>
        </w:rPr>
        <w:t>，否则视为违反合同。</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7.日常考核及退出机制</w:t>
      </w:r>
    </w:p>
    <w:p>
      <w:pPr>
        <w:spacing w:line="360" w:lineRule="auto"/>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（1）严格执行《食品安全法》（</w:t>
      </w:r>
      <w:r>
        <w:rPr>
          <w:rFonts w:hint="eastAsia" w:ascii="宋体" w:hAnsi="宋体" w:cs="宋体"/>
          <w:b/>
          <w:bCs/>
          <w:color w:val="000000" w:themeColor="text1"/>
          <w:sz w:val="24"/>
          <w:highlight w:val="none"/>
          <w14:textFill>
            <w14:solidFill>
              <w14:schemeClr w14:val="tx1"/>
            </w14:solidFill>
          </w14:textFill>
        </w:rPr>
        <w:t>2021年修订</w:t>
      </w:r>
      <w:r>
        <w:rPr>
          <w:rFonts w:hint="eastAsia" w:ascii="宋体" w:hAnsi="宋体" w:cs="宋体"/>
          <w:color w:val="000000" w:themeColor="text1"/>
          <w:sz w:val="24"/>
          <w:highlight w:val="none"/>
          <w14:textFill>
            <w14:solidFill>
              <w14:schemeClr w14:val="tx1"/>
            </w14:solidFill>
          </w14:textFill>
        </w:rPr>
        <w:t>）、《学校食品安全与营养健康管理规定》、《消防法》、《皖北卫生职业学院托管食堂管理办法》和其他国家、省厅相关文件、管理制度和A级食堂考核等要求。</w:t>
      </w:r>
      <w:r>
        <w:rPr>
          <w:rFonts w:hint="eastAsia" w:ascii="宋体" w:hAnsi="宋体"/>
          <w:b/>
          <w:bCs/>
          <w:color w:val="000000" w:themeColor="text1"/>
          <w:sz w:val="24"/>
          <w:highlight w:val="none"/>
          <w14:textFill>
            <w14:solidFill>
              <w14:schemeClr w14:val="tx1"/>
            </w14:solidFill>
          </w14:textFill>
        </w:rPr>
        <w:t>合同期内因食堂提档升级或学校发展需要，学校可能会对食堂进行改造，经营方须无条件服从。</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（2）日常考核</w:t>
      </w:r>
    </w:p>
    <w:p>
      <w:pPr>
        <w:spacing w:line="500" w:lineRule="exact"/>
        <w:ind w:firstLine="468"/>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经营服务期限：3年（2+1），中标后先签订2年经营服务合同，经营期间每年由学校总务处等相关部门进行师生满意度考核，对综合满意度达到80%以上（含80%），</w:t>
      </w:r>
      <w:r>
        <w:rPr>
          <w:rFonts w:hint="eastAsia" w:ascii="宋体" w:hAnsi="宋体" w:cs="宋体"/>
          <w:b/>
          <w:bCs/>
          <w:color w:val="000000" w:themeColor="text1"/>
          <w:sz w:val="24"/>
          <w:szCs w:val="24"/>
          <w:highlight w:val="none"/>
          <w14:textFill>
            <w14:solidFill>
              <w14:schemeClr w14:val="tx1"/>
            </w14:solidFill>
          </w14:textFill>
        </w:rPr>
        <w:t>且前2年合同期内无重大食品安全事件；</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被校方因食品安全负面问题书面约谈整改</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不多于</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3次；被省、市、区市场监管等部门立案查处不多于1次且及时整改落实的，</w:t>
      </w:r>
      <w:r>
        <w:rPr>
          <w:rFonts w:hint="eastAsia" w:ascii="宋体" w:hAnsi="宋体" w:cs="宋体"/>
          <w:b/>
          <w:bCs/>
          <w:color w:val="000000" w:themeColor="text1"/>
          <w:sz w:val="24"/>
          <w:highlight w:val="none"/>
          <w14:textFill>
            <w14:solidFill>
              <w14:schemeClr w14:val="tx1"/>
            </w14:solidFill>
          </w14:textFill>
        </w:rPr>
        <w:t>经学校研究同意可以续签第3年合同。</w:t>
      </w:r>
    </w:p>
    <w:p>
      <w:pPr>
        <w:spacing w:line="500" w:lineRule="exact"/>
        <w:ind w:firstLine="470" w:firstLineChars="19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合同期满，食堂内学校提供设施设备完好无损，同时中标单位已完全承担全部经济与法律责任（如经济、劳工、合约纠纷、赔偿责任等）并妥善处理后，学校无息退还剩余履约保证金。</w:t>
      </w:r>
    </w:p>
    <w:p>
      <w:pPr>
        <w:spacing w:line="500" w:lineRule="exact"/>
        <w:ind w:firstLine="468" w:firstLineChars="195"/>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退出机制</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①正常退出。合同到期自动终止，正常退出。合同到期后，根据合同约定，双方结清相关费用，办理移交手续后，经营者自行退出，合同自动终止。</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②提前退出。出现不可抗拒因素，经营者可提前退出，未尽事宜双方协商解决；因特殊原因经营者无法继续经营，</w:t>
      </w:r>
      <w:r>
        <w:rPr>
          <w:rFonts w:hint="eastAsia" w:ascii="宋体" w:hAnsi="宋体" w:cs="宋体"/>
          <w:b/>
          <w:bCs/>
          <w:color w:val="000000" w:themeColor="text1"/>
          <w:sz w:val="24"/>
          <w:highlight w:val="none"/>
          <w14:textFill>
            <w14:solidFill>
              <w14:schemeClr w14:val="tx1"/>
            </w14:solidFill>
          </w14:textFill>
        </w:rPr>
        <w:t>可提前6个月书面申请，</w:t>
      </w:r>
      <w:r>
        <w:rPr>
          <w:rFonts w:hint="eastAsia" w:ascii="宋体" w:hAnsi="宋体" w:cs="宋体"/>
          <w:color w:val="000000" w:themeColor="text1"/>
          <w:sz w:val="24"/>
          <w:highlight w:val="none"/>
          <w14:textFill>
            <w14:solidFill>
              <w14:schemeClr w14:val="tx1"/>
            </w14:solidFill>
          </w14:textFill>
        </w:rPr>
        <w:t>经学校研究批准后，按协议约定办理相关手续后，终止协议。</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③强制退出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对引进的中标人，在经营期内出现下列情况之一，学校有权取消其经营资格，责令退出食堂经营，投入的装修、设备等全部归校方所有。</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A.发生食物中毒、火灾及违反规定给学校造成重大不良影响的；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B.引进的中标人在学校经营过程中违法而受到司法部门处理的；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C.因擅自提高价格，或因食品卫生安全和服务质量存在问题等引发群体事件影响恶劣的；</w:t>
      </w:r>
    </w:p>
    <w:p>
      <w:pPr>
        <w:spacing w:line="500" w:lineRule="exact"/>
        <w:ind w:firstLine="4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D.考核符合退出条件的；</w:t>
      </w:r>
    </w:p>
    <w:p>
      <w:pPr>
        <w:spacing w:line="500" w:lineRule="exact"/>
        <w:ind w:firstLine="495"/>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w:t>
      </w:r>
      <w:r>
        <w:rPr>
          <w:rFonts w:hint="eastAsia" w:ascii="宋体" w:hAnsi="宋体" w:cs="宋体"/>
          <w:bCs/>
          <w:color w:val="000000" w:themeColor="text1"/>
          <w:sz w:val="24"/>
          <w:highlight w:val="none"/>
          <w14:textFill>
            <w14:solidFill>
              <w14:schemeClr w14:val="tx1"/>
            </w14:solidFill>
          </w14:textFill>
        </w:rPr>
        <w:t>有转包和分包的；</w:t>
      </w:r>
    </w:p>
    <w:p>
      <w:pPr>
        <w:spacing w:line="500" w:lineRule="exact"/>
        <w:ind w:firstLine="495"/>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F.没有认真落实省教育厅下达学校“面向采购”消费帮扶乡村振兴任务的。</w:t>
      </w:r>
    </w:p>
    <w:p>
      <w:pPr>
        <w:pStyle w:val="2"/>
        <w:ind w:firstLine="640"/>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食堂基本大伙品目参考报价单</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058"/>
        <w:gridCol w:w="823"/>
        <w:gridCol w:w="1061"/>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菜品名称</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份量</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w:t>
            </w: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白米饭</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精面馒头</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鲜肉包子</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素馅包子</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茶叶蛋</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白米粥</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杂粮粥</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豆浆</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素菜面条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肉丝汤面条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现冲鸡蛋高汤</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低价素菜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时令叶类素菜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时令瓜果类素菜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荤素混炒</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荤素混烧</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纯烧猪肉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纯烧鸡肉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纯烧鱼肉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蛋炒饭</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炒面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免费汤</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中午10:40-12:10</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饮品</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毫升</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合计报价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bl>
    <w:p>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1.以上品目为本次评标的参考品目，该报价也作为实际运营时的考核价格，各投标人要注意谨慎合理报价。</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2.实际运营过程中，上述菜品每天在基本大伙中按备注要求必须提供，但不限于上述品种。</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3.实际运营过程中，给学生所盛的份量不得低于上述参考份量，如份量明显高于上述参考份量，可等比例上浮价格。</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4.所有按重量报价的菜品均要以去除汤质的重量为准。</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为保持价格的相对稳定，实际运营过程中，同等质量、同等重量的菜品价格不得高于所报参考价格，并且一般均不予调价。对于由于市场波动幅度明显较大，可报餐饮中心，经学院总务处研究后予以调整，但上浮幅度不得高于原报价的30%。</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6.上述表格中未涉及到的品种参照上表中类似品目进行定价，并报总务处处备案。</w:t>
      </w:r>
    </w:p>
    <w:p>
      <w:pPr>
        <w:pStyle w:val="28"/>
        <w:widowControl/>
        <w:spacing w:line="500" w:lineRule="exact"/>
        <w:ind w:firstLine="419" w:firstLineChars="174"/>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8.其他要求</w:t>
      </w:r>
    </w:p>
    <w:p>
      <w:pPr>
        <w:autoSpaceDE w:val="0"/>
        <w:autoSpaceDN w:val="0"/>
        <w:adjustRightInd w:val="0"/>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（1）中标人经营过程中出现安全、卫生等重大问题时，学校有权用履约保证金先行支付。</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（2）中标人必须自主经营，严禁任何形式的转包和分包，否则，校方除立即解除合同外，没收全部履约保证金。</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终止时，中标人必须保证食堂内设施设备（包含中标人投资）完好无损，以及在已完全承担全部经济与法律责任（如经济、劳工、合约纠纷、赔偿责任等）并妥善处理后，根据日常考核等情况退还履约保证金（不计利息）。</w:t>
      </w:r>
    </w:p>
    <w:p>
      <w:pPr>
        <w:spacing w:line="500" w:lineRule="exact"/>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（4）投标人须在投标文件中承诺：如我公司中标，我公司将在202</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日前完成装饰装修和设备人员配备，可以完全正常投入经营，如达不到经营条件，招标人可以扣除其10万元经营款作为违约金。</w:t>
      </w:r>
    </w:p>
    <w:p>
      <w:pPr>
        <w:widowControl/>
        <w:spacing w:line="360" w:lineRule="auto"/>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（四）下列情况之一者，投标书无效：</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1.标书未密封或逾期送达；</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2.未加盖本单位公章和法人代表（法人代表委托人）的签章；</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3.投标书书写潦草，字迹模糊难以辨认的；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4.投标书编制不符合招标文件要求的；</w:t>
      </w:r>
    </w:p>
    <w:p>
      <w:pPr>
        <w:spacing w:line="50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5.授权委托书中委托人非本人签字或盖章的。</w:t>
      </w:r>
    </w:p>
    <w:p>
      <w:pPr>
        <w:pStyle w:val="8"/>
        <w:ind w:firstLine="0" w:firstLineChars="0"/>
        <w:jc w:val="center"/>
        <w:rPr>
          <w:snapToGrid w:val="0"/>
          <w:color w:val="000000" w:themeColor="text1"/>
          <w:kern w:val="0"/>
          <w:highlight w:val="none"/>
          <w14:textFill>
            <w14:solidFill>
              <w14:schemeClr w14:val="tx1"/>
            </w14:solidFill>
          </w14:textFill>
        </w:rPr>
      </w:pPr>
      <w:bookmarkStart w:id="92" w:name="_Toc1253"/>
    </w:p>
    <w:p>
      <w:pPr>
        <w:pStyle w:val="8"/>
        <w:ind w:firstLine="0" w:firstLineChars="0"/>
        <w:jc w:val="center"/>
        <w:rPr>
          <w:rFonts w:hint="eastAsia"/>
          <w:snapToGrid w:val="0"/>
          <w:color w:val="000000" w:themeColor="text1"/>
          <w:kern w:val="0"/>
          <w:highlight w:val="none"/>
          <w14:textFill>
            <w14:solidFill>
              <w14:schemeClr w14:val="tx1"/>
            </w14:solidFill>
          </w14:textFill>
        </w:rPr>
      </w:pPr>
    </w:p>
    <w:p>
      <w:pPr>
        <w:pStyle w:val="8"/>
        <w:ind w:firstLine="0" w:firstLineChars="0"/>
        <w:jc w:val="center"/>
        <w:rPr>
          <w:rFonts w:hint="eastAsia"/>
          <w:snapToGrid w:val="0"/>
          <w:color w:val="000000" w:themeColor="text1"/>
          <w:kern w:val="0"/>
          <w:highlight w:val="none"/>
          <w14:textFill>
            <w14:solidFill>
              <w14:schemeClr w14:val="tx1"/>
            </w14:solidFill>
          </w14:textFill>
        </w:rPr>
      </w:pPr>
    </w:p>
    <w:p>
      <w:pPr>
        <w:pStyle w:val="8"/>
        <w:ind w:firstLine="0" w:firstLineChars="0"/>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二、商务要求</w:t>
      </w:r>
      <w:bookmarkEnd w:id="86"/>
      <w:bookmarkEnd w:id="87"/>
      <w:bookmarkEnd w:id="88"/>
      <w:bookmarkEnd w:id="89"/>
      <w:bookmarkEnd w:id="90"/>
      <w:bookmarkEnd w:id="92"/>
    </w:p>
    <w:tbl>
      <w:tblPr>
        <w:tblStyle w:val="1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9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序号</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内容</w:t>
            </w:r>
          </w:p>
        </w:tc>
        <w:tc>
          <w:tcPr>
            <w:tcW w:w="3865"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服务期</w:t>
            </w:r>
          </w:p>
        </w:tc>
        <w:tc>
          <w:tcPr>
            <w:tcW w:w="3865" w:type="pct"/>
            <w:vAlign w:val="center"/>
          </w:tcPr>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经营服务期限：3年（2+1），中标后先签订2年经营服务合同，经营期间每年由学校总务处等相关部门进行师生满意度考核，对综合满意度达到80%以上（含80%），</w:t>
            </w:r>
            <w:r>
              <w:rPr>
                <w:rFonts w:hint="eastAsia" w:ascii="宋体" w:hAnsi="宋体" w:cs="宋体"/>
                <w:b/>
                <w:bCs/>
                <w:color w:val="000000" w:themeColor="text1"/>
                <w:sz w:val="24"/>
                <w:szCs w:val="24"/>
                <w:highlight w:val="none"/>
                <w14:textFill>
                  <w14:solidFill>
                    <w14:schemeClr w14:val="tx1"/>
                  </w14:solidFill>
                </w14:textFill>
              </w:rPr>
              <w:t>且前2年合同期内无重大食品安全事件；</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被校方因食品安全负面问题书面约谈整改</w:t>
            </w:r>
            <w:r>
              <w:rPr>
                <w:rFonts w:hint="eastAsia" w:asciiTheme="minorEastAsia" w:hAnsiTheme="minorEastAsia" w:eastAsiaTheme="minorEastAsia" w:cstheme="minorEastAsia"/>
                <w:b/>
                <w:bCs/>
                <w:snapToGrid w:val="0"/>
                <w:color w:val="000000" w:themeColor="text1"/>
                <w:kern w:val="0"/>
                <w:sz w:val="24"/>
                <w:szCs w:val="24"/>
                <w:highlight w:val="none"/>
                <w:lang w:val="en-US" w:eastAsia="zh-CN"/>
                <w14:textFill>
                  <w14:solidFill>
                    <w14:schemeClr w14:val="tx1"/>
                  </w14:solidFill>
                </w14:textFill>
              </w:rPr>
              <w:t>不多于</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3次；被省、市、区市场监管等部门立案查处不多于1次且及时整改落实的，</w:t>
            </w:r>
            <w:r>
              <w:rPr>
                <w:rFonts w:hint="eastAsia" w:ascii="宋体" w:hAnsi="宋体" w:cs="宋体"/>
                <w:b/>
                <w:bCs/>
                <w:color w:val="000000" w:themeColor="text1"/>
                <w:sz w:val="24"/>
                <w:highlight w:val="none"/>
                <w14:textFill>
                  <w14:solidFill>
                    <w14:schemeClr w14:val="tx1"/>
                  </w14:solidFill>
                </w14:textFill>
              </w:rPr>
              <w:t>经学校研究同意可以续签第3年合同。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售后服务</w:t>
            </w:r>
          </w:p>
        </w:tc>
        <w:tc>
          <w:tcPr>
            <w:tcW w:w="3865" w:type="pct"/>
            <w:vAlign w:val="center"/>
          </w:tcPr>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验收</w:t>
            </w:r>
          </w:p>
        </w:tc>
        <w:tc>
          <w:tcPr>
            <w:tcW w:w="3865" w:type="pct"/>
            <w:vAlign w:val="center"/>
          </w:tcPr>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由采购人按照制定的考评办法进行考评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付款</w:t>
            </w:r>
          </w:p>
        </w:tc>
        <w:tc>
          <w:tcPr>
            <w:tcW w:w="3865" w:type="pct"/>
            <w:vAlign w:val="center"/>
          </w:tcPr>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付款人：皖北卫生职业学院</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付款（结算）方式：</w:t>
            </w:r>
            <w:r>
              <w:rPr>
                <w:rFonts w:hint="eastAsia" w:ascii="宋体" w:hAnsi="宋体" w:cs="宋体"/>
                <w:color w:val="000000" w:themeColor="text1"/>
                <w:sz w:val="24"/>
                <w:highlight w:val="none"/>
                <w14:textFill>
                  <w14:solidFill>
                    <w14:schemeClr w14:val="tx1"/>
                  </w14:solidFill>
                </w14:textFill>
              </w:rPr>
              <w:t>每月按合同约定结算营业款。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履约保证金</w:t>
            </w:r>
          </w:p>
        </w:tc>
        <w:tc>
          <w:tcPr>
            <w:tcW w:w="3865" w:type="pct"/>
            <w:vAlign w:val="center"/>
          </w:tcPr>
          <w:p>
            <w:pPr>
              <w:wordWrap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履约保证金形式：</w:t>
            </w:r>
            <w:r>
              <w:rPr>
                <w:rFonts w:hint="eastAsia" w:ascii="宋体" w:hAnsi="宋体" w:cs="宋体"/>
                <w:b/>
                <w:bCs/>
                <w:snapToGrid w:val="0"/>
                <w:color w:val="000000" w:themeColor="text1"/>
                <w:kern w:val="0"/>
                <w:sz w:val="24"/>
                <w:szCs w:val="24"/>
                <w:highlight w:val="none"/>
                <w14:textFill>
                  <w14:solidFill>
                    <w14:schemeClr w14:val="tx1"/>
                  </w14:solidFill>
                </w14:textFill>
              </w:rPr>
              <w:t>现金缴纳</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44万</w:t>
            </w:r>
            <w:r>
              <w:rPr>
                <w:rFonts w:hint="eastAsia" w:ascii="宋体" w:hAnsi="宋体" w:cs="宋体"/>
                <w:b/>
                <w:bCs/>
                <w:snapToGrid w:val="0"/>
                <w:color w:val="000000" w:themeColor="text1"/>
                <w:kern w:val="0"/>
                <w:sz w:val="24"/>
                <w:szCs w:val="24"/>
                <w:highlight w:val="none"/>
                <w14:textFill>
                  <w14:solidFill>
                    <w14:schemeClr w14:val="tx1"/>
                  </w14:solidFill>
                </w14:textFill>
              </w:rPr>
              <w:t>，</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合同签订签缴纳到学校指定的账户</w:t>
            </w:r>
            <w:r>
              <w:rPr>
                <w:rFonts w:hint="eastAsia" w:ascii="宋体" w:hAnsi="宋体" w:cs="宋体"/>
                <w:b/>
                <w:bCs/>
                <w:snapToGrid w:val="0"/>
                <w:color w:val="000000" w:themeColor="text1"/>
                <w:kern w:val="0"/>
                <w:sz w:val="24"/>
                <w:szCs w:val="24"/>
                <w:highlight w:val="none"/>
                <w14:textFill>
                  <w14:solidFill>
                    <w14:schemeClr w14:val="tx1"/>
                  </w14:solidFill>
                </w14:textFill>
              </w:rPr>
              <w:t>。</w:t>
            </w:r>
          </w:p>
          <w:p>
            <w:pPr>
              <w:wordWrap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履约保证金退还时间：合同到期后15日内，履约保证金无息退还。</w:t>
            </w:r>
          </w:p>
        </w:tc>
      </w:tr>
    </w:tbl>
    <w:p>
      <w:pPr>
        <w:wordWrap w:val="0"/>
        <w:spacing w:line="500" w:lineRule="exact"/>
        <w:rPr>
          <w:rFonts w:ascii="宋体" w:hAnsi="宋体" w:cs="宋体"/>
          <w:snapToGrid w:val="0"/>
          <w:color w:val="000000" w:themeColor="text1"/>
          <w:kern w:val="0"/>
          <w:szCs w:val="21"/>
          <w:highlight w:val="none"/>
          <w14:textFill>
            <w14:solidFill>
              <w14:schemeClr w14:val="tx1"/>
            </w14:solidFill>
          </w14:textFill>
        </w:rPr>
      </w:pPr>
    </w:p>
    <w:p>
      <w:pPr>
        <w:pStyle w:val="7"/>
        <w:rPr>
          <w:snapToGrid w:val="0"/>
          <w:color w:val="000000" w:themeColor="text1"/>
          <w:kern w:val="0"/>
          <w:highlight w:val="none"/>
          <w14:textFill>
            <w14:solidFill>
              <w14:schemeClr w14:val="tx1"/>
            </w14:solidFill>
          </w14:textFill>
        </w:rPr>
      </w:pPr>
      <w:bookmarkStart w:id="93" w:name="_Toc482084460"/>
      <w:r>
        <w:rPr>
          <w:rFonts w:hint="eastAsia"/>
          <w:snapToGrid w:val="0"/>
          <w:color w:val="000000" w:themeColor="text1"/>
          <w:kern w:val="0"/>
          <w:highlight w:val="none"/>
          <w14:textFill>
            <w14:solidFill>
              <w14:schemeClr w14:val="tx1"/>
            </w14:solidFill>
          </w14:textFill>
        </w:rPr>
        <w:br w:type="page"/>
      </w:r>
      <w:bookmarkStart w:id="94" w:name="_Toc32360"/>
      <w:bookmarkStart w:id="95" w:name="_Toc5673"/>
      <w:bookmarkStart w:id="96" w:name="_Toc24398"/>
      <w:bookmarkStart w:id="97" w:name="_Toc8327"/>
      <w:r>
        <w:rPr>
          <w:rFonts w:hint="eastAsia"/>
          <w:snapToGrid w:val="0"/>
          <w:color w:val="000000" w:themeColor="text1"/>
          <w:kern w:val="0"/>
          <w:highlight w:val="none"/>
          <w14:textFill>
            <w14:solidFill>
              <w14:schemeClr w14:val="tx1"/>
            </w14:solidFill>
          </w14:textFill>
        </w:rPr>
        <w:t>第四章 评标办法</w:t>
      </w:r>
      <w:bookmarkEnd w:id="93"/>
      <w:bookmarkEnd w:id="94"/>
      <w:bookmarkEnd w:id="95"/>
      <w:bookmarkEnd w:id="96"/>
      <w:bookmarkEnd w:id="97"/>
    </w:p>
    <w:p>
      <w:pPr>
        <w:pStyle w:val="8"/>
        <w:spacing w:line="520" w:lineRule="exact"/>
        <w:ind w:firstLine="482"/>
        <w:rPr>
          <w:snapToGrid w:val="0"/>
          <w:color w:val="000000" w:themeColor="text1"/>
          <w:kern w:val="0"/>
          <w:highlight w:val="none"/>
          <w14:textFill>
            <w14:solidFill>
              <w14:schemeClr w14:val="tx1"/>
            </w14:solidFill>
          </w14:textFill>
        </w:rPr>
      </w:pPr>
      <w:bookmarkStart w:id="98" w:name="_Toc9979"/>
      <w:bookmarkStart w:id="99" w:name="_Toc24663"/>
      <w:bookmarkStart w:id="100" w:name="_Toc29190"/>
      <w:bookmarkStart w:id="101" w:name="_Toc30276"/>
      <w:r>
        <w:rPr>
          <w:rFonts w:hint="eastAsia"/>
          <w:snapToGrid w:val="0"/>
          <w:color w:val="000000" w:themeColor="text1"/>
          <w:kern w:val="0"/>
          <w:highlight w:val="none"/>
          <w14:textFill>
            <w14:solidFill>
              <w14:schemeClr w14:val="tx1"/>
            </w14:solidFill>
          </w14:textFill>
        </w:rPr>
        <w:t>一、评标原则</w:t>
      </w:r>
      <w:bookmarkEnd w:id="98"/>
      <w:bookmarkEnd w:id="99"/>
      <w:bookmarkEnd w:id="100"/>
      <w:bookmarkEnd w:id="101"/>
    </w:p>
    <w:p>
      <w:pPr>
        <w:wordWrap w:val="0"/>
        <w:spacing w:line="5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本项目为非依法必须招标项目，不适用于《中华人民共和国招标投标法》及《中华人民共和国政府采购法》，故由招标人本着公平、公正、科学、择优的原则自定义交易规则。</w:t>
      </w:r>
    </w:p>
    <w:p>
      <w:pPr>
        <w:pStyle w:val="8"/>
        <w:spacing w:line="520" w:lineRule="exact"/>
        <w:ind w:firstLine="482"/>
        <w:jc w:val="both"/>
        <w:rPr>
          <w:snapToGrid w:val="0"/>
          <w:color w:val="000000" w:themeColor="text1"/>
          <w:kern w:val="0"/>
          <w:szCs w:val="24"/>
          <w:highlight w:val="none"/>
          <w14:textFill>
            <w14:solidFill>
              <w14:schemeClr w14:val="tx1"/>
            </w14:solidFill>
          </w14:textFill>
        </w:rPr>
      </w:pPr>
      <w:bookmarkStart w:id="102" w:name="_Toc15073"/>
      <w:bookmarkStart w:id="103" w:name="_Toc32406"/>
      <w:bookmarkStart w:id="104" w:name="_Toc12772"/>
      <w:bookmarkStart w:id="105" w:name="_Toc27872"/>
      <w:r>
        <w:rPr>
          <w:rFonts w:hint="eastAsia"/>
          <w:snapToGrid w:val="0"/>
          <w:color w:val="000000" w:themeColor="text1"/>
          <w:kern w:val="0"/>
          <w:szCs w:val="24"/>
          <w:highlight w:val="none"/>
          <w14:textFill>
            <w14:solidFill>
              <w14:schemeClr w14:val="tx1"/>
            </w14:solidFill>
          </w14:textFill>
        </w:rPr>
        <w:t>二、评审办法</w:t>
      </w:r>
      <w:bookmarkEnd w:id="102"/>
      <w:bookmarkEnd w:id="103"/>
      <w:bookmarkEnd w:id="104"/>
      <w:bookmarkEnd w:id="105"/>
    </w:p>
    <w:p>
      <w:pPr>
        <w:wordWrap w:val="0"/>
        <w:spacing w:line="5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评标委员会对满足招标文件实质性要求的投标文件，按照本章的评分标准进行打分，并将所有投标人按得分由高到低顺序排列，按排列顺序推荐中标候选人。投标文件满足招标文件全部实质性要求，且按照评审因素的量化指标评审得分最高的投标人为排名第一的中标候选人。 </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评标委员会推荐</w:t>
      </w:r>
      <w:r>
        <w:rPr>
          <w:rFonts w:hint="eastAsia" w:ascii="宋体" w:hAnsi="宋体" w:cs="宋体"/>
          <w:b/>
          <w:bCs/>
          <w:snapToGrid w:val="0"/>
          <w:color w:val="000000" w:themeColor="text1"/>
          <w:kern w:val="0"/>
          <w:sz w:val="24"/>
          <w:szCs w:val="24"/>
          <w:highlight w:val="none"/>
          <w:lang w:eastAsia="zh-CN"/>
          <w14:textFill>
            <w14:solidFill>
              <w14:schemeClr w14:val="tx1"/>
            </w14:solidFill>
          </w14:textFill>
        </w:rPr>
        <w:t>不多于</w:t>
      </w:r>
      <w:r>
        <w:rPr>
          <w:rFonts w:hint="eastAsia" w:ascii="宋体" w:hAnsi="宋体" w:cs="宋体"/>
          <w:b/>
          <w:bCs/>
          <w:snapToGrid w:val="0"/>
          <w:color w:val="000000" w:themeColor="text1"/>
          <w:kern w:val="0"/>
          <w:sz w:val="24"/>
          <w:szCs w:val="24"/>
          <w:highlight w:val="none"/>
          <w14:textFill>
            <w14:solidFill>
              <w14:schemeClr w14:val="tx1"/>
            </w14:solidFill>
          </w14:textFill>
        </w:rPr>
        <w:t>3名中标候选人</w:t>
      </w:r>
      <w:r>
        <w:rPr>
          <w:rFonts w:hint="eastAsia" w:ascii="宋体" w:hAnsi="宋体" w:cs="宋体"/>
          <w:snapToGrid w:val="0"/>
          <w:color w:val="000000" w:themeColor="text1"/>
          <w:kern w:val="0"/>
          <w:sz w:val="24"/>
          <w:szCs w:val="24"/>
          <w:highlight w:val="none"/>
          <w14:textFill>
            <w14:solidFill>
              <w14:schemeClr w14:val="tx1"/>
            </w14:solidFill>
          </w14:textFill>
        </w:rPr>
        <w:t>。</w:t>
      </w:r>
    </w:p>
    <w:p>
      <w:pPr>
        <w:pStyle w:val="8"/>
        <w:spacing w:line="520" w:lineRule="exact"/>
        <w:ind w:firstLine="482"/>
        <w:jc w:val="both"/>
        <w:rPr>
          <w:snapToGrid w:val="0"/>
          <w:color w:val="000000" w:themeColor="text1"/>
          <w:kern w:val="0"/>
          <w:szCs w:val="24"/>
          <w:highlight w:val="none"/>
          <w14:textFill>
            <w14:solidFill>
              <w14:schemeClr w14:val="tx1"/>
            </w14:solidFill>
          </w14:textFill>
        </w:rPr>
      </w:pPr>
      <w:bookmarkStart w:id="106" w:name="_Toc25820"/>
      <w:bookmarkStart w:id="107" w:name="_Toc14190"/>
      <w:bookmarkStart w:id="108" w:name="_Toc28403"/>
      <w:bookmarkStart w:id="109" w:name="_Toc1953"/>
      <w:r>
        <w:rPr>
          <w:rFonts w:hint="eastAsia"/>
          <w:snapToGrid w:val="0"/>
          <w:color w:val="000000" w:themeColor="text1"/>
          <w:kern w:val="0"/>
          <w:szCs w:val="24"/>
          <w:highlight w:val="none"/>
          <w14:textFill>
            <w14:solidFill>
              <w14:schemeClr w14:val="tx1"/>
            </w14:solidFill>
          </w14:textFill>
        </w:rPr>
        <w:t>三、评审程序</w:t>
      </w:r>
      <w:bookmarkEnd w:id="106"/>
      <w:bookmarkEnd w:id="107"/>
      <w:bookmarkEnd w:id="108"/>
      <w:bookmarkEnd w:id="109"/>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bookmarkStart w:id="110" w:name="_Toc18817"/>
      <w:bookmarkStart w:id="111" w:name="_Toc14108"/>
      <w:bookmarkStart w:id="112" w:name="_Toc1928"/>
      <w:r>
        <w:rPr>
          <w:rFonts w:hint="eastAsia" w:ascii="宋体" w:hAnsi="宋体" w:cs="宋体"/>
          <w:snapToGrid w:val="0"/>
          <w:color w:val="000000" w:themeColor="text1"/>
          <w:kern w:val="0"/>
          <w:sz w:val="24"/>
          <w:szCs w:val="24"/>
          <w:highlight w:val="none"/>
          <w14:textFill>
            <w14:solidFill>
              <w14:schemeClr w14:val="tx1"/>
            </w14:solidFill>
          </w14:textFill>
        </w:rPr>
        <w:t>3.1评审程序包括投标文件初审、澄清有关问题、比较与评价和推荐中标候选人名单几个步骤。</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3.2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3.3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3.4按照招标文件中规定的评标方法和标准，通过初审的投标人方可进入商务和技术评分、综合比较与评价。</w:t>
      </w:r>
    </w:p>
    <w:p>
      <w:pPr>
        <w:wordWrap w:val="0"/>
        <w:spacing w:line="520" w:lineRule="exact"/>
        <w:ind w:firstLine="480" w:firstLineChars="200"/>
        <w:rPr>
          <w:rFonts w:hint="eastAsia"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3.5评标结束时，评标委员会要按照规定的格式写出评标报告，说明评标过程中的主要情况，推荐中标候选人。</w:t>
      </w:r>
    </w:p>
    <w:p>
      <w:pPr>
        <w:pStyle w:val="2"/>
        <w:rPr>
          <w:color w:val="000000" w:themeColor="text1"/>
          <w:highlight w:val="none"/>
          <w14:textFill>
            <w14:solidFill>
              <w14:schemeClr w14:val="tx1"/>
            </w14:solidFill>
          </w14:textFill>
        </w:rPr>
      </w:pPr>
    </w:p>
    <w:p>
      <w:pPr>
        <w:pStyle w:val="30"/>
        <w:ind w:firstLine="482"/>
        <w:rPr>
          <w:color w:val="000000" w:themeColor="text1"/>
          <w:sz w:val="30"/>
          <w:szCs w:val="30"/>
          <w:highlight w:val="none"/>
          <w14:textFill>
            <w14:solidFill>
              <w14:schemeClr w14:val="tx1"/>
            </w14:solidFill>
          </w14:textFill>
        </w:rPr>
      </w:pPr>
      <w:bookmarkStart w:id="113" w:name="_Toc21393"/>
      <w:r>
        <w:rPr>
          <w:rFonts w:hint="eastAsia" w:cs="宋体"/>
          <w:snapToGrid w:val="0"/>
          <w:color w:val="000000" w:themeColor="text1"/>
          <w:kern w:val="0"/>
          <w:sz w:val="24"/>
          <w:szCs w:val="24"/>
          <w:highlight w:val="none"/>
          <w14:textFill>
            <w14:solidFill>
              <w14:schemeClr w14:val="tx1"/>
            </w14:solidFill>
          </w14:textFill>
        </w:rPr>
        <w:t>四、资格性审查表</w:t>
      </w:r>
      <w:bookmarkEnd w:id="110"/>
      <w:bookmarkEnd w:id="111"/>
      <w:bookmarkEnd w:id="112"/>
      <w:bookmarkEnd w:id="113"/>
      <w:bookmarkStart w:id="114" w:name="_Toc32649"/>
      <w:bookmarkStart w:id="115" w:name="_Toc1833"/>
      <w:bookmarkStart w:id="116" w:name="_Toc10248"/>
      <w:bookmarkStart w:id="117" w:name="_Toc25975"/>
    </w:p>
    <w:tbl>
      <w:tblPr>
        <w:tblStyle w:val="18"/>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指标名称</w:t>
            </w:r>
          </w:p>
        </w:tc>
        <w:tc>
          <w:tcPr>
            <w:tcW w:w="39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指标要求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备注(声明函可合并提供或单独提供）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营业执照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企业营业执照合法有效</w:t>
            </w:r>
          </w:p>
        </w:tc>
        <w:tc>
          <w:tcPr>
            <w:tcW w:w="2655" w:type="dxa"/>
            <w:vMerge w:val="restart"/>
            <w:tcBorders>
              <w:left w:val="nil"/>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税务登记证</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合法有效</w:t>
            </w:r>
          </w:p>
        </w:tc>
        <w:tc>
          <w:tcPr>
            <w:tcW w:w="2655" w:type="dxa"/>
            <w:vMerge w:val="continue"/>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联合体磋商</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符合第一章供应商资格要求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财务状况</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财务状况声明函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依法缴纳税收</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依法缴纳税收的声明函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依法缴纳社会保障资金</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依法缴纳社会保障资金的声明函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具备履行合同所必须的设备和专业技术能力</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不良行为记录</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符合磋商公告第二、3.条的要求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供应商或其法定代表人或</w:t>
            </w:r>
            <w:r>
              <w:rPr>
                <w:rFonts w:hint="eastAsia" w:ascii="宋体" w:hAnsi="宋体" w:cs="宋体"/>
                <w:color w:val="000000" w:themeColor="text1"/>
                <w:highlight w:val="none"/>
                <w14:textFill>
                  <w14:solidFill>
                    <w14:schemeClr w14:val="tx1"/>
                  </w14:solidFill>
                </w14:textFill>
              </w:rPr>
              <w:t>拟派项目经理（项目负责人）</w:t>
            </w:r>
            <w:r>
              <w:rPr>
                <w:rFonts w:hint="eastAsia" w:ascii="宋体" w:hAnsi="宋体"/>
                <w:color w:val="000000" w:themeColor="text1"/>
                <w:highlight w:val="none"/>
                <w14:textFill>
                  <w14:solidFill>
                    <w14:schemeClr w14:val="tx1"/>
                  </w14:solidFill>
                </w14:textFill>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pPr>
              <w:spacing w:after="50" w:line="360" w:lineRule="auto"/>
              <w:ind w:right="-1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登陆“通过中国裁判文书网自行查询”其真实性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标书规范性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符合磋商文件要求（</w:t>
            </w:r>
            <w:r>
              <w:rPr>
                <w:rFonts w:hint="eastAsia" w:ascii="宋体" w:hAnsi="宋体" w:cs="Arial"/>
                <w:color w:val="000000" w:themeColor="text1"/>
                <w:highlight w:val="none"/>
                <w14:textFill>
                  <w14:solidFill>
                    <w14:schemeClr w14:val="tx1"/>
                  </w14:solidFill>
                </w14:textFill>
              </w:rPr>
              <w:t>按照规定的要求进行编制、装订、标记和签署</w:t>
            </w:r>
            <w:r>
              <w:rPr>
                <w:rFonts w:hint="eastAsia" w:ascii="宋体" w:hAnsi="宋体"/>
                <w:color w:val="000000" w:themeColor="text1"/>
                <w:highlight w:val="none"/>
                <w14:textFill>
                  <w14:solidFill>
                    <w14:schemeClr w14:val="tx1"/>
                  </w14:solidFill>
                </w14:textFill>
              </w:rPr>
              <w:t>）</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磋商保证金</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磋商响应函</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法人代表参加磋商的无需授权委托书，提供身份证明书即可</w:t>
            </w:r>
          </w:p>
        </w:tc>
      </w:tr>
    </w:tbl>
    <w:p>
      <w:pPr>
        <w:rPr>
          <w:rFonts w:ascii="宋体" w:hAnsi="宋体" w:cs="宋体"/>
          <w:snapToGrid w:val="0"/>
          <w:color w:val="000000" w:themeColor="text1"/>
          <w:kern w:val="0"/>
          <w:highlight w:val="none"/>
          <w14:textFill>
            <w14:solidFill>
              <w14:schemeClr w14:val="tx1"/>
            </w14:solidFill>
          </w14:textFill>
        </w:rPr>
      </w:pPr>
    </w:p>
    <w:p>
      <w:pPr>
        <w:pStyle w:val="8"/>
        <w:spacing w:line="415" w:lineRule="auto"/>
        <w:ind w:firstLine="0" w:firstLineChars="0"/>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五、符合性审查表</w:t>
      </w:r>
      <w:bookmarkEnd w:id="114"/>
      <w:bookmarkEnd w:id="115"/>
      <w:bookmarkEnd w:id="116"/>
      <w:bookmarkEnd w:id="117"/>
    </w:p>
    <w:p>
      <w:pPr>
        <w:wordWrap w:val="0"/>
        <w:rPr>
          <w:rFonts w:ascii="宋体" w:hAnsi="宋体" w:cs="宋体"/>
          <w:snapToGrid w:val="0"/>
          <w:color w:val="000000" w:themeColor="text1"/>
          <w:kern w:val="0"/>
          <w:highlight w:val="none"/>
          <w14:textFill>
            <w14:solidFill>
              <w14:schemeClr w14:val="tx1"/>
            </w14:solidFill>
          </w14:textFill>
        </w:rPr>
      </w:pP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83"/>
        <w:gridCol w:w="399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序号</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指标名称</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指标要求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技术要求响应情况</w:t>
            </w:r>
          </w:p>
        </w:tc>
        <w:tc>
          <w:tcPr>
            <w:tcW w:w="2209" w:type="pct"/>
            <w:vAlign w:val="center"/>
          </w:tcPr>
          <w:p>
            <w:pPr>
              <w:wordWrap w:val="0"/>
              <w:spacing w:line="60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符合招标文件第三章第一项要求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w:t>
            </w:r>
          </w:p>
        </w:tc>
        <w:tc>
          <w:tcPr>
            <w:tcW w:w="1098" w:type="pct"/>
            <w:vAlign w:val="center"/>
          </w:tcPr>
          <w:p>
            <w:pPr>
              <w:wordWrap w:val="0"/>
              <w:spacing w:after="50"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商务要求响应情况</w:t>
            </w:r>
          </w:p>
        </w:tc>
        <w:tc>
          <w:tcPr>
            <w:tcW w:w="2209" w:type="pct"/>
            <w:vAlign w:val="center"/>
          </w:tcPr>
          <w:p>
            <w:pPr>
              <w:wordWrap w:val="0"/>
              <w:spacing w:line="60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符合招标文件第三章第二项要求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标书规范性</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符合招标文件要求（按照规定的要求进行编制、装订、标记和签署）</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投标函</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符合招标文件要求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其他</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符合招标文件要求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bl>
    <w:p>
      <w:pPr>
        <w:pStyle w:val="8"/>
        <w:ind w:firstLine="0" w:firstLineChars="0"/>
        <w:jc w:val="both"/>
        <w:rPr>
          <w:snapToGrid w:val="0"/>
          <w:color w:val="000000" w:themeColor="text1"/>
          <w:kern w:val="0"/>
          <w:highlight w:val="none"/>
          <w14:textFill>
            <w14:solidFill>
              <w14:schemeClr w14:val="tx1"/>
            </w14:solidFill>
          </w14:textFill>
        </w:rPr>
      </w:pPr>
    </w:p>
    <w:p>
      <w:pPr>
        <w:pStyle w:val="8"/>
        <w:ind w:firstLine="0" w:firstLineChars="0"/>
        <w:jc w:val="both"/>
        <w:rPr>
          <w:snapToGrid w:val="0"/>
          <w:color w:val="000000" w:themeColor="text1"/>
          <w:kern w:val="0"/>
          <w:highlight w:val="none"/>
          <w14:textFill>
            <w14:solidFill>
              <w14:schemeClr w14:val="tx1"/>
            </w14:solidFill>
          </w14:textFill>
        </w:rPr>
      </w:pPr>
    </w:p>
    <w:p>
      <w:pPr>
        <w:pStyle w:val="8"/>
        <w:ind w:firstLine="0" w:firstLineChars="0"/>
        <w:jc w:val="both"/>
        <w:rPr>
          <w:rFonts w:ascii="Calibri" w:hAnsi="Calibri" w:cs="Times New Roman"/>
          <w:b w:val="0"/>
          <w:bCs w:val="0"/>
          <w:color w:val="000000" w:themeColor="text1"/>
          <w:sz w:val="21"/>
          <w:szCs w:val="22"/>
          <w:highlight w:val="none"/>
          <w14:textFill>
            <w14:solidFill>
              <w14:schemeClr w14:val="tx1"/>
            </w14:solidFill>
          </w14:textFill>
        </w:rPr>
      </w:pPr>
    </w:p>
    <w:p>
      <w:pPr>
        <w:rPr>
          <w:rFonts w:ascii="Calibri" w:hAnsi="Calibri" w:cs="Times New Roman"/>
          <w:b w:val="0"/>
          <w:bCs w:val="0"/>
          <w:color w:val="000000" w:themeColor="text1"/>
          <w:sz w:val="21"/>
          <w:szCs w:val="22"/>
          <w:highlight w:val="none"/>
          <w14:textFill>
            <w14:solidFill>
              <w14:schemeClr w14:val="tx1"/>
            </w14:solidFill>
          </w14:textFill>
        </w:rPr>
      </w:pPr>
    </w:p>
    <w:p>
      <w:pPr>
        <w:pStyle w:val="2"/>
        <w:rPr>
          <w:rFonts w:ascii="Calibri" w:hAnsi="Calibri" w:cs="Times New Roman"/>
          <w:b w:val="0"/>
          <w:bCs w:val="0"/>
          <w:color w:val="000000" w:themeColor="text1"/>
          <w:sz w:val="21"/>
          <w:szCs w:val="22"/>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六、评分标准</w:t>
      </w:r>
    </w:p>
    <w:p>
      <w:pPr>
        <w:pStyle w:val="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（一）技术标评审（共70分）</w:t>
      </w:r>
    </w:p>
    <w:tbl>
      <w:tblPr>
        <w:tblStyle w:val="18"/>
        <w:tblpPr w:leftFromText="180" w:rightFromText="180" w:vertAnchor="text" w:horzAnchor="page" w:tblpX="903" w:tblpY="419"/>
        <w:tblOverlap w:val="never"/>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41"/>
        <w:gridCol w:w="645"/>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1141" w:type="dxa"/>
            <w:vAlign w:val="center"/>
          </w:tcPr>
          <w:p>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645" w:type="dxa"/>
            <w:vAlign w:val="center"/>
          </w:tcPr>
          <w:p>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分值</w:t>
            </w:r>
          </w:p>
        </w:tc>
        <w:tc>
          <w:tcPr>
            <w:tcW w:w="7575" w:type="dxa"/>
            <w:vAlign w:val="center"/>
          </w:tcPr>
          <w:p>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经营高校或单位食堂经验</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提供202</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年1月1日（时间以合同签订时间为准）以来经营高校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或相当规模（团餐1000人以上）单位</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食堂餐饮的合同业绩，满一年得2分，满连续两年得4分，满连续3年及以上得6分,最高得6分。同期不重复得分。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本项共6分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连锁经营情况</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w:t>
            </w:r>
          </w:p>
        </w:tc>
        <w:tc>
          <w:tcPr>
            <w:tcW w:w="7575" w:type="dxa"/>
            <w:vAlign w:val="center"/>
          </w:tcPr>
          <w:p>
            <w:pPr>
              <w:jc w:val="left"/>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①202</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年1月1日以来正在经营的高校食堂面积2000㎡（或单位食堂就餐人数2千人）及以上的单个食堂得2分，每增加一个加1分，最高分得</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分（以合同为准，如合同没写面积或人数，可由合同甲方提供书面证明）。</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②已在高校经营的食堂师生满意率80%以上或师生满意度测评分在80分以上的可得2分；单位食堂80分以上得1分。提供经营合同方证明材料。</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本项共8分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认证情况</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w:t>
            </w:r>
          </w:p>
        </w:tc>
        <w:tc>
          <w:tcPr>
            <w:tcW w:w="7575" w:type="dxa"/>
            <w:vAlign w:val="center"/>
          </w:tcPr>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①企业具有有效的ISO9001质量管理体系认证证书的得1分；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②企业具有有效的ISO22000食品安全管理体系认证证书的得1分；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③企业具有有效的ISO14001环境管理体系认证证书的得1分；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4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④</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企业具有OHSAS18001职业健康安全管理体系认证证书的得1分；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5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企业具有危害分析与关键控制点HACCP体系认证证书的得1分；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6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企业具有SA8000社会责任管理体系认证证书的得1分；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7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属于省高校后勤协会理事单位或省、直辖市高校伙食专业委员会推荐单位的得2分；属于省、直辖市餐饮协会理事单位的得1分。提供相关证明材料，没有不得分。（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本项共8分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项目经</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理资质</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拟派餐饮职业经理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中专及以下学历得1分，大专及以上学历得2分；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拟派餐饮职业经理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有食品安全管理员证书的得2分；</w:t>
            </w:r>
          </w:p>
          <w:p>
            <w:pPr>
              <w:pStyle w:val="2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③拟派餐饮职业经理具有三级厨师证书的得2分。没有不得分。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注：1、学历提供毕业证书或其他有关证明材料；2、食品安全管理员、厨师证提供有关证书材料；3、拟派项目经理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必须有本单位缴纳社保</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（2023年1月1日-至今）</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社保缴费证明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（或社保的有效证明材料）指的是至少含养老保险、医疗保险、工伤保险、失业保险中任意一项即可的证明，否则该项目为0分。（本项共6分）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企业信用证明</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①企业信用等级AAA级得1分、AA得0.5分、A不得分；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②企业正在经营的高校食堂或团餐单位食堂，被市场监管等部门评为2022年度</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或2023年度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食品安全监督量化等级A级的，高校食堂每个得1分，团餐单位食堂每个得0.5分；B级的高校食堂每个得0.5分，团餐单位食堂不得分；满分2分。（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81" w:type="dxa"/>
            <w:vMerge w:val="restart"/>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p>
        </w:tc>
        <w:tc>
          <w:tcPr>
            <w:tcW w:w="1141" w:type="dxa"/>
            <w:vMerge w:val="restart"/>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经营方案</w:t>
            </w:r>
          </w:p>
        </w:tc>
        <w:tc>
          <w:tcPr>
            <w:tcW w:w="645" w:type="dxa"/>
            <w:vMerge w:val="restart"/>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1、运营方案：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单位（公司）层面，如何组建本项目组管理团队，餐厅经理、厨师长、中式烹调师、面点师、办公文员、营养师等人员配备合理，分工明确、量化分明得0-2分。（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2、经营思路：整体经营思路、经营目标、运营模式，档口班组如何设置、拟设置档口菜品种类、人员素质要求、管理要求、一卡通管理措施等，目标清晰、策略可行的得0-2分。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3、食堂原材料采购、储存方案，各窗口或餐饮专业班组食品安全控制及食品安全应急预案：方案优得2分，良得1分，一般0.5分，差不得分。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4、本项目装修方案，含</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整体装修风格、</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后厨改造方案、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设计图纸、</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4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④</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装修效果图、</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5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装修前期实施方案、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6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装修质量保障措施、</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7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装修进度及安全保障、</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instrText xml:space="preserve"> = 8 \* GB3 \* MERGEFORMAT </w:instrTex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⑧</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智慧餐厅方案</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等，8个方面内容齐全方案优的每小项得1分，良得0.8分，一般0.5分，缺项或差的该项不得分。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本项共8分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5、食堂各窗口或各餐饮专业班组服务质量、菜品数量、价格控制与提升、营养分析、菜单制定及定期更新方案5个方面：优得3分，良得2分，一般1分，差不得分。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6、建立档案制度：食品加工流程、运输管理、销售环节管理、食品留样管理、餐厨废弃物处理、设备使用管理、餐具消毒标准方案等，优得2分，良得1分，一般0.5分，差不得分。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7、应急预案、雇主责任险、公众责任险等保障措施，回馈学校方案及高校各项评比检查以及学校大型活动、临时任务的服务方案：措施得当齐全得1分；202</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年1月1日以来业绩购买了雇主责任险、公众责任险并承诺未本项目购买以上两险的得1分；回馈学校方案、大型活动方案支持有力的一个案例得1分，最多2分，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提供相关材料证明。（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本项共4分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numPr>
                <w:ilvl w:val="0"/>
                <w:numId w:val="1"/>
              </w:num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①202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年1月1日以来贯彻“三全育人”、服务育人的案例；</w:t>
            </w:r>
          </w:p>
          <w:p>
            <w:pPr>
              <w:ind w:firstLine="210" w:firstLineChars="1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②校企合作或开展学校、社会公益慈善活动的案例；有一个加1分，最多得2分。上述加分业绩可重复得分，提供相关材料证明。（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人员配备</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①用工方案合理并承诺按1：100的比例配备员工得1分。（承诺书）</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②配备营养师或文员、安全员的得1分（必须提供证书复印件加盖公章，否则该项不得分）。</w:t>
            </w:r>
          </w:p>
          <w:p>
            <w:pP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instrText xml:space="preserve"> = 3 \* GB3 \* MERGEFORMAT </w:instrTex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点心师和厨师各配备1名得1分（必须提供证书复印件加盖公章，否则该项不得分）。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节能控制措施</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有详细的灶具、水电、饭菜、燃气节能手段及措施的，优的得2分，良得1分，一般0.5分，差不得分。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各种岗位制度</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有各种现场管理制度、岗位管理制度、用工培训制度，制度齐全、合理得3分，比较完善、合理得2分，一般得1分，不完善、不合理得0分。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服务承诺及增值服务</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评委根据投标单位作出的服务承诺及增值服务情况合理评分。</w:t>
            </w:r>
          </w:p>
          <w:p>
            <w:pPr>
              <w:pStyle w:val="2"/>
              <w:ind w:left="0" w:leftChars="0" w:firstLine="0" w:firstLineChars="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承诺回馈学校师生，前2年合同期内每年资助学院困难学生或赞助学院举办的大型活动资金，或在节假日免费提供留校学生等人员达到以下数额的餐费、餐票，费用在1-2万（含2万）得1分，2万以上得2分。（必须提供加盖公章的承诺书，作为日后合同签订的依据和履约条件，否则该项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经营控制</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①经营方案中，供应主副食品品种丰富情况，0-1.5分；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②经营方案中，高中低档菜肴比例合适情况，0-1.5分；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instrText xml:space="preserve"> = 3 \* GB3 \* MERGEFORMAT </w:instrTex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经营方案中，餐饮成本核算科学情况，0-1分。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本项共4分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bl>
    <w:p>
      <w:pPr>
        <w:spacing w:line="360" w:lineRule="auto"/>
        <w:ind w:firstLine="464"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（二）商务标评审（30分）：</w:t>
      </w:r>
    </w:p>
    <w:p>
      <w:pPr>
        <w:spacing w:line="360" w:lineRule="auto"/>
        <w:ind w:firstLine="480" w:firstLineChars="200"/>
        <w:rPr>
          <w:rFonts w:ascii="宋体" w:hAnsi="宋体"/>
          <w:color w:val="000000" w:themeColor="text1"/>
          <w:spacing w:val="-4"/>
          <w:sz w:val="24"/>
          <w:highlight w:val="none"/>
          <w14:textFill>
            <w14:solidFill>
              <w14:schemeClr w14:val="tx1"/>
            </w14:solidFill>
          </w14:textFill>
        </w:rPr>
      </w:pPr>
      <w:bookmarkStart w:id="118" w:name="_Toc482084462"/>
      <w:bookmarkStart w:id="119" w:name="_Toc30044"/>
      <w:bookmarkStart w:id="120" w:name="_Toc18239"/>
      <w:bookmarkStart w:id="121" w:name="_Toc12262"/>
      <w:bookmarkStart w:id="122" w:name="_Toc25804"/>
      <w:r>
        <w:rPr>
          <w:rFonts w:hint="eastAsia" w:ascii="宋体" w:hAnsi="宋体" w:cs="宋体"/>
          <w:color w:val="000000" w:themeColor="text1"/>
          <w:sz w:val="24"/>
          <w:highlight w:val="none"/>
          <w14:textFill>
            <w14:solidFill>
              <w14:schemeClr w14:val="tx1"/>
            </w14:solidFill>
          </w14:textFill>
        </w:rPr>
        <w:t>1、装饰装修投资与设备配备投资，设定为100万，得基本分</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分；投</w:t>
      </w:r>
      <w:r>
        <w:rPr>
          <w:rFonts w:hint="eastAsia" w:ascii="宋体" w:hAnsi="宋体"/>
          <w:color w:val="000000" w:themeColor="text1"/>
          <w:spacing w:val="-4"/>
          <w:sz w:val="24"/>
          <w:highlight w:val="none"/>
          <w14:textFill>
            <w14:solidFill>
              <w14:schemeClr w14:val="tx1"/>
            </w14:solidFill>
          </w14:textFill>
        </w:rPr>
        <w:t>标单位承诺在100万人民币基础上投资每上浮</w:t>
      </w:r>
      <w:r>
        <w:rPr>
          <w:rFonts w:hint="eastAsia" w:ascii="宋体" w:hAnsi="宋体"/>
          <w:color w:val="000000" w:themeColor="text1"/>
          <w:spacing w:val="-4"/>
          <w:sz w:val="24"/>
          <w:highlight w:val="none"/>
          <w:lang w:val="en-US" w:eastAsia="zh-CN"/>
          <w14:textFill>
            <w14:solidFill>
              <w14:schemeClr w14:val="tx1"/>
            </w14:solidFill>
          </w14:textFill>
        </w:rPr>
        <w:t>5</w:t>
      </w:r>
      <w:r>
        <w:rPr>
          <w:rFonts w:hint="eastAsia" w:ascii="宋体" w:hAnsi="宋体"/>
          <w:color w:val="000000" w:themeColor="text1"/>
          <w:spacing w:val="-4"/>
          <w:sz w:val="24"/>
          <w:highlight w:val="none"/>
          <w14:textFill>
            <w14:solidFill>
              <w14:schemeClr w14:val="tx1"/>
            </w14:solidFill>
          </w14:textFill>
        </w:rPr>
        <w:t>万，再加1分，最多加</w:t>
      </w:r>
      <w:r>
        <w:rPr>
          <w:rFonts w:hint="eastAsia" w:ascii="宋体" w:hAnsi="宋体"/>
          <w:color w:val="000000" w:themeColor="text1"/>
          <w:spacing w:val="-4"/>
          <w:sz w:val="24"/>
          <w:highlight w:val="none"/>
          <w:lang w:val="en-US" w:eastAsia="zh-CN"/>
          <w14:textFill>
            <w14:solidFill>
              <w14:schemeClr w14:val="tx1"/>
            </w14:solidFill>
          </w14:textFill>
        </w:rPr>
        <w:t>6</w:t>
      </w:r>
      <w:r>
        <w:rPr>
          <w:rFonts w:hint="eastAsia" w:ascii="宋体" w:hAnsi="宋体"/>
          <w:color w:val="000000" w:themeColor="text1"/>
          <w:spacing w:val="-4"/>
          <w:sz w:val="24"/>
          <w:highlight w:val="none"/>
          <w14:textFill>
            <w14:solidFill>
              <w14:schemeClr w14:val="tx1"/>
            </w14:solidFill>
          </w14:textFill>
        </w:rPr>
        <w:t>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lang w:val="en-US" w:eastAsia="zh-CN"/>
          <w14:textFill>
            <w14:solidFill>
              <w14:schemeClr w14:val="tx1"/>
            </w14:solidFill>
          </w14:textFill>
        </w:rPr>
        <w:t>上浮中不足5万的部分不计分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14:textFill>
            <w14:solidFill>
              <w14:schemeClr w14:val="tx1"/>
            </w14:solidFill>
          </w14:textFill>
        </w:rPr>
        <w:t>。本项共15分</w:t>
      </w:r>
      <w:r>
        <w:rPr>
          <w:rFonts w:hint="eastAsia" w:ascii="宋体" w:hAnsi="宋体"/>
          <w:b/>
          <w:bCs/>
          <w:color w:val="000000" w:themeColor="text1"/>
          <w:spacing w:val="-4"/>
          <w:sz w:val="21"/>
          <w:szCs w:val="21"/>
          <w:highlight w:val="none"/>
          <w14:textFill>
            <w14:solidFill>
              <w14:schemeClr w14:val="tx1"/>
            </w14:solidFill>
          </w14:textFill>
        </w:rPr>
        <w:t>(一次性投入）</w:t>
      </w:r>
      <w:r>
        <w:rPr>
          <w:rFonts w:hint="eastAsia" w:ascii="宋体" w:hAnsi="宋体"/>
          <w:color w:val="000000" w:themeColor="text1"/>
          <w:spacing w:val="-4"/>
          <w:sz w:val="24"/>
          <w:highlight w:val="none"/>
          <w14:textFill>
            <w14:solidFill>
              <w14:schemeClr w14:val="tx1"/>
            </w14:solidFill>
          </w14:textFill>
        </w:rPr>
        <w:t>。提供承诺书、详细装修方案及设备清单预算表。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2、缴纳水资源管理费、污水处理费、垃圾清运及处理费、水电管理费（不含水电费）、食品卫生监督费、校园一卡通系统及明厨亮灶监控维护维修费、饮食文化活动及其公共建设费等费用，设定为每年</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0万，得基本分</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分；投</w:t>
      </w:r>
      <w:r>
        <w:rPr>
          <w:rFonts w:hint="eastAsia" w:ascii="宋体" w:hAnsi="宋体"/>
          <w:color w:val="000000" w:themeColor="text1"/>
          <w:spacing w:val="-4"/>
          <w:sz w:val="24"/>
          <w:highlight w:val="none"/>
          <w14:textFill>
            <w14:solidFill>
              <w14:schemeClr w14:val="tx1"/>
            </w14:solidFill>
          </w14:textFill>
        </w:rPr>
        <w:t>标单位承诺在</w:t>
      </w:r>
      <w:r>
        <w:rPr>
          <w:rFonts w:hint="eastAsia" w:ascii="宋体" w:hAnsi="宋体"/>
          <w:color w:val="000000" w:themeColor="text1"/>
          <w:spacing w:val="-4"/>
          <w:sz w:val="24"/>
          <w:highlight w:val="none"/>
          <w:lang w:val="en-US" w:eastAsia="zh-CN"/>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0万人民币基础上每上浮</w:t>
      </w:r>
      <w:r>
        <w:rPr>
          <w:rFonts w:hint="eastAsia" w:ascii="宋体" w:hAnsi="宋体"/>
          <w:color w:val="000000" w:themeColor="text1"/>
          <w:spacing w:val="-4"/>
          <w:sz w:val="24"/>
          <w:highlight w:val="none"/>
          <w:lang w:val="en-US" w:eastAsia="zh-CN"/>
          <w14:textFill>
            <w14:solidFill>
              <w14:schemeClr w14:val="tx1"/>
            </w14:solidFill>
          </w14:textFill>
        </w:rPr>
        <w:t>4</w:t>
      </w:r>
      <w:r>
        <w:rPr>
          <w:rFonts w:hint="eastAsia" w:ascii="宋体" w:hAnsi="宋体"/>
          <w:color w:val="000000" w:themeColor="text1"/>
          <w:spacing w:val="-4"/>
          <w:sz w:val="24"/>
          <w:highlight w:val="none"/>
          <w14:textFill>
            <w14:solidFill>
              <w14:schemeClr w14:val="tx1"/>
            </w14:solidFill>
          </w14:textFill>
        </w:rPr>
        <w:t>万，再加1分，最多加</w:t>
      </w:r>
      <w:r>
        <w:rPr>
          <w:rFonts w:hint="eastAsia" w:ascii="宋体" w:hAnsi="宋体"/>
          <w:color w:val="000000" w:themeColor="text1"/>
          <w:spacing w:val="-4"/>
          <w:sz w:val="24"/>
          <w:highlight w:val="none"/>
          <w:lang w:val="en-US" w:eastAsia="zh-CN"/>
          <w14:textFill>
            <w14:solidFill>
              <w14:schemeClr w14:val="tx1"/>
            </w14:solidFill>
          </w14:textFill>
        </w:rPr>
        <w:t>6</w:t>
      </w:r>
      <w:r>
        <w:rPr>
          <w:rFonts w:hint="eastAsia" w:ascii="宋体" w:hAnsi="宋体"/>
          <w:color w:val="000000" w:themeColor="text1"/>
          <w:spacing w:val="-4"/>
          <w:sz w:val="24"/>
          <w:highlight w:val="none"/>
          <w14:textFill>
            <w14:solidFill>
              <w14:schemeClr w14:val="tx1"/>
            </w14:solidFill>
          </w14:textFill>
        </w:rPr>
        <w:t>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lang w:val="en-US" w:eastAsia="zh-CN"/>
          <w14:textFill>
            <w14:solidFill>
              <w14:schemeClr w14:val="tx1"/>
            </w14:solidFill>
          </w14:textFill>
        </w:rPr>
        <w:t>上浮中不足4万的部分不计分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14:textFill>
            <w14:solidFill>
              <w14:schemeClr w14:val="tx1"/>
            </w14:solidFill>
          </w14:textFill>
        </w:rPr>
        <w:t>。本项共15分。</w:t>
      </w:r>
    </w:p>
    <w:tbl>
      <w:tblPr>
        <w:tblStyle w:val="1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460"/>
        <w:gridCol w:w="1640"/>
        <w:gridCol w:w="900"/>
        <w:gridCol w:w="90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8"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序号</w:t>
            </w:r>
          </w:p>
        </w:tc>
        <w:tc>
          <w:tcPr>
            <w:tcW w:w="346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商务竞争名称</w:t>
            </w:r>
          </w:p>
        </w:tc>
        <w:tc>
          <w:tcPr>
            <w:tcW w:w="164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上浮费用</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基本分</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总得分</w:t>
            </w:r>
          </w:p>
        </w:tc>
        <w:tc>
          <w:tcPr>
            <w:tcW w:w="1945"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8"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p>
        </w:tc>
        <w:tc>
          <w:tcPr>
            <w:tcW w:w="346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投资装饰装修与设备费用</w:t>
            </w:r>
          </w:p>
        </w:tc>
        <w:tc>
          <w:tcPr>
            <w:tcW w:w="164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pPr>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9</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1945"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低于100万为</w:t>
            </w:r>
            <w:r>
              <w:rPr>
                <w:rFonts w:hint="eastAsia" w:ascii="宋体" w:hAnsi="宋体"/>
                <w:color w:val="000000" w:themeColor="text1"/>
                <w:sz w:val="24"/>
                <w:highlight w:val="none"/>
                <w14:textFill>
                  <w14:solidFill>
                    <w14:schemeClr w14:val="tx1"/>
                  </w14:solidFill>
                </w14:textFill>
              </w:rPr>
              <w:t>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8"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p>
        </w:tc>
        <w:tc>
          <w:tcPr>
            <w:tcW w:w="3460"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水资源管理费、污水处理费、垃圾清运及垃圾处理费等费用</w:t>
            </w:r>
          </w:p>
        </w:tc>
        <w:tc>
          <w:tcPr>
            <w:tcW w:w="164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pPr>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9</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1945"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低于</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0万为</w:t>
            </w:r>
            <w:r>
              <w:rPr>
                <w:rFonts w:hint="eastAsia" w:ascii="宋体" w:hAnsi="宋体"/>
                <w:color w:val="000000" w:themeColor="text1"/>
                <w:sz w:val="24"/>
                <w:highlight w:val="none"/>
                <w14:textFill>
                  <w14:solidFill>
                    <w14:schemeClr w14:val="tx1"/>
                  </w14:solidFill>
                </w14:textFill>
              </w:rPr>
              <w:t>废标</w:t>
            </w:r>
          </w:p>
        </w:tc>
      </w:tr>
    </w:tbl>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注：各项报价不设上限，在分数相同的情况下以报价高的供应商优先作为中标人候选人。</w:t>
      </w:r>
    </w:p>
    <w:p>
      <w:pPr>
        <w:spacing w:line="360" w:lineRule="auto"/>
        <w:ind w:firstLine="466" w:firstLineChars="200"/>
        <w:rPr>
          <w:rFonts w:ascii="宋体" w:hAnsi="宋体"/>
          <w:b/>
          <w:bCs/>
          <w:color w:val="000000" w:themeColor="text1"/>
          <w:spacing w:val="-4"/>
          <w:sz w:val="24"/>
          <w:highlight w:val="none"/>
          <w14:textFill>
            <w14:solidFill>
              <w14:schemeClr w14:val="tx1"/>
            </w14:solidFill>
          </w14:textFill>
        </w:rPr>
      </w:pPr>
      <w:r>
        <w:rPr>
          <w:rFonts w:hint="eastAsia" w:ascii="宋体" w:hAnsi="宋体"/>
          <w:b/>
          <w:bCs/>
          <w:color w:val="000000" w:themeColor="text1"/>
          <w:spacing w:val="-4"/>
          <w:sz w:val="24"/>
          <w:highlight w:val="none"/>
          <w14:textFill>
            <w14:solidFill>
              <w14:schemeClr w14:val="tx1"/>
            </w14:solidFill>
          </w14:textFill>
        </w:rPr>
        <w:t>七、确定中标候选人：</w:t>
      </w:r>
    </w:p>
    <w:p>
      <w:pPr>
        <w:spacing w:line="360" w:lineRule="auto"/>
        <w:ind w:firstLine="480"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评审委员会根据上述评分标准，由评委对投标</w:t>
      </w:r>
      <w:r>
        <w:rPr>
          <w:rFonts w:hint="eastAsia" w:ascii="宋体" w:hAnsi="宋体"/>
          <w:color w:val="000000" w:themeColor="text1"/>
          <w:spacing w:val="-4"/>
          <w:sz w:val="24"/>
          <w:highlight w:val="none"/>
          <w:lang w:val="en-US" w:eastAsia="zh-CN"/>
          <w14:textFill>
            <w14:solidFill>
              <w14:schemeClr w14:val="tx1"/>
            </w14:solidFill>
          </w14:textFill>
        </w:rPr>
        <w:t>文件</w:t>
      </w:r>
      <w:r>
        <w:rPr>
          <w:rFonts w:hint="eastAsia" w:ascii="宋体" w:hAnsi="宋体"/>
          <w:color w:val="000000" w:themeColor="text1"/>
          <w:spacing w:val="-4"/>
          <w:sz w:val="24"/>
          <w:highlight w:val="none"/>
          <w14:textFill>
            <w14:solidFill>
              <w14:schemeClr w14:val="tx1"/>
            </w14:solidFill>
          </w14:textFill>
        </w:rPr>
        <w:t>分别进行综合打分（评分分值计算保留小数点后两位，小数点后第三位“四舍五入”；），最终得分最高的为中标人，在分数相同的情况下以报价高的供应商优先作为中标人，分数相同，报价相同的情况下由投标代表抽签确定中标人。若中标人弃标的，招标人可以按照评标委员会提出的投标名单排序依次确定其他中标候选人为中标人，也可以依法重新招标。按照投标单位最终得分由高到低的顺序对投标单位进行排序，推荐出得分最高的第一名为中标人。公示时间为一个工作日。各潜在投标人学生食堂承包经营权只能限其中一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在中标结果公示期间，中标人被查实存在影响中标结果的违法违规行为等情形，不符合中标条件的，招标人可以按照评标委员会提出的投标名单排序依次确定其他中标候选人为中标人，也可以依法重新招标。</w:t>
      </w:r>
    </w:p>
    <w:p>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（3）招标人将在公示结束后的1个工作日内，向中标人发出中标通知书。</w:t>
      </w:r>
    </w:p>
    <w:p>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（4）中标人在收到中标通知书后，应按招标人的安排，与招标人签订合同。</w:t>
      </w:r>
    </w:p>
    <w:p>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八、有下列情形之一的，视为投标人串通投标，其投标无效：</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（一）不同投标人的投标文件由同一单位或者个人编制；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（二）不同投标人委托同一单位或者个人办理投标事宜；</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（三）不同投标人的投标文件载明的项目管理成员或者联系人员为同一人；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（四）不同投标人的投标文件异常一致或者投标报价呈规律性差异；</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（五）不同投标人的投标文件相互混装；</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（六）不同投标人的投标保证金从同一单位或者个人的账户转出。</w:t>
      </w:r>
    </w:p>
    <w:p>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九、其他注意事项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1.评标委员会不向未中标方解释未中标原因，不退还投标文件。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2.若出现少于三家投标方进行投标的或有效投标不足三家的，将重新招标。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3.投标方应承担所有与准备和参加投标有关的费用，不论投标的结果如何，招标方均无义务和责任承担相关费用。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4.不符合招标文件中规定的实质性要求，作废标处理。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5.投标人不遵守《中华人民共和国招标投标法》、《中华人民共和国招标投标法实施条例》、《政府采购货物和服务招投标管理办法》有关规定，或有串通投标、弄虚作假行为的，其投标一律无效。</w:t>
      </w:r>
    </w:p>
    <w:p>
      <w:pPr>
        <w:pStyle w:val="11"/>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6"/>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招标文件第二部分</w:t>
      </w:r>
      <w:bookmarkEnd w:id="118"/>
      <w:r>
        <w:rPr>
          <w:rFonts w:hint="eastAsia"/>
          <w:snapToGrid w:val="0"/>
          <w:color w:val="000000" w:themeColor="text1"/>
          <w:kern w:val="0"/>
          <w:highlight w:val="none"/>
          <w14:textFill>
            <w14:solidFill>
              <w14:schemeClr w14:val="tx1"/>
            </w14:solidFill>
          </w14:textFill>
        </w:rPr>
        <w:t>（通用部分）</w:t>
      </w:r>
      <w:bookmarkEnd w:id="119"/>
      <w:bookmarkEnd w:id="120"/>
      <w:bookmarkEnd w:id="121"/>
      <w:bookmarkEnd w:id="122"/>
    </w:p>
    <w:p>
      <w:pPr>
        <w:pStyle w:val="7"/>
        <w:rPr>
          <w:snapToGrid w:val="0"/>
          <w:color w:val="000000" w:themeColor="text1"/>
          <w:kern w:val="0"/>
          <w:highlight w:val="none"/>
          <w14:textFill>
            <w14:solidFill>
              <w14:schemeClr w14:val="tx1"/>
            </w14:solidFill>
          </w14:textFill>
        </w:rPr>
      </w:pPr>
      <w:bookmarkStart w:id="123" w:name="_Toc8136"/>
      <w:bookmarkStart w:id="124" w:name="_Toc482084463"/>
      <w:bookmarkStart w:id="125" w:name="_Toc26006"/>
      <w:bookmarkStart w:id="126" w:name="_Toc14506"/>
      <w:bookmarkStart w:id="127" w:name="_Toc25845"/>
      <w:r>
        <w:rPr>
          <w:rFonts w:hint="eastAsia"/>
          <w:snapToGrid w:val="0"/>
          <w:color w:val="000000" w:themeColor="text1"/>
          <w:kern w:val="0"/>
          <w:highlight w:val="none"/>
          <w14:textFill>
            <w14:solidFill>
              <w14:schemeClr w14:val="tx1"/>
            </w14:solidFill>
          </w14:textFill>
        </w:rPr>
        <w:t>第五章 投标人须知</w:t>
      </w:r>
      <w:bookmarkEnd w:id="123"/>
      <w:bookmarkEnd w:id="124"/>
      <w:bookmarkEnd w:id="125"/>
      <w:bookmarkEnd w:id="126"/>
      <w:bookmarkEnd w:id="127"/>
    </w:p>
    <w:p>
      <w:pPr>
        <w:pStyle w:val="8"/>
        <w:ind w:firstLine="482"/>
        <w:jc w:val="both"/>
        <w:rPr>
          <w:snapToGrid w:val="0"/>
          <w:color w:val="000000" w:themeColor="text1"/>
          <w:kern w:val="0"/>
          <w:szCs w:val="24"/>
          <w:highlight w:val="none"/>
          <w14:textFill>
            <w14:solidFill>
              <w14:schemeClr w14:val="tx1"/>
            </w14:solidFill>
          </w14:textFill>
        </w:rPr>
      </w:pPr>
      <w:bookmarkStart w:id="128" w:name="_Toc16309"/>
      <w:bookmarkStart w:id="129" w:name="_Toc32377"/>
      <w:bookmarkStart w:id="130" w:name="_Toc482084464"/>
      <w:bookmarkStart w:id="131" w:name="_Toc19643"/>
      <w:bookmarkStart w:id="132" w:name="_Toc13005"/>
      <w:r>
        <w:rPr>
          <w:rFonts w:hint="eastAsia"/>
          <w:snapToGrid w:val="0"/>
          <w:color w:val="000000" w:themeColor="text1"/>
          <w:kern w:val="0"/>
          <w:szCs w:val="24"/>
          <w:highlight w:val="none"/>
          <w14:textFill>
            <w14:solidFill>
              <w14:schemeClr w14:val="tx1"/>
            </w14:solidFill>
          </w14:textFill>
        </w:rPr>
        <w:t>一、总则</w:t>
      </w:r>
      <w:bookmarkEnd w:id="128"/>
      <w:bookmarkEnd w:id="129"/>
      <w:bookmarkEnd w:id="130"/>
      <w:bookmarkEnd w:id="131"/>
      <w:bookmarkEnd w:id="132"/>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1、适用范围</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1.1本标准文本是根据《中华人民共和国政府采购法》、《中华人民共和国政府采购法实施条例》等有关法律、法规制订。</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1.2凡在宿州市境内从事货物服务公开招标的政府采购项目，均须使用本标准文本。</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1.3本招标文件的最终解释权归采购单位所有。</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2、定义</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2.1货物服务：既是指本范本适用于货物采购或服务采购，也是指货物采购所伴随的服务或服务采购中伴随的货物采购。</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2.2采购单位：是指具体负责和从事采购业务的集中采购机构、社会中介代理机构和采购人的总称。</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3、投标人要求</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3.1投标人资格要求详见招标公告。</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3.3、应按投标招标公告中的要求报名并参加投标。</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3.4、中小微企业参与政府采购活动的，应当提供《中小企业声明函》原件上传在电子文件中。</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根据《安徽省财政厅关于进一步优化政府采购营商环境的通知》（皖财购〔2022〕556 号）通知，对小型和微型企业的最后报价给予/%的价格扣除，用扣除后的价格参与评审。（货物、服务项目：10％-20％）（工程项目：3%-5%）</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3.5、监狱企业参加政府采购活动的，</w:t>
      </w:r>
      <w:r>
        <w:rPr>
          <w:rFonts w:hint="eastAsia" w:ascii="宋体" w:hAnsi="宋体" w:cs="宋体"/>
          <w:snapToGrid w:val="0"/>
          <w:color w:val="000000" w:themeColor="text1"/>
          <w:kern w:val="0"/>
          <w:sz w:val="24"/>
          <w:szCs w:val="24"/>
          <w:highlight w:val="none"/>
          <w:lang w:val="zh-CN"/>
          <w14:textFill>
            <w14:solidFill>
              <w14:schemeClr w14:val="tx1"/>
            </w14:solidFill>
          </w14:textFill>
        </w:rPr>
        <w:t>应提供由省级以上监狱管理局、戒毒管理局（含新疆生产建设兵团）出具属于监狱企业的证明文件复印件。</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lang w:val="zh-CN"/>
          <w14:textFill>
            <w14:solidFill>
              <w14:schemeClr w14:val="tx1"/>
            </w14:solidFill>
          </w14:textFill>
        </w:rPr>
        <w:t>根据《关于政府采购支持监狱企业发展有关问题的通知》（财库[2014]68号）的规定，对监狱企业的最后报价给予</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hint="eastAsia" w:ascii="宋体" w:hAnsi="宋体" w:cs="宋体"/>
          <w:snapToGrid w:val="0"/>
          <w:color w:val="000000" w:themeColor="text1"/>
          <w:kern w:val="0"/>
          <w:sz w:val="24"/>
          <w:szCs w:val="24"/>
          <w:highlight w:val="none"/>
          <w:lang w:val="zh-CN"/>
          <w14:textFill>
            <w14:solidFill>
              <w14:schemeClr w14:val="tx1"/>
            </w14:solidFill>
          </w14:textFill>
        </w:rPr>
        <w:t>的价格扣除，用扣除后的价格参与评审。</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监狱企业</w:t>
      </w:r>
      <w:r>
        <w:rPr>
          <w:rFonts w:hint="eastAsia" w:ascii="宋体" w:hAnsi="宋体" w:cs="宋体"/>
          <w:snapToGrid w:val="0"/>
          <w:color w:val="000000" w:themeColor="text1"/>
          <w:kern w:val="0"/>
          <w:sz w:val="24"/>
          <w:szCs w:val="24"/>
          <w:highlight w:val="none"/>
          <w:lang w:val="zh-CN"/>
          <w14:textFill>
            <w14:solidFill>
              <w14:schemeClr w14:val="tx1"/>
            </w14:solidFill>
          </w14:textFill>
        </w:rPr>
        <w:t>属于小型、微型企业的，不重复享受政策。</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3.6、</w:t>
      </w:r>
      <w:r>
        <w:rPr>
          <w:rFonts w:hint="eastAsia" w:ascii="宋体" w:hAnsi="宋体" w:cs="宋体"/>
          <w:snapToGrid w:val="0"/>
          <w:color w:val="000000" w:themeColor="text1"/>
          <w:kern w:val="0"/>
          <w:sz w:val="24"/>
          <w:szCs w:val="24"/>
          <w:highlight w:val="none"/>
          <w:lang w:val="zh-CN"/>
          <w14:textFill>
            <w14:solidFill>
              <w14:schemeClr w14:val="tx1"/>
            </w14:solidFill>
          </w14:textFill>
        </w:rPr>
        <w:t>残疾人福利性单位参加政府采购活动的应当提供《残疾人福利性单位声明函》原件</w:t>
      </w:r>
      <w:r>
        <w:rPr>
          <w:rFonts w:hint="eastAsia" w:ascii="宋体" w:hAnsi="宋体" w:cs="宋体"/>
          <w:snapToGrid w:val="0"/>
          <w:color w:val="000000" w:themeColor="text1"/>
          <w:kern w:val="0"/>
          <w:sz w:val="24"/>
          <w:szCs w:val="24"/>
          <w:highlight w:val="none"/>
          <w14:textFill>
            <w14:solidFill>
              <w14:schemeClr w14:val="tx1"/>
            </w14:solidFill>
          </w14:textFill>
        </w:rPr>
        <w:t>放于投标文件中。</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lang w:val="zh-CN"/>
          <w14:textFill>
            <w14:solidFill>
              <w14:schemeClr w14:val="tx1"/>
            </w14:solidFill>
          </w14:textFill>
        </w:rPr>
        <w:t>根据《三部门联合发布关于促进残疾人就业政府采购政策的通知》（财库[2017]141号）的规定，残疾人福利性单位视同小型和微型企业，对残疾人福利性单位的最后价格给予</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hint="eastAsia" w:ascii="宋体" w:hAnsi="宋体" w:cs="宋体"/>
          <w:snapToGrid w:val="0"/>
          <w:color w:val="000000" w:themeColor="text1"/>
          <w:kern w:val="0"/>
          <w:sz w:val="24"/>
          <w:szCs w:val="24"/>
          <w:highlight w:val="none"/>
          <w:lang w:val="zh-CN"/>
          <w14:textFill>
            <w14:solidFill>
              <w14:schemeClr w14:val="tx1"/>
            </w14:solidFill>
          </w14:textFill>
        </w:rPr>
        <w:t>的价格扣除，用扣除后的价格参与评审。</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lang w:val="zh-CN"/>
          <w14:textFill>
            <w14:solidFill>
              <w14:schemeClr w14:val="tx1"/>
            </w14:solidFill>
          </w14:textFill>
        </w:rPr>
        <w:t>残疾人福利性单位属于小型、微型企业的，不重复享受政策。</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4、投标费用</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投标人必须自行承担所有与参加本项目投标有关的费用。不论投标的结果如何，采购人在任何情况下均无义务和责任承担这些费用。</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5、保密</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参与政府采购活动的各方主体应对招标文件和投标文件中的商业和技术等秘密保密，违者应对由此造成的后果承担法律责任。</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6、语言文字</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招标投标文件使用的语言文字、以及投标人与采购单位就投标相关事项的所有往来函电均须使用简体中文（部分专用术语需使用外文的除外）。</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7、计量单位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所有计量均采用中华人民共和国法定计量单位。</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8、勘察现场</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采购单位根据项目的具体情况，可以组织潜在投标人现场考察或者召开开标前答疑会，但不得单独或者分别组织只有一个投标人参加的现场考察。</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9、偏离</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招标文件允许投标文件偏离某些要求的，偏离应当符合招标文件规定的偏离范围和幅度。</w:t>
      </w:r>
    </w:p>
    <w:p>
      <w:pPr>
        <w:pStyle w:val="8"/>
        <w:ind w:firstLine="482"/>
        <w:rPr>
          <w:snapToGrid w:val="0"/>
          <w:color w:val="000000" w:themeColor="text1"/>
          <w:kern w:val="0"/>
          <w:highlight w:val="none"/>
          <w14:textFill>
            <w14:solidFill>
              <w14:schemeClr w14:val="tx1"/>
            </w14:solidFill>
          </w14:textFill>
        </w:rPr>
      </w:pPr>
      <w:bookmarkStart w:id="133" w:name="_Toc27885"/>
      <w:bookmarkStart w:id="134" w:name="_Toc482084465"/>
      <w:bookmarkStart w:id="135" w:name="_Toc32590"/>
      <w:bookmarkStart w:id="136" w:name="_Toc27737"/>
      <w:bookmarkStart w:id="137" w:name="_Toc20833"/>
      <w:r>
        <w:rPr>
          <w:rFonts w:hint="eastAsia"/>
          <w:snapToGrid w:val="0"/>
          <w:color w:val="000000" w:themeColor="text1"/>
          <w:kern w:val="0"/>
          <w:highlight w:val="none"/>
          <w14:textFill>
            <w14:solidFill>
              <w14:schemeClr w14:val="tx1"/>
            </w14:solidFill>
          </w14:textFill>
        </w:rPr>
        <w:t>二、招标文件</w:t>
      </w:r>
      <w:bookmarkEnd w:id="133"/>
      <w:bookmarkEnd w:id="134"/>
      <w:bookmarkEnd w:id="135"/>
      <w:bookmarkEnd w:id="136"/>
      <w:bookmarkEnd w:id="137"/>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10、招标文件构成</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10.1招标文件包括以下部分：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10.1.1第一章招标公告；</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10.1.2第二章投标人须知前附表；</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10.1.3第三章货物需求一览表；</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10.1.4第四章评标办法；</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10.1.5第五章投标人须知；</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10.1.6第六章采购合同；</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10.1.7第七章投标文件格式；</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10.1.8发布的附件、答疑、补遗、补充通知等。</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10.2投标人应认真阅读和充分理解招标文件中所有的内容。如果投标人没有满足招标文件的有关要求，其风险由投标人自行承担。</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 xml:space="preserve">11、招标文件的澄清和修改 </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bookmarkStart w:id="138" w:name="_Toc365620545"/>
      <w:r>
        <w:rPr>
          <w:rFonts w:hint="eastAsia" w:ascii="宋体" w:hAnsi="宋体" w:cs="宋体"/>
          <w:snapToGrid w:val="0"/>
          <w:color w:val="000000" w:themeColor="text1"/>
          <w:kern w:val="0"/>
          <w:sz w:val="24"/>
          <w:szCs w:val="24"/>
          <w:highlight w:val="none"/>
          <w14:textFill>
            <w14:solidFill>
              <w14:schemeClr w14:val="tx1"/>
            </w14:solidFill>
          </w14:textFill>
        </w:rPr>
        <w:t>11.1投标人应仔细阅读和检查招标文件的全部内容。如发现缺页或附件不全、含义表达不清、有明显文字、计算错误等情形，应及时向采购人或代理机构提出询问。采购人或者代理机构应当在3个工作日内对供应商依法提出的询问做出答复，答复内容将在本项目交易平台所在地交易中心门户网答疑澄清栏中公布。</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11.2采购人或代理机构可以对已发出的招标文件进行必要的澄清或者修改，招标文件的澄清或修改将在本项目交易平台所在地交易中心门户网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11.3当招标文件的澄清、修改、补充等在同一内容的表述上不一致时，以最后发出的为准。</w:t>
      </w:r>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12、招标文件的</w:t>
      </w:r>
      <w:bookmarkEnd w:id="138"/>
      <w:r>
        <w:rPr>
          <w:rFonts w:hint="eastAsia" w:ascii="宋体" w:hAnsi="宋体" w:cs="宋体"/>
          <w:b/>
          <w:bCs/>
          <w:snapToGrid w:val="0"/>
          <w:color w:val="000000" w:themeColor="text1"/>
          <w:kern w:val="0"/>
          <w:sz w:val="24"/>
          <w:szCs w:val="24"/>
          <w:highlight w:val="none"/>
          <w14:textFill>
            <w14:solidFill>
              <w14:schemeClr w14:val="tx1"/>
            </w14:solidFill>
          </w14:textFill>
        </w:rPr>
        <w:t>质疑和答复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12.2供应商对招标文件有质疑的，应在法定质疑期内一次性提出，采购人或代理机构不再接受同一供应商针对同一招标文件提出的再次质疑（对同一质疑的补充除外）。</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12.3采购人或代理机构应当在收到质疑后7个工作日内做出答复。答复内容将在本项目交易平台所在地交易中心门户网站答疑澄清栏中公布，所有获取招标文件的潜在供应商均有义务自行查看该答复内容。</w:t>
      </w:r>
    </w:p>
    <w:p>
      <w:pPr>
        <w:pStyle w:val="8"/>
        <w:ind w:firstLine="482"/>
        <w:jc w:val="both"/>
        <w:rPr>
          <w:snapToGrid w:val="0"/>
          <w:color w:val="000000" w:themeColor="text1"/>
          <w:kern w:val="0"/>
          <w:szCs w:val="24"/>
          <w:highlight w:val="none"/>
          <w14:textFill>
            <w14:solidFill>
              <w14:schemeClr w14:val="tx1"/>
            </w14:solidFill>
          </w14:textFill>
        </w:rPr>
      </w:pPr>
      <w:bookmarkStart w:id="139" w:name="_Toc6901"/>
      <w:bookmarkStart w:id="140" w:name="_Toc482084466"/>
      <w:bookmarkStart w:id="141" w:name="_Toc349"/>
      <w:bookmarkStart w:id="142" w:name="_Toc14028"/>
      <w:bookmarkStart w:id="143" w:name="_Toc6559"/>
      <w:r>
        <w:rPr>
          <w:rFonts w:hint="eastAsia"/>
          <w:snapToGrid w:val="0"/>
          <w:color w:val="000000" w:themeColor="text1"/>
          <w:kern w:val="0"/>
          <w:szCs w:val="24"/>
          <w:highlight w:val="none"/>
          <w14:textFill>
            <w14:solidFill>
              <w14:schemeClr w14:val="tx1"/>
            </w14:solidFill>
          </w14:textFill>
        </w:rPr>
        <w:t>三、投标文件</w:t>
      </w:r>
      <w:bookmarkEnd w:id="139"/>
      <w:bookmarkEnd w:id="140"/>
      <w:bookmarkEnd w:id="141"/>
      <w:bookmarkEnd w:id="142"/>
      <w:bookmarkEnd w:id="143"/>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13、投标文件的组成</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13.1投标文件由开标一览表、投标书和资格证明文件三部分组成。</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13.1.1开标一览表</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13.1.2投标书包括下列内容：投标函格式、开标一览表、分项报价表、技术规格（项目要求）响应情况表、商务要求响应情况表、货物服务实施方案等。</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13.1.3证明投标人合格的资格文件</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应包括招标文件要求的证明其有资格参加投标，以及中标后有能力履行合同所必需的生产、技术、服务和财务管理等方面能力的证明文件。</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13.2所有货物（包括零部件）须为全新的、未使用过的原装正品。</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 xml:space="preserve">13.3投标人必须对其投标文件的真实性与准确性负责。投标人一旦中标，其投标文件将作为合同的重要组成部分。 </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13.4 投标人应在投标文件中体现本文件要求的内容。</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14、投标报价</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14.1本项目只允许有一个方案、一个报价。多方案、多报价的投标书将不被接受。（招标文件另有要求的除外）</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14.2货物类项目适用：价格标开标一览表中的投标总报价应包括投标产品以及投标产品产生的采购、运输、人工、安装、售后、验收、税费，公证费、代理费等所有费用，即为履行合同的最终价格。</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服务类项目适用：价格标开标一览表中的投标总报价应包括完成本项目的服务费用、税费、公证费、代理费等所有费用，即为履行合同的最终价格。</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服务类项目适用：价格标的服务分项报价表上应清楚地标明投标人拟提供的服务费用等内容，其合计价格应与开标一览表中的投标总报价保持一致。</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14.4投标货币为人民币。</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15、投标保证金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15.1投标人在提交投标文件的同时，应按投标人须知前附表规定的金额和形式提交投标保证金。联合体投标的，其投标保证金由牵头人提交，并应符合投标人须知前附表的规定。</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15.2投标人不按投标人须知前附表要求提交投标保证金的，评标委员会将否决其投标。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15.3投标保证金的退还：</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15.3.1中标人的投标保证金，在采购合同签订之日起五个工作日内退还。</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15.3.2未中标人的投标保证金，自中标通知书发出之日起5个工作日内退还。</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15.3.3政府采购项目有质疑、投诉的，中标候选人、提出质疑的投标人及投诉人的投标保证金在质疑、投诉处理后，按相关规定办理。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15.4中标人有下列情形之一的，采购人不予退还其缴纳的投标保证金；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15.4.1投标人在规定的投标有效期内撤销其投标文件或放弃中标人候选资格的；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15.4.2中标人在收到中标通知书后，无正当理由拒签合同协议书或未按招标文件规定提交履约担保；</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15.4.3存在提供虚假材料参加投标或串通投标等违法、违规行为被查实的。</w:t>
      </w:r>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16、投标有效期</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16.1投标有效期在“投标人须知前附表”中有明确的规定。投标人如未就此提出异议，则视同接受；如承诺的投标有效期短于此规定时间的，将被视为非响应性投标而予以拒绝。</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16.3在投标有效期内，供应商撤销或修改其询价响应文件的，应承担责任。</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17、投标文件的签署</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除特别说明外，本文件要求投标人盖章或者法定代表人签字处，均需加盖投标人签章或者法定代表人签章。被授权人签字的，还需附法定代表人授权委托书。</w:t>
      </w:r>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18、分包</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主体、非关键性工作分包的，应当在投标文件中载明分包承担投标主人根据招标文件的规定和采购项目的实际情况，拟在中标后将中标项目的非体，分包承担主体应当具备相应资质条件且不得再次分包。</w:t>
      </w:r>
    </w:p>
    <w:p>
      <w:pPr>
        <w:pStyle w:val="8"/>
        <w:ind w:firstLine="482"/>
        <w:jc w:val="both"/>
        <w:rPr>
          <w:snapToGrid w:val="0"/>
          <w:color w:val="000000" w:themeColor="text1"/>
          <w:kern w:val="0"/>
          <w:szCs w:val="24"/>
          <w:highlight w:val="none"/>
          <w14:textFill>
            <w14:solidFill>
              <w14:schemeClr w14:val="tx1"/>
            </w14:solidFill>
          </w14:textFill>
        </w:rPr>
      </w:pPr>
      <w:bookmarkStart w:id="144" w:name="_Toc482084467"/>
      <w:bookmarkStart w:id="145" w:name="_Toc1623"/>
      <w:bookmarkStart w:id="146" w:name="_Toc31385"/>
      <w:bookmarkStart w:id="147" w:name="_Toc28735"/>
      <w:r>
        <w:rPr>
          <w:rFonts w:hint="eastAsia"/>
          <w:snapToGrid w:val="0"/>
          <w:color w:val="000000" w:themeColor="text1"/>
          <w:kern w:val="0"/>
          <w:szCs w:val="24"/>
          <w:highlight w:val="none"/>
          <w14:textFill>
            <w14:solidFill>
              <w14:schemeClr w14:val="tx1"/>
            </w14:solidFill>
          </w14:textFill>
        </w:rPr>
        <w:t>四、</w:t>
      </w:r>
      <w:bookmarkEnd w:id="144"/>
      <w:r>
        <w:rPr>
          <w:rFonts w:hint="eastAsia"/>
          <w:snapToGrid w:val="0"/>
          <w:color w:val="000000" w:themeColor="text1"/>
          <w:kern w:val="0"/>
          <w:szCs w:val="24"/>
          <w:highlight w:val="none"/>
          <w14:textFill>
            <w14:solidFill>
              <w14:schemeClr w14:val="tx1"/>
            </w14:solidFill>
          </w14:textFill>
        </w:rPr>
        <w:t>投标</w:t>
      </w:r>
      <w:bookmarkEnd w:id="145"/>
      <w:bookmarkEnd w:id="146"/>
      <w:bookmarkEnd w:id="147"/>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19、投标文件的提交</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19.1网上提交部分：</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pdf格式的加密电子投标文件；</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19.2电子版投标书的制作和提交</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为做好疫情防控工作，本项目通过QQ会议直播的方式进行开标。投标人提交的投标文件应当全部使用招标文件所要求的投标文件格式，生成文件扩展名为.pdf的加密投标文件，需发送至代理机构邮箱。邮件发送“主题”填写“公司全称+法定代表人或其委托代理人姓名+联系电话”（与投标文件中法定代表人或其委托代理人一致）。</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19.3注意事项：</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19.3.1电子投标文件的提交是指投标人使用</w:t>
      </w:r>
      <w:r>
        <w:rPr>
          <w:rFonts w:hint="eastAsia" w:ascii="宋体" w:hAnsi="宋体" w:cs="宋体"/>
          <w:snapToGrid w:val="0"/>
          <w:color w:val="000000" w:themeColor="text1"/>
          <w:kern w:val="0"/>
          <w:sz w:val="24"/>
          <w:szCs w:val="24"/>
          <w:highlight w:val="none"/>
          <w14:textFill>
            <w14:solidFill>
              <w14:schemeClr w14:val="tx1"/>
            </w14:solidFill>
          </w14:textFill>
        </w:rPr>
        <w:t>邮箱</w:t>
      </w:r>
      <w:r>
        <w:rPr>
          <w:rFonts w:ascii="宋体" w:hAnsi="宋体" w:cs="宋体"/>
          <w:snapToGrid w:val="0"/>
          <w:color w:val="000000" w:themeColor="text1"/>
          <w:kern w:val="0"/>
          <w:sz w:val="24"/>
          <w:szCs w:val="24"/>
          <w:highlight w:val="none"/>
          <w14:textFill>
            <w14:solidFill>
              <w14:schemeClr w14:val="tx1"/>
            </w14:solidFill>
          </w14:textFill>
        </w:rPr>
        <w:t>完成</w:t>
      </w:r>
      <w:r>
        <w:rPr>
          <w:rFonts w:hint="eastAsia" w:ascii="宋体" w:hAnsi="宋体" w:cs="宋体"/>
          <w:snapToGrid w:val="0"/>
          <w:color w:val="000000" w:themeColor="text1"/>
          <w:kern w:val="0"/>
          <w:sz w:val="24"/>
          <w:szCs w:val="24"/>
          <w:highlight w:val="none"/>
          <w14:textFill>
            <w14:solidFill>
              <w14:schemeClr w14:val="tx1"/>
            </w14:solidFill>
          </w14:textFill>
        </w:rPr>
        <w:t>递交的</w:t>
      </w:r>
      <w:r>
        <w:rPr>
          <w:rFonts w:ascii="宋体" w:hAnsi="宋体" w:cs="宋体"/>
          <w:snapToGrid w:val="0"/>
          <w:color w:val="000000" w:themeColor="text1"/>
          <w:kern w:val="0"/>
          <w:sz w:val="24"/>
          <w:szCs w:val="24"/>
          <w:highlight w:val="none"/>
          <w14:textFill>
            <w14:solidFill>
              <w14:schemeClr w14:val="tx1"/>
            </w14:solidFill>
          </w14:textFill>
        </w:rPr>
        <w:t>投标文件（</w:t>
      </w:r>
      <w:r>
        <w:rPr>
          <w:rFonts w:hint="eastAsia" w:ascii="宋体" w:hAnsi="宋体" w:cs="宋体"/>
          <w:snapToGrid w:val="0"/>
          <w:color w:val="000000" w:themeColor="text1"/>
          <w:kern w:val="0"/>
          <w:sz w:val="24"/>
          <w:szCs w:val="24"/>
          <w:highlight w:val="none"/>
          <w:u w:val="single"/>
          <w14:textFill>
            <w14:solidFill>
              <w14:schemeClr w14:val="tx1"/>
            </w14:solidFill>
          </w14:textFill>
        </w:rPr>
        <w:t>pdf</w:t>
      </w:r>
      <w:r>
        <w:rPr>
          <w:rFonts w:ascii="宋体" w:hAnsi="宋体" w:cs="宋体"/>
          <w:snapToGrid w:val="0"/>
          <w:color w:val="000000" w:themeColor="text1"/>
          <w:kern w:val="0"/>
          <w:sz w:val="24"/>
          <w:szCs w:val="24"/>
          <w:highlight w:val="none"/>
          <w14:textFill>
            <w14:solidFill>
              <w14:schemeClr w14:val="tx1"/>
            </w14:solidFill>
          </w14:textFill>
        </w:rPr>
        <w:t>格式），未在投标截止时间前完成上传的投标文件视为逾期送达</w:t>
      </w:r>
      <w:r>
        <w:rPr>
          <w:rFonts w:hint="eastAsia" w:ascii="宋体" w:hAnsi="宋体" w:cs="宋体"/>
          <w:snapToGrid w:val="0"/>
          <w:color w:val="000000" w:themeColor="text1"/>
          <w:kern w:val="0"/>
          <w:sz w:val="24"/>
          <w:szCs w:val="24"/>
          <w:highlight w:val="none"/>
          <w14:textFill>
            <w14:solidFill>
              <w14:schemeClr w14:val="tx1"/>
            </w14:solidFill>
          </w14:textFill>
        </w:rPr>
        <w:t>。</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19.3.2投标文件以投标截止时间前完成上传至系统的最后一份为准。</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19.3.3投标截止时间以</w:t>
      </w:r>
      <w:r>
        <w:rPr>
          <w:rFonts w:hint="eastAsia" w:ascii="宋体" w:hAnsi="宋体" w:cs="宋体"/>
          <w:snapToGrid w:val="0"/>
          <w:color w:val="000000" w:themeColor="text1"/>
          <w:kern w:val="0"/>
          <w:sz w:val="24"/>
          <w:szCs w:val="24"/>
          <w:highlight w:val="none"/>
          <w14:textFill>
            <w14:solidFill>
              <w14:schemeClr w14:val="tx1"/>
            </w14:solidFill>
          </w14:textFill>
        </w:rPr>
        <w:t>代理机构邮箱</w:t>
      </w:r>
      <w:r>
        <w:rPr>
          <w:rFonts w:ascii="宋体" w:hAnsi="宋体" w:cs="宋体"/>
          <w:snapToGrid w:val="0"/>
          <w:color w:val="000000" w:themeColor="text1"/>
          <w:kern w:val="0"/>
          <w:sz w:val="24"/>
          <w:szCs w:val="24"/>
          <w:highlight w:val="none"/>
          <w14:textFill>
            <w14:solidFill>
              <w14:schemeClr w14:val="tx1"/>
            </w14:solidFill>
          </w14:textFill>
        </w:rPr>
        <w:t>显示的时间为准。</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20、以下情况拒收投标文件</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20.1逾期送达的或者未送达指定地点的；</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20.2未在规定时间内缴纳投标保证金；</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20.3未满足其他补充要求的。</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21、联合体投标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由两家或两家以上投标人组成的联合体参与投标时，应满足以下要求：</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21.1联合体成员除必须满足投标人资格的要求外，如本项目还有其他特定条件的，联合体各方中至少有一方符合特定的条件。</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21.2联合体应签订联合参与投标的协议，明确各方承担的职责和相应的责任，并授权其中的一个成员作为代表，具体进行投标、签订合同等事务。此协议或授权书应作为投标文件的一部分。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21.3联合体被授权投标人应能全权处理投标过程中的有关问题。一旦成为中标供应商，该被授权投标人应负责签订合同并负责合同的全面实施，包括合同款项的收付。</w:t>
      </w:r>
    </w:p>
    <w:p>
      <w:pPr>
        <w:wordWrap w:val="0"/>
        <w:spacing w:line="360" w:lineRule="auto"/>
        <w:ind w:firstLine="480"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21.4联合体各方不得再以自己的名义单独参与同一项目投标，也不得再组成新的联合体参与同一项目中的投标。</w:t>
      </w:r>
    </w:p>
    <w:p>
      <w:pPr>
        <w:pStyle w:val="8"/>
        <w:ind w:firstLine="482"/>
        <w:jc w:val="both"/>
        <w:rPr>
          <w:snapToGrid w:val="0"/>
          <w:color w:val="000000" w:themeColor="text1"/>
          <w:kern w:val="0"/>
          <w:szCs w:val="24"/>
          <w:highlight w:val="none"/>
          <w14:textFill>
            <w14:solidFill>
              <w14:schemeClr w14:val="tx1"/>
            </w14:solidFill>
          </w14:textFill>
        </w:rPr>
      </w:pPr>
      <w:bookmarkStart w:id="148" w:name="_Toc26207"/>
      <w:bookmarkStart w:id="149" w:name="_Toc19321"/>
      <w:bookmarkStart w:id="150" w:name="_Toc16208"/>
      <w:bookmarkStart w:id="151" w:name="_Toc13752"/>
      <w:bookmarkStart w:id="152" w:name="_Toc482084468"/>
      <w:bookmarkStart w:id="153" w:name="_Toc462234302"/>
      <w:r>
        <w:rPr>
          <w:rFonts w:hint="eastAsia"/>
          <w:snapToGrid w:val="0"/>
          <w:color w:val="000000" w:themeColor="text1"/>
          <w:kern w:val="0"/>
          <w:szCs w:val="24"/>
          <w:highlight w:val="none"/>
          <w14:textFill>
            <w14:solidFill>
              <w14:schemeClr w14:val="tx1"/>
            </w14:solidFill>
          </w14:textFill>
        </w:rPr>
        <w:t>五、开标</w:t>
      </w:r>
      <w:bookmarkEnd w:id="148"/>
      <w:bookmarkEnd w:id="149"/>
      <w:bookmarkEnd w:id="150"/>
      <w:bookmarkEnd w:id="151"/>
      <w:bookmarkEnd w:id="152"/>
      <w:bookmarkEnd w:id="153"/>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22、开标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22.1采购人将在“投标人须知前附表”规定的时间和地点组织公开开标，投标人的法定代表人或其委托的代理人参加开标会的应携带有效证件；如为代理人参加的，还需提供有效的法定代表人的授权委托书（若制作在电子标书中的，待打开电子标书后查验）。否则将否决其投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bookmarkStart w:id="154" w:name="_Toc369528867"/>
      <w:r>
        <w:rPr>
          <w:rFonts w:hint="eastAsia" w:ascii="宋体" w:hAnsi="宋体" w:cs="宋体"/>
          <w:snapToGrid w:val="0"/>
          <w:color w:val="000000" w:themeColor="text1"/>
          <w:kern w:val="0"/>
          <w:sz w:val="24"/>
          <w:szCs w:val="24"/>
          <w:highlight w:val="none"/>
          <w14:textFill>
            <w14:solidFill>
              <w14:schemeClr w14:val="tx1"/>
            </w14:solidFill>
          </w14:textFill>
        </w:rPr>
        <w:t>22.2 开评标程序</w:t>
      </w:r>
      <w:bookmarkEnd w:id="154"/>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主持人按下列程序进行开标：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1、宣布开标开始</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2、开评标过程中投标人注意事项。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3、宣布开标人、监标人、招标人代表等有关人员姓名。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4、公布投标人。</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5、唱标。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6、进行资格审查</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7、进入评标环节（符合性评审、技术标、商务标）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8、宣布评标结果</w:t>
      </w:r>
    </w:p>
    <w:p>
      <w:pPr>
        <w:pStyle w:val="8"/>
        <w:ind w:firstLine="482"/>
        <w:jc w:val="both"/>
        <w:rPr>
          <w:snapToGrid w:val="0"/>
          <w:color w:val="000000" w:themeColor="text1"/>
          <w:kern w:val="0"/>
          <w:szCs w:val="24"/>
          <w:highlight w:val="none"/>
          <w14:textFill>
            <w14:solidFill>
              <w14:schemeClr w14:val="tx1"/>
            </w14:solidFill>
          </w14:textFill>
        </w:rPr>
      </w:pPr>
      <w:bookmarkStart w:id="155" w:name="_Toc482084469"/>
      <w:bookmarkStart w:id="156" w:name="_Toc24539"/>
      <w:bookmarkStart w:id="157" w:name="_Toc462234303"/>
      <w:bookmarkStart w:id="158" w:name="_Toc20051"/>
      <w:bookmarkStart w:id="159" w:name="_Toc28431"/>
      <w:bookmarkStart w:id="160" w:name="_Toc24802"/>
      <w:r>
        <w:rPr>
          <w:rFonts w:hint="eastAsia"/>
          <w:snapToGrid w:val="0"/>
          <w:color w:val="000000" w:themeColor="text1"/>
          <w:kern w:val="0"/>
          <w:szCs w:val="24"/>
          <w:highlight w:val="none"/>
          <w14:textFill>
            <w14:solidFill>
              <w14:schemeClr w14:val="tx1"/>
            </w14:solidFill>
          </w14:textFill>
        </w:rPr>
        <w:t>六、评标</w:t>
      </w:r>
      <w:bookmarkEnd w:id="155"/>
      <w:bookmarkEnd w:id="156"/>
      <w:bookmarkEnd w:id="157"/>
      <w:bookmarkEnd w:id="158"/>
      <w:bookmarkEnd w:id="159"/>
      <w:bookmarkEnd w:id="160"/>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23、评标委员会</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23.1评标由采购人依法组建的评标委员会负责。评标委员会由技术、经济等方面的专家组成，成员人数为五人以上单数。</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评标委员会成员有下列情形之一的，应当回避：</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（1）参加采购活动前三年内，与供应商存在劳动关系，或者担任过供应商的董事、监事，或者是供应商的控股股东或实际控制人；</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（2）与供应商的法定代表人或者负责人有夫妻、直系血亲、三代以内旁系血亲或者近姻亲关系；</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（3）与供应商有其他可能影响政府采购活动公平、公正进行的关系；</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另外，评审专家发现本人与参加采购活动的供应商有利害关系的，应当主动提出回避。采购人或者采购代理机构发现评审专家与参加采购活动的供应商有利害关系的，应当要求其回避。</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24、开标评标异常情况处理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24.1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（一）招标文件存在不合理条款或者招标程序不符合规定的，采购人、采购代理机构改正后依法重新招标；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（二）招标文件没有不合理条款、招标程序符合规定，需要采用其他采购方式采购的，采购人应当依法报财政部门批准。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24.2开标、评标时出现以下情况之一的，将废标：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（1）投标人的报价均超过了采购预算，采购人不能支付的；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（2）出现影响采购公正的违法、违规行为的。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（3）因重大变故，采购任务取消的。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25.3废标后，采购人将通过指定的网站进行公告。</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25、评标过程的保密性</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25.1从开标至签订合同止，凡是与标书审查、澄清、评价、比较以及定标等有关的评审情况，均不得向投标人或其他无关的人员透露。</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25.2在评标过程中，投标人及其他人员不得向评标委员会成员施加任何影响。保证评标在严格保密的情况下进行。</w:t>
      </w:r>
    </w:p>
    <w:p>
      <w:pPr>
        <w:pStyle w:val="8"/>
        <w:ind w:firstLine="482"/>
        <w:jc w:val="both"/>
        <w:rPr>
          <w:snapToGrid w:val="0"/>
          <w:color w:val="000000" w:themeColor="text1"/>
          <w:kern w:val="0"/>
          <w:szCs w:val="24"/>
          <w:highlight w:val="none"/>
          <w14:textFill>
            <w14:solidFill>
              <w14:schemeClr w14:val="tx1"/>
            </w14:solidFill>
          </w14:textFill>
        </w:rPr>
      </w:pPr>
      <w:bookmarkStart w:id="161" w:name="_Toc7632"/>
      <w:bookmarkStart w:id="162" w:name="_Toc462234304"/>
      <w:bookmarkStart w:id="163" w:name="_Toc9129"/>
      <w:bookmarkStart w:id="164" w:name="_Toc482084470"/>
      <w:bookmarkStart w:id="165" w:name="_Toc8538"/>
      <w:bookmarkStart w:id="166" w:name="_Toc9664"/>
      <w:r>
        <w:rPr>
          <w:rFonts w:hint="eastAsia"/>
          <w:snapToGrid w:val="0"/>
          <w:color w:val="000000" w:themeColor="text1"/>
          <w:kern w:val="0"/>
          <w:szCs w:val="24"/>
          <w:highlight w:val="none"/>
          <w14:textFill>
            <w14:solidFill>
              <w14:schemeClr w14:val="tx1"/>
            </w14:solidFill>
          </w14:textFill>
        </w:rPr>
        <w:t>七、定标和授予合同</w:t>
      </w:r>
      <w:bookmarkEnd w:id="161"/>
      <w:bookmarkEnd w:id="162"/>
      <w:bookmarkEnd w:id="163"/>
      <w:bookmarkEnd w:id="164"/>
      <w:bookmarkEnd w:id="165"/>
      <w:bookmarkEnd w:id="166"/>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26、定标方式</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26.1采购人将在收到评标委员会提交的评标报告后五个工作日内，按照评标报告推荐的中标候选人顺序确定中标人，并在指定的媒介进行公告。</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26.2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27、签订合同</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27.1采购人应当自中标通知书发出之日起七个工作日内（具体时限本文件有约定的，按约定执行），按照招标文件和中标供应商投标文件的约定，与中标供应商签订书面合同，所签订的合同不得对招标文件和中标供应商的投标文件作实质性修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27.3中标通知书发出后，采购人无正当理由不与中标供应商签订采购合同的，将依据相关规定给予处理。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27.4采购人与成交人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28、履约担保</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28.1 中标人在签订合同前必须按招标文件的规定，及时、足额向采购人交纳履约保证金。</w:t>
      </w:r>
    </w:p>
    <w:p>
      <w:pPr>
        <w:tabs>
          <w:tab w:val="left" w:pos="90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28.2履约保证金是督促中标人按时、按质、按量履行合同的一个经济制约手段。当采购人因中标人违约而造成损失时，可在无须征得中标人同意的情况下首先从其所交纳的履约保证金中获取相应的补偿。</w:t>
      </w:r>
    </w:p>
    <w:p>
      <w:pPr>
        <w:pStyle w:val="8"/>
        <w:ind w:firstLine="482"/>
        <w:jc w:val="both"/>
        <w:rPr>
          <w:snapToGrid w:val="0"/>
          <w:color w:val="000000" w:themeColor="text1"/>
          <w:kern w:val="0"/>
          <w:szCs w:val="24"/>
          <w:highlight w:val="none"/>
          <w14:textFill>
            <w14:solidFill>
              <w14:schemeClr w14:val="tx1"/>
            </w14:solidFill>
          </w14:textFill>
        </w:rPr>
      </w:pPr>
      <w:bookmarkStart w:id="167" w:name="_Toc15658"/>
      <w:bookmarkStart w:id="168" w:name="_Toc482084471"/>
      <w:bookmarkStart w:id="169" w:name="_Toc11701"/>
      <w:bookmarkStart w:id="170" w:name="_Toc462234305"/>
      <w:bookmarkStart w:id="171" w:name="_Toc12351"/>
      <w:bookmarkStart w:id="172" w:name="_Toc2565"/>
      <w:r>
        <w:rPr>
          <w:rFonts w:hint="eastAsia"/>
          <w:snapToGrid w:val="0"/>
          <w:color w:val="000000" w:themeColor="text1"/>
          <w:kern w:val="0"/>
          <w:szCs w:val="24"/>
          <w:highlight w:val="none"/>
          <w14:textFill>
            <w14:solidFill>
              <w14:schemeClr w14:val="tx1"/>
            </w14:solidFill>
          </w14:textFill>
        </w:rPr>
        <w:t>八、质疑与投诉</w:t>
      </w:r>
      <w:bookmarkEnd w:id="167"/>
      <w:bookmarkEnd w:id="168"/>
      <w:bookmarkEnd w:id="169"/>
      <w:bookmarkEnd w:id="170"/>
      <w:bookmarkEnd w:id="171"/>
      <w:bookmarkEnd w:id="172"/>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29、质疑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29.1参与本项目采购活动的供应商（即提交了投标文件的供应商）对中标结果提出质疑的，最迟可以在中标公告期限届满之日起七个工作日内，以书面形式向采购人或代理机构提出质疑。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29.2参与本项目采购活动的供应商（即提交了投标文件的供应商）认为采购过程使自己的权益受到损害的，可以在各采购程序环节结束之日起七个工作日内，以书面形式向采购人或代理机构提出质疑。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29.3质疑函的内容应包括《政府采购质疑和投诉办法》（财政部令第94号）第十二条规定的内容。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29.4采购人或代理机构在收到供应商的质疑函后，将审查质疑函的格式、内容以及所附的证明文件是否符合要求。如不符合，退回供应商；如符合要求，则在收到书面质疑后七个工作日内，对质疑内容作出书面答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29.5供应商对同一环节的质疑，应在法定质疑期内一次性提出，采购人或代理机构不再接受同一供应商针对同一环节提出的再次质疑。</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30、投诉</w:t>
      </w:r>
    </w:p>
    <w:p>
      <w:pPr>
        <w:tabs>
          <w:tab w:val="left" w:pos="90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30.1质疑供应商对采购人或代理机构的答复不满意，或者采购人或代理机构未在规定的时间内答复的，可以在答复期满后十五个工作日内按有关规定，向有关部门进行投诉。</w:t>
      </w:r>
    </w:p>
    <w:p>
      <w:pPr>
        <w:pStyle w:val="8"/>
        <w:ind w:firstLine="482"/>
        <w:jc w:val="both"/>
        <w:rPr>
          <w:snapToGrid w:val="0"/>
          <w:color w:val="000000" w:themeColor="text1"/>
          <w:kern w:val="0"/>
          <w:szCs w:val="24"/>
          <w:highlight w:val="none"/>
          <w14:textFill>
            <w14:solidFill>
              <w14:schemeClr w14:val="tx1"/>
            </w14:solidFill>
          </w14:textFill>
        </w:rPr>
      </w:pPr>
      <w:bookmarkStart w:id="173" w:name="_Toc16619"/>
      <w:bookmarkStart w:id="174" w:name="_Toc8406"/>
      <w:bookmarkStart w:id="175" w:name="_Toc17648"/>
      <w:bookmarkStart w:id="176" w:name="_Toc12155"/>
      <w:bookmarkStart w:id="177" w:name="_Toc9456"/>
      <w:bookmarkStart w:id="178" w:name="_Toc16669"/>
      <w:bookmarkStart w:id="179" w:name="_Toc13697"/>
      <w:bookmarkStart w:id="180" w:name="_Toc482084476"/>
      <w:r>
        <w:rPr>
          <w:rFonts w:hint="eastAsia"/>
          <w:snapToGrid w:val="0"/>
          <w:color w:val="000000" w:themeColor="text1"/>
          <w:kern w:val="0"/>
          <w:szCs w:val="24"/>
          <w:highlight w:val="none"/>
          <w14:textFill>
            <w14:solidFill>
              <w14:schemeClr w14:val="tx1"/>
            </w14:solidFill>
          </w14:textFill>
        </w:rPr>
        <w:t>九、投标人须知的补充与修改</w:t>
      </w:r>
      <w:bookmarkEnd w:id="173"/>
      <w:bookmarkEnd w:id="174"/>
      <w:bookmarkEnd w:id="175"/>
      <w:bookmarkEnd w:id="176"/>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bookmarkStart w:id="181" w:name="_Toc482084472"/>
      <w:bookmarkStart w:id="182" w:name="_Toc220232391"/>
      <w:r>
        <w:rPr>
          <w:rFonts w:hint="eastAsia" w:ascii="宋体" w:hAnsi="宋体" w:cs="宋体"/>
          <w:b/>
          <w:bCs/>
          <w:snapToGrid w:val="0"/>
          <w:color w:val="000000" w:themeColor="text1"/>
          <w:kern w:val="0"/>
          <w:sz w:val="24"/>
          <w:szCs w:val="24"/>
          <w:highlight w:val="none"/>
          <w14:textFill>
            <w14:solidFill>
              <w14:schemeClr w14:val="tx1"/>
            </w14:solidFill>
          </w14:textFill>
        </w:rPr>
        <w:t>31、未尽事宜</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如以上投标人须知不能满足项目的要求，可以增加投标人须知补充事项。投标人除</w:t>
      </w:r>
      <w:r>
        <w:rPr>
          <w:rFonts w:hint="eastAsia" w:ascii="宋体" w:hAnsi="宋体" w:cs="宋体"/>
          <w:bCs/>
          <w:snapToGrid w:val="0"/>
          <w:color w:val="000000" w:themeColor="text1"/>
          <w:kern w:val="0"/>
          <w:sz w:val="24"/>
          <w:szCs w:val="24"/>
          <w:highlight w:val="none"/>
          <w14:textFill>
            <w14:solidFill>
              <w14:schemeClr w14:val="tx1"/>
            </w14:solidFill>
          </w14:textFill>
        </w:rPr>
        <w:t>认真阅读投标人须知外还必须认真阅读本补充事项，如投标人须知与本补充事项有抵触，以本补充事项为准。</w:t>
      </w:r>
    </w:p>
    <w:bookmarkEnd w:id="181"/>
    <w:bookmarkEnd w:id="182"/>
    <w:p>
      <w:pPr>
        <w:wordWrap w:val="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p>
    <w:p>
      <w:pPr>
        <w:pStyle w:val="7"/>
        <w:rPr>
          <w:snapToGrid w:val="0"/>
          <w:color w:val="000000" w:themeColor="text1"/>
          <w:kern w:val="0"/>
          <w:highlight w:val="none"/>
          <w14:textFill>
            <w14:solidFill>
              <w14:schemeClr w14:val="tx1"/>
            </w14:solidFill>
          </w14:textFill>
        </w:rPr>
      </w:pPr>
      <w:bookmarkStart w:id="183" w:name="_Toc9944"/>
      <w:r>
        <w:rPr>
          <w:rFonts w:hint="eastAsia"/>
          <w:snapToGrid w:val="0"/>
          <w:color w:val="000000" w:themeColor="text1"/>
          <w:kern w:val="0"/>
          <w:highlight w:val="none"/>
          <w14:textFill>
            <w14:solidFill>
              <w14:schemeClr w14:val="tx1"/>
            </w14:solidFill>
          </w14:textFill>
        </w:rPr>
        <w:t>第六章 采购合同</w:t>
      </w:r>
      <w:bookmarkEnd w:id="177"/>
      <w:bookmarkEnd w:id="178"/>
      <w:bookmarkEnd w:id="179"/>
      <w:bookmarkEnd w:id="183"/>
    </w:p>
    <w:p>
      <w:pPr>
        <w:wordWrap w:val="0"/>
        <w:spacing w:line="360" w:lineRule="auto"/>
        <w:jc w:val="center"/>
        <w:rPr>
          <w:rFonts w:ascii="宋体" w:hAnsi="宋体" w:cs="宋体"/>
          <w:b/>
          <w:bCs/>
          <w:snapToGrid w:val="0"/>
          <w:color w:val="000000" w:themeColor="text1"/>
          <w:kern w:val="0"/>
          <w:sz w:val="28"/>
          <w:szCs w:val="28"/>
          <w:highlight w:val="none"/>
          <w14:textFill>
            <w14:solidFill>
              <w14:schemeClr w14:val="tx1"/>
            </w14:solidFill>
          </w14:textFill>
        </w:rPr>
      </w:pPr>
      <w:r>
        <w:rPr>
          <w:rFonts w:hint="eastAsia" w:ascii="宋体" w:hAnsi="宋体" w:cs="宋体"/>
          <w:b/>
          <w:bCs/>
          <w:snapToGrid w:val="0"/>
          <w:color w:val="000000" w:themeColor="text1"/>
          <w:kern w:val="0"/>
          <w:sz w:val="28"/>
          <w:szCs w:val="28"/>
          <w:highlight w:val="none"/>
          <w14:textFill>
            <w14:solidFill>
              <w14:schemeClr w14:val="tx1"/>
            </w14:solidFill>
          </w14:textFill>
        </w:rPr>
        <w:t>皖北卫生职业学院</w:t>
      </w:r>
      <w:r>
        <w:rPr>
          <w:rFonts w:hint="eastAsia" w:ascii="宋体" w:hAnsi="宋体" w:cs="宋体"/>
          <w:b/>
          <w:bCs/>
          <w:snapToGrid w:val="0"/>
          <w:color w:val="000000" w:themeColor="text1"/>
          <w:kern w:val="0"/>
          <w:sz w:val="28"/>
          <w:szCs w:val="28"/>
          <w:highlight w:val="none"/>
          <w:lang w:eastAsia="zh-CN"/>
          <w14:textFill>
            <w14:solidFill>
              <w14:schemeClr w14:val="tx1"/>
            </w14:solidFill>
          </w14:textFill>
        </w:rPr>
        <w:t>第二食堂</w:t>
      </w:r>
      <w:r>
        <w:rPr>
          <w:rFonts w:hint="eastAsia" w:ascii="宋体" w:hAnsi="宋体" w:cs="宋体"/>
          <w:b/>
          <w:bCs/>
          <w:snapToGrid w:val="0"/>
          <w:color w:val="000000" w:themeColor="text1"/>
          <w:kern w:val="0"/>
          <w:sz w:val="28"/>
          <w:szCs w:val="28"/>
          <w:highlight w:val="none"/>
          <w14:textFill>
            <w14:solidFill>
              <w14:schemeClr w14:val="tx1"/>
            </w14:solidFill>
          </w14:textFill>
        </w:rPr>
        <w:t>经营服务项目合同（样本）</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第一条 合同的主体</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甲方：</w:t>
      </w:r>
      <w:r>
        <w:rPr>
          <w:rFonts w:hint="eastAsia" w:ascii="宋体" w:hAnsi="宋体" w:cs="宋体"/>
          <w:snapToGrid w:val="0"/>
          <w:color w:val="000000" w:themeColor="text1"/>
          <w:kern w:val="0"/>
          <w:szCs w:val="21"/>
          <w:highlight w:val="none"/>
          <w:u w:val="single"/>
          <w14:textFill>
            <w14:solidFill>
              <w14:schemeClr w14:val="tx1"/>
            </w14:solidFill>
          </w14:textFill>
        </w:rPr>
        <w:t>　皖北卫生职业学院　　　</w:t>
      </w:r>
      <w:r>
        <w:rPr>
          <w:rFonts w:hint="eastAsia" w:ascii="宋体" w:hAnsi="宋体" w:cs="宋体"/>
          <w:snapToGrid w:val="0"/>
          <w:color w:val="000000" w:themeColor="text1"/>
          <w:kern w:val="0"/>
          <w:szCs w:val="21"/>
          <w:highlight w:val="none"/>
          <w14:textFill>
            <w14:solidFill>
              <w14:schemeClr w14:val="tx1"/>
            </w14:solidFill>
          </w14:textFill>
        </w:rPr>
        <w:t>（以下简称甲方）</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w:t>
      </w:r>
      <w:r>
        <w:rPr>
          <w:rFonts w:hint="eastAsia" w:ascii="宋体" w:hAnsi="宋体" w:cs="宋体"/>
          <w:snapToGrid w:val="0"/>
          <w:color w:val="000000" w:themeColor="text1"/>
          <w:kern w:val="0"/>
          <w:szCs w:val="21"/>
          <w:highlight w:val="none"/>
          <w:u w:val="single"/>
          <w14:textFill>
            <w14:solidFill>
              <w14:schemeClr w14:val="tx1"/>
            </w14:solidFill>
          </w14:textFill>
        </w:rPr>
        <w:t>　　　　　　　　　　</w:t>
      </w:r>
      <w:r>
        <w:rPr>
          <w:rFonts w:hint="eastAsia" w:ascii="宋体" w:hAnsi="宋体" w:cs="宋体"/>
          <w:snapToGrid w:val="0"/>
          <w:color w:val="000000" w:themeColor="text1"/>
          <w:kern w:val="0"/>
          <w:szCs w:val="21"/>
          <w:highlight w:val="none"/>
          <w14:textFill>
            <w14:solidFill>
              <w14:schemeClr w14:val="tx1"/>
            </w14:solidFill>
          </w14:textFill>
        </w:rPr>
        <w:t>（以下简称乙方）</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第二条 合同宗旨及原则</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甲乙双方按照中华人民共和国有关法律，根据平等互利原则，经友好协商，甲方将皖北卫生职业学院</w:t>
      </w:r>
      <w:r>
        <w:rPr>
          <w:rFonts w:hint="eastAsia" w:ascii="宋体" w:hAnsi="宋体" w:cs="宋体"/>
          <w:snapToGrid w:val="0"/>
          <w:color w:val="000000" w:themeColor="text1"/>
          <w:kern w:val="0"/>
          <w:szCs w:val="21"/>
          <w:highlight w:val="none"/>
          <w:lang w:eastAsia="zh-CN"/>
          <w14:textFill>
            <w14:solidFill>
              <w14:schemeClr w14:val="tx1"/>
            </w14:solidFill>
          </w14:textFill>
        </w:rPr>
        <w:t>第二食堂</w:t>
      </w:r>
      <w:r>
        <w:rPr>
          <w:rFonts w:hint="eastAsia" w:ascii="宋体" w:hAnsi="宋体" w:cs="宋体"/>
          <w:snapToGrid w:val="0"/>
          <w:color w:val="000000" w:themeColor="text1"/>
          <w:kern w:val="0"/>
          <w:szCs w:val="21"/>
          <w:highlight w:val="none"/>
          <w14:textFill>
            <w14:solidFill>
              <w14:schemeClr w14:val="tx1"/>
            </w14:solidFill>
          </w14:textFill>
        </w:rPr>
        <w:t>经营服务项目发包给乙方，乙方自愿承包，为明确双方的权利和义务，达成如下协议。</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第三条 合同范围和要求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规定的内容是乙方为皖北卫生职业学院学生提供早餐、午餐、晚餐服务，并负责所属区域的卫生保洁。操作中必须严格遵守《中华人民共和国食品安全法》和《餐饮业食品卫生管理办法》《环境卫生保护法》《学校食品安全与营养健康管理规定》以及其它现行的安徽省、宿州市相关法律法规。</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第四条 合同履行期限及管理费用</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1、本合同期限：</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年（2+1），即自</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日起至</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日止。中标后先签订2年经营服务合同，即自</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日起至</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日止</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经营期间每年由学校总务处等相关部门进行师生满意度考核，对综合满意度达到80%以上（含80%），且前2年合同期内无重大食品安全事件；被校方因食品安全负面问题书面约谈整改不多于3次；被省、市、区市场监管等部门立案查处不多于1次且及时整改落实的，经学校研究同意可以续签第3年合同。乙方应自合同期签订之日起30日内到食品卫生监督部门办理《食品经营许可证》。</w:t>
      </w:r>
    </w:p>
    <w:p>
      <w:pPr>
        <w:pStyle w:val="2"/>
        <w:ind w:left="0" w:leftChars="0"/>
        <w:rPr>
          <w:rFonts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2、管理费用：</w:t>
      </w:r>
    </w:p>
    <w:p>
      <w:pPr>
        <w:pStyle w:val="2"/>
        <w:ind w:left="0" w:leftChars="0"/>
        <w:rPr>
          <w:rFonts w:hint="default"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3、履约保证金：</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44万</w:t>
      </w:r>
    </w:p>
    <w:p>
      <w:pPr>
        <w:pStyle w:val="5"/>
        <w:ind w:leftChars="200" w:firstLine="0"/>
        <w:rPr>
          <w:rFonts w:ascii="宋体" w:hAnsi="宋体" w:eastAsia="宋体" w:cs="宋体"/>
          <w:snapToGrid w:val="0"/>
          <w:color w:val="000000" w:themeColor="text1"/>
          <w:kern w:val="0"/>
          <w:sz w:val="21"/>
          <w:szCs w:val="21"/>
          <w:highlight w:val="none"/>
          <w14:textFill>
            <w14:solidFill>
              <w14:schemeClr w14:val="tx1"/>
            </w14:solidFill>
          </w14:textFill>
        </w:rPr>
      </w:pP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第五条 工作内容和标准</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1、环境与卫生</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1.1承包企业按照合同约定为招标人提供满意的餐饮服务。食品加工、制作、经营须严格遵守《中华人民共和国食品安全法》、《餐饮业食品卫生管理办法》和《环境卫生保护法》以及其它现行的相关法规、规定。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按照质量管理体系和食品安全管理体系要求，承包企业应做好从食品验收入库、领用加工、成品出菜以及餐饮具的清洗消毒、人员的卫生健康和环境的卫生等工作，检査督促餐饮服务的每个环节的工作，并做好相关记录。</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2、人员配备及管理要求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2.1为了保障食堂餐饮服务工作的顺利开展，承包企业为本项目食堂配备的人员必须确保能满足招标人食堂正常运行和保障学生正常就餐。承包企业在投标时响应的配备人员在中标后必须全部到岗，否则履约保证金不予退还。承包企业须根据实际就餐人数及规模匹配对应人员，人员数量及岗位必须满足项目实际需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食堂工作人员由承包企业自行招聘和管理，所聘工作人员劳动合同的签订、工资、社保和福利的发放、劳务纠纷的处理等相关经济和法律责任均由承包企业自行解决。食堂内的工作人员属于承包企业的员工，与招标人不存在任何雇佣、委托等劳动关系，食堂工作人员的人身安全责任由承包企业负责。承包企业不得无故拖欠工资，招标人有权对食堂用工情况进行监督和检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2.3本项目配备的所有员工都要经过卫生防疫部门的体检、办理健康证方能上岗；同时承包企业应按时到卫生防疫部门办理食堂经营许可的年检手续，接受卫生防疫部门的现检，其体检、抽检和年检等费用由承包企业自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2.4承包企业要对食堂员工的思想道德、业务素质、安全健康等进行全面管理，所有人员应规范服务操作程序，做到文明用语、礼貌服务。</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2.5承包企业应对员工进行岗前培训、在岗培训、转岗培训，以达到相应的岗位技能要求。针对加工制作过程中对安全隐患较大的设备，如和面机、压面机、切菜机、烤箱等机械设备应安排专人操作，上岗前必须培训到位，否则如出现重大安全事故由承包企业自行负责善后。</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2.6食品安全管理人员的设置应符合《重大活动餐饮服务食品安全监督管理规范》的要求。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2.7项目经理必须亲自参与现场管理，每天到总务处考勤，请假每月不得超过三天，项目负责人一年内不得辞职或调离。</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3、采购渠道</w:t>
      </w:r>
    </w:p>
    <w:p>
      <w:pPr>
        <w:wordWrap w:val="0"/>
        <w:spacing w:line="360" w:lineRule="auto"/>
        <w:ind w:firstLine="420" w:firstLineChars="200"/>
        <w:rPr>
          <w:rFonts w:ascii="宋体" w:hAnsi="宋体" w:cs="宋体"/>
          <w:b/>
          <w:bCs/>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企业用于食堂的原材料必须符合食品安全的要求，有稳定的进货、调货渠道且经过检验检疫；具有规范的食品及原料管理制度，所有原材料供应必须“三证”齐全（卫生许可证、食品检验合格证、产地来源证），建档立案备查；对采购的蔬菜进行农药残留检测，用农药速测仪器对每批蔬菜抽检，对超标蔬菜现场销毁，并建立记录；对原材料价格和农残情况定期进行公示。调料、配料必须是正规厂家生产的合格产品；</w:t>
      </w:r>
      <w:r>
        <w:rPr>
          <w:rFonts w:hint="eastAsia" w:ascii="宋体" w:hAnsi="宋体" w:cs="宋体"/>
          <w:b/>
          <w:bCs/>
          <w:snapToGrid w:val="0"/>
          <w:color w:val="000000" w:themeColor="text1"/>
          <w:kern w:val="0"/>
          <w:sz w:val="21"/>
          <w:szCs w:val="21"/>
          <w:highlight w:val="none"/>
          <w14:textFill>
            <w14:solidFill>
              <w14:schemeClr w14:val="tx1"/>
            </w14:solidFill>
          </w14:textFill>
        </w:rPr>
        <w:t>本项目所有食材禁止使用转基因原料。如发现使用转基因原料或食品，则招标人有权解除合同并对承包企业处以罚款。</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4、菜品供应</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4.1每周菜谱、菜价、消耗品等提前确定并报招标人审核。</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4.2菜肴的荤素搭配合理，每天不重复，每周重复率不高于30%(素菜除外）。</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4.3根据季节变化和就餐人反馈信息、意见，及时更换菜肴的口味、调整餐品品种。</w:t>
      </w:r>
    </w:p>
    <w:p>
      <w:pPr>
        <w:wordWrap w:val="0"/>
        <w:spacing w:line="360" w:lineRule="auto"/>
        <w:ind w:firstLine="42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4.4基本大伙售饭档口占比全部档口比例不低于60%；不得未经学校同意，减少大伙档口和饭菜花色品种，改为特色档口，而导致学生就餐困难和饭菜价格隐形增加，否则视为违约，学院有权解除合同并扣除履约保证金作为处罚。</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5、安全管理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5.1承包企业负责食堂用餐安全，有完善的质量安全保障体系和有效监管措施。</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5.2承包企业必须自行做好安全、防盗、防火等工作；划分消防责任区、指定消防责任人，负责食堂经营范围内及招标人指定区域内的防火安全，负责培训员工熟练掌握消防设施、器材的使用方法，如发生失窃、火灾、食物中毒等事故，造成的一切后果及损失均由承包企业自行承担。</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5.3承包企业的工作人员在工作及生活中出现任何事故、意外伤害及违法行为，均由承包企业负责，招标人不承担任何责任。如因承包企业原因造成人员伤害或伤亡的，由承包企业承担。</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6、应急措施</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企业负责落实食堂经营范围内及招标人指定区域的卫生工作（含周边环境、烟道、下水道、隔油池、厕所等），建立和健全一整套生产管理、卫生管理和安全管理制度；制定防断餐应急预案，建立加工制作人员与售卖人员的信息沟通渠道；制定突发公共卫生安全、食品安全事件、停电、停水、停气、员工罢工等情况应急预案，并定期演练。</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7、经营管理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7.1餐饮人员服务程序操作规范，文明用语、礼貌服务、热情、周到、便捷。</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7.2创造文明就餐的食堂文化氛围，食堂就餐秩序良好。</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7.3定期主动了解就餐人员的要求，配合做好就餐人员满意程度调查。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7.4开餐前，餐厅地面、桌椅卫生达标。用餐后，及时清理桌面、地面卫生，用清洁剂搞好现场卫生，确保每餐的卫生整洁。</w:t>
      </w:r>
    </w:p>
    <w:p>
      <w:pPr>
        <w:wordWrap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7.5严格控制餐厨废弃物的流向，做好分类处理和回收利用工作。</w:t>
      </w:r>
    </w:p>
    <w:p>
      <w:pPr>
        <w:wordWrap w:val="0"/>
        <w:spacing w:line="360" w:lineRule="auto"/>
        <w:ind w:firstLine="420" w:firstLineChars="20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7.6</w:t>
      </w:r>
      <w:r>
        <w:rPr>
          <w:rFonts w:hint="eastAsia" w:ascii="宋体" w:hAnsi="宋体" w:cs="宋体"/>
          <w:snapToGrid w:val="0"/>
          <w:color w:val="000000" w:themeColor="text1"/>
          <w:kern w:val="0"/>
          <w:szCs w:val="21"/>
          <w:highlight w:val="none"/>
          <w14:textFill>
            <w14:solidFill>
              <w14:schemeClr w14:val="tx1"/>
            </w14:solidFill>
          </w14:textFill>
        </w:rPr>
        <w:t>经营方从事的经营服务范围只限于餐饮服务，不得从事瓶装矿泉水、水果、方便面、袋装零食等校园超市售卖物品类其它非加工制作餐饮品项目的销售服务。每发现一次扣除履约金500元，情况严重屡犯不改者学校有权解除合同。</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8、设备设施管理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8.1承包企业为经营所提供的所有设施设备需开具清单备份给招标人，装修完成后招标人抽取第三方公司对承包企业的装饰装修投入进行审计，按照投标文件承诺进行验收，验收合格后，承包企业方可投入使用。若审计后费用未达投标承诺，则视为违约或中标承包企业将差额费用补足给招标人。承包企业必须对食堂售卖间、操作间及后堂所有水电气、明厨亮灶、中央空调等设施设备进行保养、维护，费用由承包企业承担；建筑屋顶漏水、外墙脱落、房屋结构出现安全隐患，进入食堂后厨前水电气管道破损由招标人负责维修更新。承包企业须保证设备完好率达100%，维修及时率达100%。承包企业负责水、电、气、消防设施等的日常清洁保养，并承担上述设备设施因非正常折旧而损坏的维修费用。</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8.2餐厨具以及办公设备等全部由承包企业根据用餐人数规模自行配备，定期对损坏的物品予以更新。合同期满后，承包企业可按清单将自己添置的设备带走。但拆除时不得损坏招标人食堂墙面、地面建筑结构和水电等管线。</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9、食堂财务管理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9.1承包企业必须对本项目进行独立核算，建立规范的财务管理制度，并对每日产生的所有费用建立日台账，主动接受招标人的监督和检查。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9.2实行餐卡校园一卡通管理制度，就餐人员一人一卡，实行刷卡就餐，承包企业不得私自进行企业微信、档口支付宝或现金收费。每发现一例扣除履约金500元；餐卡及刷卡设备由招标人投入建设，承包企业智慧食堂支付系统自行建设，若额外增加档口一卡通刷卡设备则自行联系一卡通系统采购安装。</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10、风险责任承诺</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10.1承包企业必须对经营风险承担全部的后果，并对有关食品卫生安全责任做出明确的承诺。</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10.2承包企业要按招标文件中的条款和双方签订的合同规定，承担全部的安全、卫生、质量、效益、风险等责任。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10.3承包企业在经营过程中与外界或与档口经营人员发生的一切债权、债务等纠纷均与招标人无关。</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10.4除不可抗力因素外，承包企业不得以任何理由不按时或不充足供应食堂膳食，否则视为违反合同。</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11、监督管理与考核办法</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11.1监督体系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企业经营活动须符合招标人相关管理制度的规定。承包企业必须接受招标人的监督与管理，积极配合开展工作，自觉接受对财务管理、食材管理、生产流程、卫生消毒、供应价格、服务规范等方面的全方位监控。</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11.2监督依据</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（1）国家相关法律法规；</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（2）安徽省卫生主管部门对食堂的管理规定；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（3）招标人对食堂的管理规定；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（4）招标人和承包企业的合同、协议的约定。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监督方式：强化日常监管，每周调度，月度量化考评，年度满意度考核。如发生群体性食品卫生安全事故、工伤事故、火灾事故，则招标人有权直接解除合同并不予退还履约保证金。因事故损失或赔偿超出履约保证金金额的，由承包企业承担全部赔偿责任。</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第六条 甲、乙双方的权利与义务</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（一）甲方的权利与义务</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1.甲方有权对承包该项目的专业、服务人员进行验证身份证件，有违法违纪、纹身、传染病等不适宜从事高校餐饮工作的，甲方有权要求乙方更换，否则按违约处理。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2.甲方有权对承包该项目的管理人员、专业人员、服务人员进行上岗前的验证工作和日常监督管理工作；乙方所有上岗人员必须持有市卫生防疫部门颁发的有效健康证，并报甲方备案，服从甲方管理。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甲方有权对乙方进行各种行政监督，如：卫生、安全、消防、综合治理等，以严防食物中毒事故发生，万一发生类似事故，甲方有权追究乙方的责任或终止本合同。</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甲方有权对饭菜质量、价格、卫生、服务态度、一卡通使用、经营服务范围等情况随时进行监督检查，如乙方未达到饭菜质量、价格等招标文件和合同约定的管理要求，甲方有权要求进行适量赔偿或终止本协议。</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5.甲方有权在乙方人员违反甲方管理规定或造成甲方损失时予以制止、劝阻，并视情节轻重要求乙方就造成的损失给予赔偿。</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6.甲方为乙方提供工作必须的场所，提供水电气接入条件，配备一定的明厨亮灶设备，安装中央空调，以满足乙方安装配备灶具、消毒柜、洗碗机、冰箱、冰柜、餐桌椅等固定设施设备。</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7.甲方不得无故干扰乙方的正常合法经营。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甲方有权要求乙方按照省市区市场监管等部门食品安全、消防安全等检查整改要求，限期乙方完成整改，乙方拒不整改或逾期整改的，甲方可以先行代为采购设备、安排人员维修进行整改，以履行学校食堂监管主体责任，所支出费用从乙方履约保证金或经营款中扣除，同时给予乙方书面约谈一次。</w:t>
      </w:r>
    </w:p>
    <w:p>
      <w:pPr>
        <w:wordWrap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9.甲方无故单方面解除合同的，</w:t>
      </w:r>
      <w:r>
        <w:rPr>
          <w:rFonts w:hint="eastAsia" w:ascii="宋体" w:hAnsi="宋体" w:eastAsia="宋体" w:cs="宋体"/>
          <w:snapToGrid w:val="0"/>
          <w:color w:val="000000" w:themeColor="text1"/>
          <w:kern w:val="0"/>
          <w:szCs w:val="21"/>
          <w:highlight w:val="none"/>
          <w14:textFill>
            <w14:solidFill>
              <w14:schemeClr w14:val="tx1"/>
            </w14:solidFill>
          </w14:textFill>
        </w:rPr>
        <w:t>应向乙方支付违约金人民币拾万元整。</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（二）乙方的权利与义务</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乙方应对承包该项目的专业、服务人员进行上岗前的培训工作，进行系统的安全教育和食品加工安全卫生教育，职业道德教育；制定食品加工相关的工作程序、作业指导书、岗位职责、设备安全操作程序；在食品生产加工过程中，采取严格的安全卫生措施，安全用水、用电、用气，保证食品安全，保证不发生人身安全事故或工伤事故，否则责任全部由乙方承担。</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2.乙方承包该项目专业、服务人员必须持有由卫生防疫部门颁发的有效健康证，健康证必须年审，费用自理。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3.乙方使用的工作人员必须仪容端正、品行良好，无违法犯罪纪录；身体健康、年龄符合国家法规要求。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方应指派管理人员每日对食品加工、制作、服务等岗位的相关专业人员工作进行检查，督促工作人员应按《中华人民共和国食品安全法》和《餐饮业食品卫生管理办法》的相关规定进行操作，并定期征求甲方对保证供餐服务工作的意见和建议，对存在的问题及时处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5.乙方应在甲方规定的时间内及时供餐。由于乙方工作失误造成不能及时供餐的，甲方视情节严重程度给予乙方一定的经济处罚。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乙方应对工作人员按照公司规范化进行管理，配备统一公司服装，建立专业规范的储藏间、更衣室、留样间（柜）、洗消间、办公间、加工烹煮间和配备专业设备，规范食材采购渠道，索票索证，建立完善的档案制度和培训制度，确保食堂后厨和售卖间、餐厅布设符合食品安全和消防安全等规范，不断提高员工餐饮制作技术水平，做到态度热情诚恳，提升服务质量。</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7.乙方应对从事本公司食堂工作的员工遵照《劳动法》和《劳动合同法》等国家法律法规，办理五项基本社会保险，保障劳动者合法利益。如因用工不当造成后果，由乙方承担全部责任。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8.乙方根据工作需要，需更换人员应提前15天通知甲方，项目经理一年内不得更换；更换后的工作人员满足招标文件要求，且乙方须对其进行上岗前的培训。</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9.乙方工作人员应爱护甲方的一切设施、设备、用具，如有损坏，照价赔偿。</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10.乙方工作人员必须遵守甲方规章制度，不得随意出入甲方教学生活场所及其它限定区域，如违反者，甲方可将依考核标准对乙方进行处理。</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第七条 履约保证金</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合同签订前7日内以转账、电汇或银行保函形式一次性缴纳履约保证金</w:t>
      </w:r>
      <w:r>
        <w:rPr>
          <w:rFonts w:hint="eastAsia" w:ascii="宋体" w:hAnsi="宋体" w:cs="宋体"/>
          <w:b/>
          <w:bCs/>
          <w:snapToGrid w:val="0"/>
          <w:color w:val="000000" w:themeColor="text1"/>
          <w:kern w:val="0"/>
          <w:szCs w:val="21"/>
          <w:highlight w:val="none"/>
          <w:lang w:val="en-US" w:eastAsia="zh-CN"/>
          <w14:textFill>
            <w14:solidFill>
              <w14:schemeClr w14:val="tx1"/>
            </w14:solidFill>
          </w14:textFill>
        </w:rPr>
        <w:t>44</w:t>
      </w:r>
      <w:r>
        <w:rPr>
          <w:rFonts w:hint="eastAsia" w:ascii="宋体" w:hAnsi="宋体" w:cs="宋体"/>
          <w:b/>
          <w:bCs/>
          <w:snapToGrid w:val="0"/>
          <w:color w:val="000000" w:themeColor="text1"/>
          <w:kern w:val="0"/>
          <w:szCs w:val="21"/>
          <w:highlight w:val="none"/>
          <w14:textFill>
            <w14:solidFill>
              <w14:schemeClr w14:val="tx1"/>
            </w14:solidFill>
          </w14:textFill>
        </w:rPr>
        <w:t>万元，待合同期满扣除相关违约金（如有）后15日内无息返还。</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第八条 承包该项目的支付方式</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1、乙方自负盈亏，自主经营，菜品按照投标文件合理定价，执行明码标价，接受甲方审核。如在合同执行过程中因物价上涨原因，导致菜品价格上涨，可在甲方总务处审核同意后，最多上涨幅度</w:t>
      </w:r>
      <w:r>
        <w:rPr>
          <w:rFonts w:hint="eastAsia" w:ascii="宋体" w:hAnsi="宋体" w:cs="宋体"/>
          <w:snapToGrid w:val="0"/>
          <w:color w:val="000000" w:themeColor="text1"/>
          <w:kern w:val="0"/>
          <w:szCs w:val="21"/>
          <w:highlight w:val="none"/>
          <w:lang w:eastAsia="zh-CN"/>
          <w14:textFill>
            <w14:solidFill>
              <w14:schemeClr w14:val="tx1"/>
            </w14:solidFill>
          </w14:textFill>
        </w:rPr>
        <w:t>不多于</w:t>
      </w:r>
      <w:r>
        <w:rPr>
          <w:rFonts w:hint="eastAsia" w:ascii="宋体" w:hAnsi="宋体" w:cs="宋体"/>
          <w:snapToGrid w:val="0"/>
          <w:color w:val="000000" w:themeColor="text1"/>
          <w:kern w:val="0"/>
          <w:szCs w:val="21"/>
          <w:highlight w:val="none"/>
          <w14:textFill>
            <w14:solidFill>
              <w14:schemeClr w14:val="tx1"/>
            </w14:solidFill>
          </w14:textFill>
        </w:rPr>
        <w:t>投标报价表的30%。</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2、经营收入统一进入甲方指定账户，由甲方每月与乙方进行结算。甲方每月10日前后与乙方结算上月餐费。</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第九条 违约责任</w:t>
      </w:r>
    </w:p>
    <w:p>
      <w:pPr>
        <w:wordWrap w:val="0"/>
        <w:spacing w:line="360" w:lineRule="auto"/>
        <w:ind w:firstLine="420" w:firstLineChars="20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1、甲乙双方约定食堂经营起始日期为</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14:textFill>
            <w14:solidFill>
              <w14:schemeClr w14:val="tx1"/>
            </w14:solidFill>
          </w14:textFill>
        </w:rPr>
        <w:t xml:space="preserve">年 </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14:textFill>
            <w14:solidFill>
              <w14:schemeClr w14:val="tx1"/>
            </w14:solidFill>
          </w14:textFill>
        </w:rPr>
        <w:t xml:space="preserve">月 </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14:textFill>
            <w14:solidFill>
              <w14:schemeClr w14:val="tx1"/>
            </w14:solidFill>
          </w14:textFill>
        </w:rPr>
        <w:t>日</w:t>
      </w:r>
      <w:r>
        <w:rPr>
          <w:rFonts w:hint="eastAsia" w:ascii="宋体" w:hAnsi="宋体" w:cs="宋体"/>
          <w:snapToGrid w:val="0"/>
          <w:color w:val="000000" w:themeColor="text1"/>
          <w:kern w:val="0"/>
          <w:sz w:val="21"/>
          <w:szCs w:val="21"/>
          <w:highlight w:val="none"/>
          <w14:textFill>
            <w14:solidFill>
              <w14:schemeClr w14:val="tx1"/>
            </w14:solidFill>
          </w14:textFill>
        </w:rPr>
        <w:t>，自甲乙双方约定的经营开始之日起，乙方逾期履行的，每推迟一天应支付违约金5000元，逾期7天不履行，甲方有权解除合同，由此给甲方造成的实际损失超过履约金的，包括合同履行后可以获得的利益，乙方均应予以赔偿。</w:t>
      </w:r>
    </w:p>
    <w:p>
      <w:pPr>
        <w:wordWrap w:val="0"/>
        <w:spacing w:line="360" w:lineRule="auto"/>
        <w:ind w:firstLine="420" w:firstLineChars="20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乙方因不可抗力不能履行合同的，应当及时通知甲方，以减轻可能给对方造成的损失，并应当在不可抗力发生后的10天内提供证明。</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乙方应实际、全面履行本合同约定的义务，否则，甲方有权不予退还乙方履约保证金；乙方除承担赔偿损失责任外，甲方有权要求乙方承担（但不限于）修理、更换、重做、减少价款或者报酬或承担继续履行、采取补救措施等违约责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3、乙方在经营过程中发生食品卫生安全事故、工伤事故、火灾事故等事故的，所产生的医疗费用、赔偿费用由乙方承担。给甲方财产造成损失的，按原价予以赔偿。</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第十条 合同终止及解除</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合同期内发生严重的群体性食品卫生安全事故、工伤事故、火灾事故、重大不良影响事件或年度考核得分在80分以下的或连续两个月度考核得分在70分以下的，甲方可终止或解除与乙方的合作关系。合同期满或合同终止或解除，双方权利和义务终止，甲乙双方应在7日内办理资产等所有的交接手续。乙方出资添置的设备由乙方及时带走，逾期由甲方处置。甲方的资产保持交接时的使用情况完全交还甲方（自然损耗折旧的除外）。</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第十一条 甲乙双方未尽事宜，另行协商，补充协议</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第十二条 争议解决</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甲乙双方在执行本合同中发生争议时，应友好协商解决；协商未果，向项目所在地仲裁委员会申请仲裁或向项目所在地人民法院提起诉讼。</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第十三条 其它</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本合同一式陆份，双方各执叁份，双方签字盖章后生效。</w:t>
      </w:r>
    </w:p>
    <w:p>
      <w:pPr>
        <w:wordWrap w:val="0"/>
        <w:spacing w:line="360" w:lineRule="auto"/>
        <w:rPr>
          <w:rFonts w:ascii="宋体" w:hAnsi="宋体" w:cs="宋体"/>
          <w:snapToGrid w:val="0"/>
          <w:color w:val="000000" w:themeColor="text1"/>
          <w:kern w:val="0"/>
          <w:szCs w:val="21"/>
          <w:highlight w:val="none"/>
          <w14:textFill>
            <w14:solidFill>
              <w14:schemeClr w14:val="tx1"/>
            </w14:solidFill>
          </w14:textFill>
        </w:rPr>
      </w:pPr>
    </w:p>
    <w:tbl>
      <w:tblPr>
        <w:tblStyle w:val="19"/>
        <w:tblW w:w="10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7"/>
        <w:gridCol w:w="5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27" w:type="dxa"/>
          </w:tcPr>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采购人（甲方）：</w:t>
            </w:r>
          </w:p>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单位盖章：</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法定代表人或授权人（签字）：</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联系电话：</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帐号：</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日期：年月日</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p>
        </w:tc>
        <w:tc>
          <w:tcPr>
            <w:tcW w:w="5128" w:type="dxa"/>
          </w:tcPr>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中标供应商（乙方）：</w:t>
            </w:r>
          </w:p>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单位盖章：</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法定代表人或授权人（签字）：</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联系电话：</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帐号：</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日期：年月日</w:t>
            </w:r>
          </w:p>
        </w:tc>
      </w:tr>
    </w:tbl>
    <w:p>
      <w:pP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br w:type="page"/>
      </w:r>
    </w:p>
    <w:p>
      <w:pPr>
        <w:pStyle w:val="22"/>
        <w:widowControl w:val="0"/>
        <w:ind w:firstLine="0" w:firstLineChars="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附件：1、食堂管理服务监管工作月度考评细则</w:t>
      </w:r>
    </w:p>
    <w:p>
      <w:pPr>
        <w:pStyle w:val="22"/>
        <w:widowControl w:val="0"/>
        <w:ind w:firstLine="840" w:firstLineChars="30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2、师生餐饮满意度调查表</w:t>
      </w:r>
    </w:p>
    <w:p>
      <w:pPr>
        <w:pStyle w:val="22"/>
        <w:widowControl w:val="0"/>
        <w:ind w:firstLine="0" w:firstLineChars="0"/>
        <w:jc w:val="center"/>
        <w:rPr>
          <w:b/>
          <w:bCs/>
          <w:color w:val="000000" w:themeColor="text1"/>
          <w:kern w:val="0"/>
          <w:highlight w:val="none"/>
          <w14:textFill>
            <w14:solidFill>
              <w14:schemeClr w14:val="tx1"/>
            </w14:solidFill>
          </w14:textFill>
        </w:rPr>
      </w:pPr>
      <w:r>
        <w:rPr>
          <w:rFonts w:hint="eastAsia"/>
          <w:b/>
          <w:bCs/>
          <w:color w:val="000000" w:themeColor="text1"/>
          <w:kern w:val="0"/>
          <w:highlight w:val="none"/>
          <w14:textFill>
            <w14:solidFill>
              <w14:schemeClr w14:val="tx1"/>
            </w14:solidFill>
          </w14:textFill>
        </w:rPr>
        <w:t>附件1：食堂管理服务监管工作月度考评细则</w:t>
      </w:r>
    </w:p>
    <w:p>
      <w:pPr>
        <w:wordWrap w:val="0"/>
        <w:spacing w:line="280" w:lineRule="exact"/>
        <w:jc w:val="right"/>
        <w:rPr>
          <w:rFonts w:ascii="宋体" w:hAnsi="宋体" w:cs="宋体"/>
          <w:snapToGrid w:val="0"/>
          <w:color w:val="000000" w:themeColor="text1"/>
          <w:kern w:val="0"/>
          <w:highlight w:val="none"/>
          <w14:textFill>
            <w14:solidFill>
              <w14:schemeClr w14:val="tx1"/>
            </w14:solidFill>
          </w14:textFill>
        </w:rPr>
      </w:pPr>
      <w:bookmarkStart w:id="184" w:name="_Toc20982"/>
      <w:bookmarkStart w:id="185" w:name="_Toc12731"/>
      <w:bookmarkStart w:id="186" w:name="_Toc27308"/>
      <w:r>
        <w:rPr>
          <w:rFonts w:hint="eastAsia" w:ascii="宋体" w:hAnsi="宋体" w:cs="宋体"/>
          <w:snapToGrid w:val="0"/>
          <w:color w:val="000000" w:themeColor="text1"/>
          <w:kern w:val="0"/>
          <w:highlight w:val="none"/>
          <w14:textFill>
            <w14:solidFill>
              <w14:schemeClr w14:val="tx1"/>
            </w14:solidFill>
          </w14:textFill>
        </w:rPr>
        <w:t>年   月   日</w:t>
      </w:r>
    </w:p>
    <w:tbl>
      <w:tblPr>
        <w:tblStyle w:val="18"/>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69"/>
        <w:gridCol w:w="2909"/>
        <w:gridCol w:w="96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分类</w:t>
            </w:r>
          </w:p>
        </w:tc>
        <w:tc>
          <w:tcPr>
            <w:tcW w:w="1989"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基本内容和要求</w:t>
            </w:r>
          </w:p>
        </w:tc>
        <w:tc>
          <w:tcPr>
            <w:tcW w:w="1535"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评分标准</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检查方法</w:t>
            </w:r>
          </w:p>
        </w:tc>
        <w:tc>
          <w:tcPr>
            <w:tcW w:w="448"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得分</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restar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食堂管理</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（40分）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1、严格按照国家《食品卫生法》、《餐饮业和集体用餐配送单位规范》等相关法规经营、操作；3分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未按照国家相关规定经营、操作，一次一项扣0.5分，扣完为止</w:t>
            </w:r>
          </w:p>
        </w:tc>
        <w:tc>
          <w:tcPr>
            <w:tcW w:w="507" w:type="pct"/>
            <w:vMerge w:val="restar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查对资料现场抽查相结合</w:t>
            </w:r>
          </w:p>
        </w:tc>
        <w:tc>
          <w:tcPr>
            <w:tcW w:w="448" w:type="pct"/>
            <w:vMerge w:val="restar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2、食堂、餐厅等均必须符合卫生标准，禁用变质、腐烂食品；4分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每发现有采购、食用变质、过期的食品1次扣1.5分，扣完为止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3、定期组织员工进行业务培训，培训有计划有记录，记录清晰完整，不断提高业务水平和服务意识；2分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无培训扣2分，培训无记录、记录不完整一次一项扣0.5分，扣完为止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4、上岗员工保持良好的个人卫生，定期进行体格检验，并取得体检健康证（持证上岗率100%）；2分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未定期检查、发现员工身体不健康，带有传染性疾病或其他病症上岗每人次，扣1～2分。扣完为止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5、提供优质、热情的服务，严禁与用餐人员发生争吵、打架等不良行为；4分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因服务质量或态度不好被投诉，经查属实每人次扣0.5分，扣完为止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6、按基本膳食等合理配置管理；3分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膳食配置不合理，一项一次扣0.5分，扣完为止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7、对各类食品要有留样，并对留样食品时间、品种、重量要有详细的记录；2分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无留样一次扣0.2分；记录不全1次扣0.1分，扣完为止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8、必须配备不少于1名公共营养师；2分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无，扣2分止。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9、设置每日经济公布栏，有价格评估员公布每日物资供应消耗情况；每月公布主要品种成本利润情况；2分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漏缺1次扣0.1分，扣完为止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10、每月发放意见征询表，对存在的问题及时做出整改；每周公布前十名最受欢迎菜品；2分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未征询扣1分，未及时做出公布及整改，每漏缺1次扣0.2分，扣完为止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11、保障解决学生中午误餐、晚上误餐；2分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未保障1次扣0.2分，扣完为止。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12、保证学生饮食花样品种品种丰富，口味适合多种消费人群；2分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未符合一次扣0.5分，扣完为止。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13、操作间、仓库必须干净卫生，各类食品按要求分开放置，严禁存放变质过期食物；2分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有不符合项1次扣0.2分，扣完为止。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14、节约水电气并做好安全防范工作；3分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无制度扣1分，未做到一次扣0.2分，扣完为止。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16、物资采购必须符合健康安全的要求，采购渠道正规并定期在食堂公布有关合格证。5分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采购渠道正规（有无三证），无扣0.5分；发现有采购、食用变质、过期的食品扣1分，扣完为止。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饮食卫生</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1、每餐保证饭菜质量，菜香饭熟，无夹生饭，无不净菜；</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2、汤类经常更换，保证多样性；</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3、不得食用变质食品，无食物中毒现象；</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4、生熟食品严格分开，独立操作间。</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饭菜质量不合格，汤类不满意，一次一项扣0.1分；有变质食品一次扣10分；生熟未分开，未做到独立操作，一次扣0.5分。食物中毒一票否决。</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餐具</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1、食用的碗筷及其他餐具每餐消毒符合标准.餐具清洗做到一洗、二刷、三冲、四消毒、五保洁；对清洗机要经常清洗消毒；</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2、餐具光亮无油迹、分类堆放，食用筷子清洁卫生、不变形、无发霉；</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未按规定操作，一次一项扣0.2分；餐具有油迹、未分类存放、有不清洁、变形、发霉一次一项扣0.1分；职工用餐具未与病人分开，一次扣0.5分，扣完为止。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个人卫生</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1.值班时按规定穿工服、帽子、手套、口罩等确保卫生；</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2.操作人员符合卫生学标准。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未按规定穿戴，一次扣0.2分，操作人员不符合卫生学标准一人次扣0.2人，扣完为止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随机检查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餐厅卫生</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1、桌椅、地面、墙面及其它设施干净光亮卫生、无损坏，摆放整齐，定期消毒，无蚊虫和苍蝇；</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2、餐厅门窗有防蚊蝇门窗及措施。</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卖菜窗口有菜汁、油渍堆积一次一项扣0.1分；无防蚊蝇设备及措施扣1分。扣完为止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操作间</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1、切配间、炉灶间、点心房等管理操作间有消防及安全管理制度；</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2、卫生方面保持清洁干净，各类炊具刀具分别保管、分类放置，及时消毒。</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无消防及安全制度、未执行制度有安全隐患未及时整改一次扣1～2分；各种餐具不干净有斑迹、油渍，不按规定进行消毒处理，炊具乱放等每项每次扣0.2分，扣完为止。存在不安全隐患不及时整改的扣1～2分。</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库房管理</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1、各库房管理保持库房干燥，生熟品分库存放，保证库房符合安全、卫生要求。库房有专人管理；</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2、保证库内物品不变质。下班时锁门关窗关电确保安全。</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库房内有变质食品（包括异味霉味腐烂味等），地面潮湿、有虫害，每项一次扣0.2分；库房内食品无分类，乱摆乱放，一次一项扣0.2分；无人时未关门窗、电源（冷库根据需要），发现有安全隐患不及时整改的一次一项扣1～2分。</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食品价格</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1、对学生食堂经营的各种食品采取按全成本销售；</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2、饭菜足量、质量好。</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食品价格未按规定标准执行，每发现一个品种扣0.5分，扣完为止。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征询意见与抽查相结合</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设备设施</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1、设备设施完好率100%；</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2、各种设备的保管由专人负责，对因保管不善造成的遗失、损坏货移做他用负全责。</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设备设施损坏后未及时上报修理或更换，设备设施存在油污，一次一项扣0.2分，扣完为止；无专人负责，造成遗失、损坏扣1分，并照价赔偿。</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满意率</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1、餐饮服务满意率须符合相关要求，达到80%，虚心听取各方不同意见，对存在的问题及时整改；</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2、保质保量地完成甲方下达的临时性任务；</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3、如发生食物中毒现象，一票否决。</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不到80%，每低1个百分点扣1分，对发现问题不及时整改，一次扣1分；不能保证完成甲方下达的临时性任务一次扣1分；扣完为止。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不定期征求相应职工意见</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bl>
    <w:p>
      <w:pPr>
        <w:wordWrap w:val="0"/>
        <w:spacing w:line="280" w:lineRule="exact"/>
        <w:rPr>
          <w:rFonts w:ascii="宋体" w:hAnsi="宋体" w:cs="宋体"/>
          <w:snapToGrid w:val="0"/>
          <w:color w:val="000000" w:themeColor="text1"/>
          <w:kern w:val="0"/>
          <w:highlight w:val="none"/>
          <w14:textFill>
            <w14:solidFill>
              <w14:schemeClr w14:val="tx1"/>
            </w14:solidFill>
          </w14:textFill>
        </w:rPr>
      </w:pPr>
    </w:p>
    <w:p>
      <w:pPr>
        <w:wordWrap w:val="0"/>
        <w:spacing w:line="280" w:lineRule="exac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考评综合得分：</w:t>
      </w:r>
    </w:p>
    <w:p>
      <w:pPr>
        <w:wordWrap w:val="0"/>
        <w:rPr>
          <w:rFonts w:ascii="宋体" w:hAnsi="宋体" w:cs="宋体"/>
          <w:snapToGrid w:val="0"/>
          <w:color w:val="000000" w:themeColor="text1"/>
          <w:kern w:val="0"/>
          <w:highlight w:val="none"/>
          <w14:textFill>
            <w14:solidFill>
              <w14:schemeClr w14:val="tx1"/>
            </w14:solidFill>
          </w14:textFill>
        </w:rPr>
      </w:pPr>
    </w:p>
    <w:p>
      <w:pP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p>
    <w:p>
      <w:pPr>
        <w:wordWrap w:val="0"/>
        <w:spacing w:line="360" w:lineRule="auto"/>
        <w:jc w:val="center"/>
        <w:rPr>
          <w:rFonts w:ascii="宋体" w:hAnsi="宋体" w:cs="宋体"/>
          <w:b/>
          <w:bCs/>
          <w:snapToGrid w:val="0"/>
          <w:color w:val="000000" w:themeColor="text1"/>
          <w:kern w:val="0"/>
          <w:sz w:val="28"/>
          <w:szCs w:val="28"/>
          <w:highlight w:val="none"/>
          <w14:textFill>
            <w14:solidFill>
              <w14:schemeClr w14:val="tx1"/>
            </w14:solidFill>
          </w14:textFill>
        </w:rPr>
      </w:pPr>
      <w:r>
        <w:rPr>
          <w:rFonts w:hint="eastAsia" w:ascii="宋体" w:hAnsi="宋体" w:cs="宋体"/>
          <w:b/>
          <w:bCs/>
          <w:snapToGrid w:val="0"/>
          <w:color w:val="000000" w:themeColor="text1"/>
          <w:kern w:val="0"/>
          <w:sz w:val="28"/>
          <w:szCs w:val="28"/>
          <w:highlight w:val="none"/>
          <w14:textFill>
            <w14:solidFill>
              <w14:schemeClr w14:val="tx1"/>
            </w14:solidFill>
          </w14:textFill>
        </w:rPr>
        <w:t>附件2：师生餐饮满意度调查表</w:t>
      </w:r>
    </w:p>
    <w:p>
      <w:pPr>
        <w:pStyle w:val="22"/>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各位老师、同学们：</w:t>
      </w:r>
    </w:p>
    <w:p>
      <w:pPr>
        <w:pStyle w:val="22"/>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大家好！为营造食堂良好的经营服务环境，加强对食堂的监督管理和日常考核，根据学校食堂招标文件要求和合同约定，学校总务处定期开展各食堂经营服务情况满意度调查，请广大老师、同学们根据实际就餐情况和日常所见，对各家食堂的相关情况给予客观实事求是的</w:t>
      </w:r>
      <w:r>
        <w:rPr>
          <w:rFonts w:hint="eastAsia"/>
          <w:color w:val="000000" w:themeColor="text1"/>
          <w:sz w:val="24"/>
          <w:szCs w:val="24"/>
          <w:highlight w:val="none"/>
          <w:lang w:val="en-US" w:eastAsia="zh-CN"/>
          <w14:textFill>
            <w14:solidFill>
              <w14:schemeClr w14:val="tx1"/>
            </w14:solidFill>
          </w14:textFill>
        </w:rPr>
        <w:t>评分</w:t>
      </w:r>
      <w:r>
        <w:rPr>
          <w:rFonts w:hint="eastAsia"/>
          <w:color w:val="000000" w:themeColor="text1"/>
          <w:sz w:val="24"/>
          <w:szCs w:val="24"/>
          <w:highlight w:val="none"/>
          <w14:textFill>
            <w14:solidFill>
              <w14:schemeClr w14:val="tx1"/>
            </w14:solidFill>
          </w14:textFill>
        </w:rPr>
        <w:t>，并提出宝贵的意见</w:t>
      </w:r>
      <w:r>
        <w:rPr>
          <w:rFonts w:hint="eastAsia"/>
          <w:color w:val="000000" w:themeColor="text1"/>
          <w:sz w:val="24"/>
          <w:szCs w:val="24"/>
          <w:highlight w:val="none"/>
          <w:lang w:val="en-US" w:eastAsia="zh-CN"/>
          <w14:textFill>
            <w14:solidFill>
              <w14:schemeClr w14:val="tx1"/>
            </w14:solidFill>
          </w14:textFill>
        </w:rPr>
        <w:t>和</w:t>
      </w:r>
      <w:r>
        <w:rPr>
          <w:rFonts w:hint="eastAsia"/>
          <w:color w:val="000000" w:themeColor="text1"/>
          <w:sz w:val="24"/>
          <w:szCs w:val="24"/>
          <w:highlight w:val="none"/>
          <w14:textFill>
            <w14:solidFill>
              <w14:schemeClr w14:val="tx1"/>
            </w14:solidFill>
          </w14:textFill>
        </w:rPr>
        <w:t>建议，学校将以此考评结果作为食堂合同续签的重要依据，并督促各食堂改进经营管理，为大家提供</w:t>
      </w:r>
      <w:r>
        <w:rPr>
          <w:rFonts w:hint="eastAsia"/>
          <w:color w:val="000000" w:themeColor="text1"/>
          <w:sz w:val="24"/>
          <w:szCs w:val="24"/>
          <w:highlight w:val="none"/>
          <w:lang w:val="en-US" w:eastAsia="zh-CN"/>
          <w14:textFill>
            <w14:solidFill>
              <w14:schemeClr w14:val="tx1"/>
            </w14:solidFill>
          </w14:textFill>
        </w:rPr>
        <w:t>更加优质</w:t>
      </w:r>
      <w:r>
        <w:rPr>
          <w:rFonts w:hint="eastAsia"/>
          <w:color w:val="000000" w:themeColor="text1"/>
          <w:sz w:val="24"/>
          <w:szCs w:val="24"/>
          <w:highlight w:val="none"/>
          <w14:textFill>
            <w14:solidFill>
              <w14:schemeClr w14:val="tx1"/>
            </w14:solidFill>
          </w14:textFill>
        </w:rPr>
        <w:t>的餐饮体验服务。谢谢！</w:t>
      </w:r>
    </w:p>
    <w:p>
      <w:pPr>
        <w:pStyle w:val="22"/>
        <w:spacing w:line="400" w:lineRule="exact"/>
        <w:ind w:firstLine="480"/>
        <w:rPr>
          <w:color w:val="000000" w:themeColor="text1"/>
          <w:sz w:val="24"/>
          <w:szCs w:val="24"/>
          <w:highlight w:val="none"/>
          <w14:textFill>
            <w14:solidFill>
              <w14:schemeClr w14:val="tx1"/>
            </w14:solidFill>
          </w14:textFill>
        </w:rPr>
      </w:pPr>
    </w:p>
    <w:tbl>
      <w:tblPr>
        <w:tblStyle w:val="19"/>
        <w:tblW w:w="5267"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9"/>
        <w:gridCol w:w="1274"/>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00" w:type="pct"/>
            <w:gridSpan w:val="4"/>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师生餐饮满意度调查表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姓名</w:t>
            </w:r>
          </w:p>
        </w:tc>
        <w:tc>
          <w:tcPr>
            <w:tcW w:w="2111"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p>
        </w:tc>
        <w:tc>
          <w:tcPr>
            <w:tcW w:w="669"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填表日期</w:t>
            </w:r>
          </w:p>
        </w:tc>
        <w:tc>
          <w:tcPr>
            <w:tcW w:w="1754"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2111"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调查事项</w:t>
            </w:r>
          </w:p>
        </w:tc>
        <w:tc>
          <w:tcPr>
            <w:tcW w:w="669"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分值</w:t>
            </w:r>
          </w:p>
        </w:tc>
        <w:tc>
          <w:tcPr>
            <w:tcW w:w="1754"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备注（建议意见）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食堂的饭菜价格是否合理、明码标价、重量称量等情况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食堂经营服务人员的工作态度情况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食堂餐饮的花色品种、特色餐饮和大伙档口比例、免费汤分量口味情况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食堂非转基因油、一卡通使用、杜绝饮料添加剂使用情况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食堂环境卫生、防蚊防蝇防鼠、人员仪表着装、餐桌椅摆放、餐具清洗消毒情况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w:t>
            </w:r>
          </w:p>
        </w:tc>
        <w:tc>
          <w:tcPr>
            <w:tcW w:w="2111" w:type="pct"/>
          </w:tcPr>
          <w:p>
            <w:pPr>
              <w:wordWrap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饭菜质量方面菜香饭熟，无夹生饭，无头发丝、钢丝球、虫子或不净菜情况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w:t>
            </w:r>
          </w:p>
        </w:tc>
        <w:tc>
          <w:tcPr>
            <w:tcW w:w="2111" w:type="pct"/>
          </w:tcPr>
          <w:p>
            <w:pPr>
              <w:wordWrap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操作间和库房管理规范有序，符合安全、卫生要求情况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8</w:t>
            </w:r>
          </w:p>
        </w:tc>
        <w:tc>
          <w:tcPr>
            <w:tcW w:w="2111" w:type="pct"/>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物资采购符合健康安全的要求，采购渠道正规并定期在食堂公布有关合格证情况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9</w:t>
            </w:r>
          </w:p>
        </w:tc>
        <w:tc>
          <w:tcPr>
            <w:tcW w:w="2111" w:type="pct"/>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留样记录、各类制度上墙及专业人员配备情况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10</w:t>
            </w:r>
          </w:p>
        </w:tc>
        <w:tc>
          <w:tcPr>
            <w:tcW w:w="2111" w:type="pct"/>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光盘行动宣传、节约水电气并做好安全防范工作情况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bl>
    <w:p>
      <w:pPr>
        <w:pStyle w:val="22"/>
        <w:spacing w:line="440" w:lineRule="exact"/>
        <w:ind w:firstLine="0" w:firstLineChars="0"/>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br w:type="page"/>
      </w:r>
    </w:p>
    <w:bookmarkEnd w:id="184"/>
    <w:bookmarkEnd w:id="185"/>
    <w:bookmarkEnd w:id="186"/>
    <w:p>
      <w:pPr>
        <w:pStyle w:val="7"/>
        <w:rPr>
          <w:snapToGrid w:val="0"/>
          <w:color w:val="000000" w:themeColor="text1"/>
          <w:kern w:val="0"/>
          <w:highlight w:val="none"/>
          <w14:textFill>
            <w14:solidFill>
              <w14:schemeClr w14:val="tx1"/>
            </w14:solidFill>
          </w14:textFill>
        </w:rPr>
      </w:pPr>
      <w:bookmarkStart w:id="187" w:name="_Toc20747"/>
      <w:bookmarkStart w:id="188" w:name="_Toc27546"/>
      <w:bookmarkStart w:id="189" w:name="_Toc13530"/>
      <w:bookmarkStart w:id="190" w:name="_Toc8643"/>
      <w:r>
        <w:rPr>
          <w:rFonts w:hint="eastAsia"/>
          <w:snapToGrid w:val="0"/>
          <w:color w:val="000000" w:themeColor="text1"/>
          <w:kern w:val="0"/>
          <w:highlight w:val="none"/>
          <w14:textFill>
            <w14:solidFill>
              <w14:schemeClr w14:val="tx1"/>
            </w14:solidFill>
          </w14:textFill>
        </w:rPr>
        <w:t>第七章 投标文件格式</w:t>
      </w:r>
      <w:bookmarkEnd w:id="180"/>
      <w:bookmarkEnd w:id="187"/>
      <w:bookmarkEnd w:id="188"/>
      <w:bookmarkEnd w:id="189"/>
      <w:bookmarkEnd w:id="190"/>
    </w:p>
    <w:p>
      <w:pPr>
        <w:wordWrap w:val="0"/>
        <w:jc w:val="center"/>
        <w:rPr>
          <w:rFonts w:ascii="宋体" w:hAnsi="宋体" w:cs="宋体"/>
          <w:b/>
          <w:bCs/>
          <w:snapToGrid w:val="0"/>
          <w:color w:val="000000" w:themeColor="text1"/>
          <w:kern w:val="0"/>
          <w:sz w:val="32"/>
          <w:szCs w:val="32"/>
          <w:highlight w:val="none"/>
          <w14:textFill>
            <w14:solidFill>
              <w14:schemeClr w14:val="tx1"/>
            </w14:solidFill>
          </w14:textFill>
        </w:rPr>
      </w:pPr>
      <w:r>
        <w:rPr>
          <w:rFonts w:hint="eastAsia" w:ascii="宋体" w:hAnsi="宋体" w:cs="宋体"/>
          <w:b/>
          <w:bCs/>
          <w:snapToGrid w:val="0"/>
          <w:color w:val="000000" w:themeColor="text1"/>
          <w:kern w:val="0"/>
          <w:sz w:val="32"/>
          <w:szCs w:val="32"/>
          <w:highlight w:val="none"/>
          <w14:textFill>
            <w14:solidFill>
              <w14:schemeClr w14:val="tx1"/>
            </w14:solidFill>
          </w14:textFill>
        </w:rPr>
        <w:t>投标书格式</w:t>
      </w:r>
    </w:p>
    <w:p>
      <w:pPr>
        <w:wordWrap w:val="0"/>
        <w:spacing w:line="500" w:lineRule="exact"/>
        <w:rPr>
          <w:rFonts w:ascii="宋体" w:hAnsi="宋体" w:cs="宋体"/>
          <w:snapToGrid w:val="0"/>
          <w:color w:val="000000" w:themeColor="text1"/>
          <w:kern w:val="0"/>
          <w:szCs w:val="21"/>
          <w:highlight w:val="none"/>
          <w14:textFill>
            <w14:solidFill>
              <w14:schemeClr w14:val="tx1"/>
            </w14:solidFill>
          </w14:textFill>
        </w:rPr>
      </w:pPr>
    </w:p>
    <w:p>
      <w:pPr>
        <w:wordWrap w:val="0"/>
        <w:spacing w:line="500" w:lineRule="exact"/>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项目名称：</w:t>
      </w:r>
    </w:p>
    <w:p>
      <w:pPr>
        <w:wordWrap w:val="0"/>
        <w:spacing w:line="500" w:lineRule="exact"/>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项目编号：</w:t>
      </w:r>
    </w:p>
    <w:p>
      <w:pPr>
        <w:wordWrap w:val="0"/>
        <w:spacing w:line="500" w:lineRule="exact"/>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所投包号：</w:t>
      </w:r>
    </w:p>
    <w:p>
      <w:pPr>
        <w:wordWrap w:val="0"/>
        <w:spacing w:line="900" w:lineRule="exact"/>
        <w:rPr>
          <w:rFonts w:ascii="宋体" w:hAnsi="宋体" w:cs="宋体"/>
          <w:snapToGrid w:val="0"/>
          <w:color w:val="000000" w:themeColor="text1"/>
          <w:kern w:val="0"/>
          <w:szCs w:val="21"/>
          <w:highlight w:val="none"/>
          <w14:textFill>
            <w14:solidFill>
              <w14:schemeClr w14:val="tx1"/>
            </w14:solidFill>
          </w14:textFill>
        </w:rPr>
      </w:pPr>
    </w:p>
    <w:p>
      <w:pPr>
        <w:wordWrap w:val="0"/>
        <w:spacing w:line="1200" w:lineRule="auto"/>
        <w:jc w:val="center"/>
        <w:rPr>
          <w:rFonts w:ascii="宋体" w:hAnsi="宋体" w:cs="宋体"/>
          <w:b/>
          <w:bCs/>
          <w:snapToGrid w:val="0"/>
          <w:color w:val="000000" w:themeColor="text1"/>
          <w:kern w:val="0"/>
          <w:sz w:val="84"/>
          <w:szCs w:val="84"/>
          <w:highlight w:val="none"/>
          <w14:textFill>
            <w14:solidFill>
              <w14:schemeClr w14:val="tx1"/>
            </w14:solidFill>
          </w14:textFill>
        </w:rPr>
      </w:pPr>
      <w:r>
        <w:rPr>
          <w:rFonts w:hint="eastAsia" w:ascii="宋体" w:hAnsi="宋体" w:cs="宋体"/>
          <w:b/>
          <w:bCs/>
          <w:snapToGrid w:val="0"/>
          <w:color w:val="000000" w:themeColor="text1"/>
          <w:kern w:val="0"/>
          <w:sz w:val="84"/>
          <w:szCs w:val="84"/>
          <w:highlight w:val="none"/>
          <w14:textFill>
            <w14:solidFill>
              <w14:schemeClr w14:val="tx1"/>
            </w14:solidFill>
          </w14:textFill>
        </w:rPr>
        <w:t>投</w:t>
      </w:r>
    </w:p>
    <w:p>
      <w:pPr>
        <w:wordWrap w:val="0"/>
        <w:spacing w:line="1200" w:lineRule="auto"/>
        <w:jc w:val="center"/>
        <w:rPr>
          <w:rFonts w:ascii="宋体" w:hAnsi="宋体" w:cs="宋体"/>
          <w:b/>
          <w:bCs/>
          <w:snapToGrid w:val="0"/>
          <w:color w:val="000000" w:themeColor="text1"/>
          <w:kern w:val="0"/>
          <w:sz w:val="84"/>
          <w:szCs w:val="84"/>
          <w:highlight w:val="none"/>
          <w14:textFill>
            <w14:solidFill>
              <w14:schemeClr w14:val="tx1"/>
            </w14:solidFill>
          </w14:textFill>
        </w:rPr>
      </w:pPr>
      <w:r>
        <w:rPr>
          <w:rFonts w:hint="eastAsia" w:ascii="宋体" w:hAnsi="宋体" w:cs="宋体"/>
          <w:b/>
          <w:bCs/>
          <w:snapToGrid w:val="0"/>
          <w:color w:val="000000" w:themeColor="text1"/>
          <w:kern w:val="0"/>
          <w:sz w:val="84"/>
          <w:szCs w:val="84"/>
          <w:highlight w:val="none"/>
          <w14:textFill>
            <w14:solidFill>
              <w14:schemeClr w14:val="tx1"/>
            </w14:solidFill>
          </w14:textFill>
        </w:rPr>
        <w:t>标</w:t>
      </w:r>
    </w:p>
    <w:p>
      <w:pPr>
        <w:wordWrap w:val="0"/>
        <w:spacing w:line="1200" w:lineRule="auto"/>
        <w:jc w:val="center"/>
        <w:rPr>
          <w:rFonts w:ascii="宋体" w:hAnsi="宋体" w:cs="宋体"/>
          <w:b/>
          <w:bCs/>
          <w:snapToGrid w:val="0"/>
          <w:color w:val="000000" w:themeColor="text1"/>
          <w:kern w:val="0"/>
          <w:sz w:val="84"/>
          <w:szCs w:val="84"/>
          <w:highlight w:val="none"/>
          <w14:textFill>
            <w14:solidFill>
              <w14:schemeClr w14:val="tx1"/>
            </w14:solidFill>
          </w14:textFill>
        </w:rPr>
      </w:pPr>
      <w:r>
        <w:rPr>
          <w:rFonts w:hint="eastAsia" w:ascii="宋体" w:hAnsi="宋体" w:cs="宋体"/>
          <w:b/>
          <w:bCs/>
          <w:snapToGrid w:val="0"/>
          <w:color w:val="000000" w:themeColor="text1"/>
          <w:kern w:val="0"/>
          <w:sz w:val="84"/>
          <w:szCs w:val="84"/>
          <w:highlight w:val="none"/>
          <w14:textFill>
            <w14:solidFill>
              <w14:schemeClr w14:val="tx1"/>
            </w14:solidFill>
          </w14:textFill>
        </w:rPr>
        <w:t>书</w:t>
      </w:r>
    </w:p>
    <w:p>
      <w:pPr>
        <w:wordWrap w:val="0"/>
        <w:spacing w:line="900" w:lineRule="exact"/>
        <w:jc w:val="center"/>
        <w:rPr>
          <w:rFonts w:ascii="宋体" w:hAnsi="宋体" w:cs="宋体"/>
          <w:snapToGrid w:val="0"/>
          <w:color w:val="000000" w:themeColor="text1"/>
          <w:kern w:val="0"/>
          <w:sz w:val="84"/>
          <w:szCs w:val="84"/>
          <w:highlight w:val="none"/>
          <w14:textFill>
            <w14:solidFill>
              <w14:schemeClr w14:val="tx1"/>
            </w14:solidFill>
          </w14:textFill>
        </w:rPr>
      </w:pPr>
    </w:p>
    <w:p>
      <w:pPr>
        <w:wordWrap w:val="0"/>
        <w:spacing w:line="500" w:lineRule="exact"/>
        <w:jc w:val="center"/>
        <w:rPr>
          <w:rFonts w:ascii="宋体" w:hAnsi="宋体" w:cs="宋体"/>
          <w:snapToGrid w:val="0"/>
          <w:color w:val="000000" w:themeColor="text1"/>
          <w:kern w:val="0"/>
          <w:szCs w:val="21"/>
          <w:highlight w:val="none"/>
          <w14:textFill>
            <w14:solidFill>
              <w14:schemeClr w14:val="tx1"/>
            </w14:solidFill>
          </w14:textFill>
        </w:rPr>
      </w:pPr>
    </w:p>
    <w:p>
      <w:pPr>
        <w:wordWrap w:val="0"/>
        <w:spacing w:line="500" w:lineRule="exact"/>
        <w:rPr>
          <w:rFonts w:ascii="宋体" w:hAnsi="宋体" w:cs="宋体"/>
          <w:snapToGrid w:val="0"/>
          <w:color w:val="000000" w:themeColor="text1"/>
          <w:kern w:val="0"/>
          <w:szCs w:val="2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wordWrap w:val="0"/>
        <w:spacing w:line="500" w:lineRule="exact"/>
        <w:jc w:val="center"/>
        <w:rPr>
          <w:rFonts w:ascii="宋体" w:hAnsi="宋体" w:cs="宋体"/>
          <w:snapToGrid w:val="0"/>
          <w:color w:val="000000" w:themeColor="text1"/>
          <w:kern w:val="0"/>
          <w:szCs w:val="21"/>
          <w:highlight w:val="none"/>
          <w14:textFill>
            <w14:solidFill>
              <w14:schemeClr w14:val="tx1"/>
            </w14:solidFill>
          </w14:textFill>
        </w:rPr>
      </w:pPr>
    </w:p>
    <w:p>
      <w:pPr>
        <w:wordWrap w:val="0"/>
        <w:spacing w:line="720" w:lineRule="auto"/>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投 标 人：                  （签章）</w:t>
      </w:r>
    </w:p>
    <w:p>
      <w:pPr>
        <w:wordWrap w:val="0"/>
        <w:spacing w:line="720" w:lineRule="auto"/>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年      月      日</w:t>
      </w:r>
      <w:bookmarkStart w:id="191" w:name="_Hlk450146465"/>
      <w:bookmarkStart w:id="192" w:name="_Toc272141473"/>
      <w:bookmarkStart w:id="193" w:name="_Toc17819"/>
      <w:bookmarkStart w:id="194" w:name="_Toc482084478"/>
      <w:bookmarkStart w:id="195" w:name="_Toc22457"/>
      <w:bookmarkStart w:id="196" w:name="_Toc19920"/>
      <w:bookmarkStart w:id="197" w:name="_Toc462234316"/>
      <w:bookmarkStart w:id="198" w:name="_Toc11303"/>
      <w:bookmarkStart w:id="199" w:name="_Toc293560330"/>
    </w:p>
    <w:bookmarkEnd w:id="191"/>
    <w:bookmarkEnd w:id="192"/>
    <w:bookmarkEnd w:id="193"/>
    <w:bookmarkEnd w:id="194"/>
    <w:bookmarkEnd w:id="195"/>
    <w:bookmarkEnd w:id="196"/>
    <w:bookmarkEnd w:id="197"/>
    <w:bookmarkEnd w:id="198"/>
    <w:bookmarkEnd w:id="199"/>
    <w:p>
      <w:pPr>
        <w:spacing w:beforeLines="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w:t>
      </w:r>
      <w:r>
        <w:rPr>
          <w:rFonts w:ascii="宋体" w:hAnsi="宋体"/>
          <w:b/>
          <w:color w:val="000000" w:themeColor="text1"/>
          <w:sz w:val="32"/>
          <w:szCs w:val="32"/>
          <w:highlight w:val="none"/>
          <w14:textFill>
            <w14:solidFill>
              <w14:schemeClr w14:val="tx1"/>
            </w14:solidFill>
          </w14:textFill>
        </w:rPr>
        <w:t>投标</w:t>
      </w:r>
      <w:r>
        <w:rPr>
          <w:rFonts w:hint="eastAsia" w:ascii="宋体" w:hAnsi="宋体"/>
          <w:b/>
          <w:color w:val="000000" w:themeColor="text1"/>
          <w:sz w:val="32"/>
          <w:szCs w:val="32"/>
          <w:highlight w:val="none"/>
          <w14:textFill>
            <w14:solidFill>
              <w14:schemeClr w14:val="tx1"/>
            </w14:solidFill>
          </w14:textFill>
        </w:rPr>
        <w:t>声明</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皖北卫生</w:t>
      </w:r>
      <w:r>
        <w:rPr>
          <w:rFonts w:ascii="宋体" w:hAnsi="宋体"/>
          <w:color w:val="000000" w:themeColor="text1"/>
          <w:sz w:val="24"/>
          <w:highlight w:val="none"/>
          <w14:textFill>
            <w14:solidFill>
              <w14:schemeClr w14:val="tx1"/>
            </w14:solidFill>
          </w14:textFill>
        </w:rPr>
        <w:t>职业学院：</w:t>
      </w:r>
    </w:p>
    <w:p>
      <w:pPr>
        <w:autoSpaceDE w:val="0"/>
        <w:autoSpaceDN w:val="0"/>
        <w:adjustRightIn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(投标单位全称)授权(姓名)(职务)为全权代表，参加你</w:t>
      </w:r>
      <w:r>
        <w:rPr>
          <w:rFonts w:hint="eastAsia" w:ascii="宋体" w:hAnsi="宋体"/>
          <w:color w:val="000000" w:themeColor="text1"/>
          <w:sz w:val="24"/>
          <w:highlight w:val="none"/>
          <w14:textFill>
            <w14:solidFill>
              <w14:schemeClr w14:val="tx1"/>
            </w14:solidFill>
          </w14:textFill>
        </w:rPr>
        <w:t>院采购项目</w:t>
      </w:r>
      <w:r>
        <w:rPr>
          <w:rFonts w:ascii="宋体" w:hAnsi="宋体"/>
          <w:color w:val="000000" w:themeColor="text1"/>
          <w:sz w:val="24"/>
          <w:highlight w:val="none"/>
          <w14:textFill>
            <w14:solidFill>
              <w14:schemeClr w14:val="tx1"/>
            </w14:solidFill>
          </w14:textFill>
        </w:rPr>
        <w:t>招标的有关活动，并宣布同意如下：</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我方愿意按照招标文件的全部要求进行投标(投标内容及价格以投标文件为准)；</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我方完全同意放弃对招标文件有误解的辩解权利；</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我方将按招标文件的规定履行合同责任和义务；</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如果我方在投标有效期内撤回投标，投标保证金将被贵方没收；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我方同意提供按照贵方要求的与其投标有关的一切数据或资料，理解贵方选择的评标方法；</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与本投标有关的一切正式往来通讯请寄：</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地址：                                       邮编：</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电话：                                       传真：</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投标方代表姓名、职务：</w:t>
      </w:r>
    </w:p>
    <w:p>
      <w:pPr>
        <w:spacing w:line="360" w:lineRule="auto"/>
        <w:ind w:left="4560" w:hanging="4560" w:hangingChars="1900"/>
        <w:rPr>
          <w:rFonts w:ascii="宋体" w:hAnsi="宋体"/>
          <w:color w:val="000000" w:themeColor="text1"/>
          <w:sz w:val="24"/>
          <w:highlight w:val="none"/>
          <w14:textFill>
            <w14:solidFill>
              <w14:schemeClr w14:val="tx1"/>
            </w14:solidFill>
          </w14:textFill>
        </w:rPr>
      </w:pPr>
    </w:p>
    <w:p>
      <w:pPr>
        <w:spacing w:line="360" w:lineRule="auto"/>
        <w:ind w:left="4560" w:hanging="4560" w:hangingChars="1900"/>
        <w:rPr>
          <w:rFonts w:ascii="宋体" w:hAnsi="宋体"/>
          <w:color w:val="000000" w:themeColor="text1"/>
          <w:sz w:val="24"/>
          <w:highlight w:val="none"/>
          <w14:textFill>
            <w14:solidFill>
              <w14:schemeClr w14:val="tx1"/>
            </w14:solidFill>
          </w14:textFill>
        </w:rPr>
      </w:pPr>
    </w:p>
    <w:p>
      <w:pPr>
        <w:spacing w:line="360" w:lineRule="auto"/>
        <w:ind w:left="4560" w:hanging="4560" w:hangingChars="1900"/>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投标单位名称(加盖单位公章)</w:t>
      </w:r>
    </w:p>
    <w:p>
      <w:pPr>
        <w:spacing w:line="360" w:lineRule="auto"/>
        <w:ind w:firstLine="3360" w:firstLineChars="1400"/>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    年    月    日</w:t>
      </w:r>
    </w:p>
    <w:p>
      <w:pPr>
        <w:spacing w:line="360" w:lineRule="auto"/>
        <w:ind w:firstLine="3360" w:firstLineChars="1400"/>
        <w:jc w:val="right"/>
        <w:rPr>
          <w:rFonts w:ascii="宋体" w:hAnsi="宋体"/>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beforeLines="50" w:afterLines="50" w:line="360" w:lineRule="auto"/>
        <w:jc w:val="center"/>
        <w:rPr>
          <w:rFonts w:hint="eastAsia" w:ascii="宋体" w:hAnsi="宋体"/>
          <w:b/>
          <w:color w:val="000000" w:themeColor="text1"/>
          <w:sz w:val="32"/>
          <w:szCs w:val="32"/>
          <w:highlight w:val="none"/>
          <w14:textFill>
            <w14:solidFill>
              <w14:schemeClr w14:val="tx1"/>
            </w14:solidFill>
          </w14:textFill>
        </w:rPr>
      </w:pPr>
    </w:p>
    <w:p>
      <w:pPr>
        <w:spacing w:beforeLines="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二、法定代表人身份证明</w:t>
      </w:r>
    </w:p>
    <w:p>
      <w:pPr>
        <w:pStyle w:val="10"/>
        <w:spacing w:line="440" w:lineRule="exact"/>
        <w:ind w:firstLine="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成立时间：年月日</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名：性别：年龄：______</w:t>
      </w:r>
    </w:p>
    <w:p>
      <w:pPr>
        <w:pStyle w:val="10"/>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职务：系：</w:t>
      </w:r>
      <w:r>
        <w:rPr>
          <w:rFonts w:hint="eastAsia" w:ascii="宋体" w:hAnsi="宋体" w:cs="宋体"/>
          <w:color w:val="000000" w:themeColor="text1"/>
          <w:sz w:val="24"/>
          <w:szCs w:val="24"/>
          <w:highlight w:val="none"/>
          <w:u w:val="single"/>
          <w14:textFill>
            <w14:solidFill>
              <w14:schemeClr w14:val="tx1"/>
            </w14:solidFill>
          </w14:textFill>
        </w:rPr>
        <w:t xml:space="preserve">          (投标人单位名称)            </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的法定代表人。</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pPr>
        <w:pStyle w:val="10"/>
        <w:spacing w:line="440" w:lineRule="exact"/>
        <w:ind w:firstLine="3700" w:firstLineChars="15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投标人(盖法人章)：</w:t>
      </w:r>
    </w:p>
    <w:p>
      <w:pPr>
        <w:pStyle w:val="10"/>
        <w:spacing w:line="440" w:lineRule="exact"/>
        <w:ind w:firstLine="3720" w:firstLineChars="15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期：年月日</w:t>
      </w:r>
    </w:p>
    <w:p>
      <w:pPr>
        <w:pStyle w:val="10"/>
        <w:kinsoku w:val="0"/>
        <w:topLinePunct/>
        <w:autoSpaceDE w:val="0"/>
        <w:autoSpaceDN w:val="0"/>
        <w:snapToGrid w:val="0"/>
        <w:spacing w:before="100" w:beforeAutospacing="1" w:after="100" w:afterAutospacing="1" w:line="440" w:lineRule="exact"/>
        <w:ind w:right="210" w:firstLine="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（粘身份证复印件）</w:t>
      </w:r>
    </w:p>
    <w:p>
      <w:pPr>
        <w:spacing w:line="440" w:lineRule="exact"/>
        <w:ind w:left="4560" w:hanging="4560" w:hangingChars="1900"/>
        <w:rPr>
          <w:rFonts w:ascii="宋体" w:hAnsi="宋体" w:cs="宋体"/>
          <w:color w:val="000000" w:themeColor="text1"/>
          <w:sz w:val="24"/>
          <w:highlight w:val="none"/>
          <w14:textFill>
            <w14:solidFill>
              <w14:schemeClr w14:val="tx1"/>
            </w14:solidFill>
          </w14:textFill>
        </w:rPr>
      </w:pPr>
    </w:p>
    <w:p>
      <w:pPr>
        <w:spacing w:line="440" w:lineRule="exact"/>
        <w:ind w:left="4560" w:hanging="4560" w:hangingChars="1900"/>
        <w:rPr>
          <w:rFonts w:ascii="宋体" w:hAnsi="宋体" w:cs="宋体"/>
          <w:color w:val="000000" w:themeColor="text1"/>
          <w:sz w:val="24"/>
          <w:highlight w:val="none"/>
          <w14:textFill>
            <w14:solidFill>
              <w14:schemeClr w14:val="tx1"/>
            </w14:solidFill>
          </w14:textFill>
        </w:rPr>
      </w:pPr>
    </w:p>
    <w:p>
      <w:pPr>
        <w:spacing w:line="360" w:lineRule="auto"/>
        <w:ind w:firstLine="3920" w:firstLineChars="1400"/>
        <w:jc w:val="right"/>
        <w:rPr>
          <w:rFonts w:ascii="宋体" w:hAnsi="宋体"/>
          <w:color w:val="000000" w:themeColor="text1"/>
          <w:sz w:val="28"/>
          <w:szCs w:val="28"/>
          <w:highlight w:val="none"/>
          <w14:textFill>
            <w14:solidFill>
              <w14:schemeClr w14:val="tx1"/>
            </w14:solidFill>
          </w14:textFill>
        </w:rPr>
      </w:pPr>
    </w:p>
    <w:p>
      <w:pPr>
        <w:widowControl/>
        <w:spacing w:line="360" w:lineRule="auto"/>
        <w:outlineLvl w:val="0"/>
        <w:rPr>
          <w:rFonts w:ascii="宋体" w:hAnsi="宋体"/>
          <w:b/>
          <w:color w:val="000000" w:themeColor="text1"/>
          <w:sz w:val="32"/>
          <w:szCs w:val="32"/>
          <w:highlight w:val="none"/>
          <w14:textFill>
            <w14:solidFill>
              <w14:schemeClr w14:val="tx1"/>
            </w14:solidFill>
          </w14:textFill>
        </w:rPr>
        <w:sectPr>
          <w:pgSz w:w="11906" w:h="16838"/>
          <w:pgMar w:top="1440" w:right="1566" w:bottom="1440" w:left="1520" w:header="851" w:footer="992" w:gutter="0"/>
          <w:pgNumType w:fmt="numberInDash"/>
          <w:cols w:space="720" w:num="1"/>
          <w:docGrid w:type="lines" w:linePitch="312" w:charSpace="0"/>
        </w:sectPr>
      </w:pPr>
    </w:p>
    <w:p>
      <w:pPr>
        <w:widowControl/>
        <w:spacing w:beforeLines="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w:t>
      </w:r>
      <w:r>
        <w:rPr>
          <w:rFonts w:ascii="宋体" w:hAnsi="宋体"/>
          <w:b/>
          <w:color w:val="000000" w:themeColor="text1"/>
          <w:sz w:val="32"/>
          <w:szCs w:val="32"/>
          <w:highlight w:val="none"/>
          <w14:textFill>
            <w14:solidFill>
              <w14:schemeClr w14:val="tx1"/>
            </w14:solidFill>
          </w14:textFill>
        </w:rPr>
        <w:t>法定代表人委托书</w:t>
      </w:r>
    </w:p>
    <w:p>
      <w:pPr>
        <w:widowControl/>
        <w:spacing w:line="360" w:lineRule="auto"/>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(说明：法定代表人参加投标，不用此委托书)</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皖北卫生</w:t>
      </w:r>
      <w:r>
        <w:rPr>
          <w:rFonts w:ascii="宋体" w:hAnsi="宋体"/>
          <w:color w:val="000000" w:themeColor="text1"/>
          <w:sz w:val="24"/>
          <w:highlight w:val="none"/>
          <w14:textFill>
            <w14:solidFill>
              <w14:schemeClr w14:val="tx1"/>
            </w14:solidFill>
          </w14:textFill>
        </w:rPr>
        <w:t>职业学院：</w:t>
      </w:r>
    </w:p>
    <w:p>
      <w:pPr>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兹委托参加贵单位组织的项目招标活动，全权代表我单位处理有关事宜。附全权代表情况：</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姓名：       性别：        年龄：        职务：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电话：       传真：        邮政编码：   </w:t>
      </w:r>
    </w:p>
    <w:p>
      <w:pPr>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               详细通讯地址：</w:t>
      </w:r>
    </w:p>
    <w:p>
      <w:pPr>
        <w:spacing w:line="360" w:lineRule="auto"/>
        <w:ind w:left="6540" w:leftChars="2600" w:hanging="1080" w:hangingChars="450"/>
        <w:rPr>
          <w:rFonts w:ascii="宋体" w:hAnsi="宋体"/>
          <w:color w:val="000000" w:themeColor="text1"/>
          <w:sz w:val="24"/>
          <w:highlight w:val="none"/>
          <w14:textFill>
            <w14:solidFill>
              <w14:schemeClr w14:val="tx1"/>
            </w14:solidFill>
          </w14:textFill>
        </w:rPr>
      </w:pPr>
    </w:p>
    <w:p>
      <w:pPr>
        <w:spacing w:line="360" w:lineRule="auto"/>
        <w:ind w:left="6540" w:leftChars="2600" w:hanging="1080" w:hangingChars="4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单位名称(公章)</w:t>
      </w:r>
      <w:r>
        <w:rPr>
          <w:rFonts w:hint="eastAsia" w:ascii="宋体" w:hAnsi="宋体"/>
          <w:color w:val="000000" w:themeColor="text1"/>
          <w:sz w:val="24"/>
          <w:highlight w:val="none"/>
          <w14:textFill>
            <w14:solidFill>
              <w14:schemeClr w14:val="tx1"/>
            </w14:solidFill>
          </w14:textFill>
        </w:rPr>
        <w:t>：</w:t>
      </w:r>
    </w:p>
    <w:p>
      <w:pPr>
        <w:spacing w:line="360" w:lineRule="auto"/>
        <w:ind w:left="6540" w:leftChars="2600" w:hanging="1080" w:hangingChars="4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14:textFill>
            <w14:solidFill>
              <w14:schemeClr w14:val="tx1"/>
            </w14:solidFill>
          </w14:textFill>
        </w:rPr>
        <w:t>：</w:t>
      </w:r>
    </w:p>
    <w:p>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ascii="宋体" w:hAnsi="宋体"/>
          <w:color w:val="000000" w:themeColor="text1"/>
          <w:sz w:val="24"/>
          <w:highlight w:val="none"/>
          <w14:textFill>
            <w14:solidFill>
              <w14:schemeClr w14:val="tx1"/>
            </w14:solidFill>
          </w14:textFill>
        </w:rPr>
        <w:t>年     月     日</w:t>
      </w:r>
    </w:p>
    <w:p>
      <w:pPr>
        <w:ind w:firstLine="140" w:firstLineChars="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附：身份证复印件</w:t>
      </w:r>
    </w:p>
    <w:p>
      <w:pPr>
        <w:spacing w:line="360" w:lineRule="auto"/>
        <w:ind w:left="5601" w:leftChars="2667"/>
        <w:rPr>
          <w:rFonts w:ascii="宋体" w:hAnsi="宋体"/>
          <w:color w:val="000000" w:themeColor="text1"/>
          <w:sz w:val="24"/>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sectPr>
          <w:pgSz w:w="11906" w:h="16838"/>
          <w:pgMar w:top="1440" w:right="1586" w:bottom="1440" w:left="1500" w:header="851" w:footer="992" w:gutter="0"/>
          <w:pgNumType w:fmt="numberInDash"/>
          <w:cols w:space="720" w:num="1"/>
          <w:docGrid w:type="lines" w:linePitch="312" w:charSpace="0"/>
        </w:sectPr>
      </w:pPr>
    </w:p>
    <w:p>
      <w:pPr>
        <w:pStyle w:val="10"/>
        <w:kinsoku w:val="0"/>
        <w:topLinePunct/>
        <w:autoSpaceDE w:val="0"/>
        <w:autoSpaceDN w:val="0"/>
        <w:snapToGrid w:val="0"/>
        <w:spacing w:beforeLines="50" w:afterLines="50" w:line="360" w:lineRule="auto"/>
        <w:ind w:right="210" w:firstLine="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四、廉政承诺书</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一、为了保证皖北卫生职业学院公开招标活动的公平竞争，促进廉政建设，我公司承诺在参加学校采购活动时做到遵守法纪、法规和廉政建设各项规定，诚实守信，坚决拒绝商业贿赂，不发生如下不当行为：</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（一）不向采购组织方工作人员及其家庭成员提供以下不正当利益：</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1.以任何理由送给现金、有价证券、支付凭证和高档礼品；</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2.报销或支付应由其个人负担的费用；</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3.宴请或邀请去营业性娱乐场所活动； </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4.其它行贿及提供不正当利益的行为。</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（二）不和他人串通，或者利用不正当手段谋求中标。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（三）违反法律、法规和廉政规定，影响工程质量和供应质量</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二、我公司如实施了上述行为之一，自愿接受学校采购部门根据《政府采购法》及其相关法规给予的如下处罚：</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1.参加采购的成交无效；</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2.处以采购金额千分之五以上千分之十以下的罚款；</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3.对不良行为予以记录并公告；</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4.三年内禁止参加皖北卫生职业学院集中采购活动；</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5.情节严重的，报请有关部门依法追究相关责任。</w:t>
      </w:r>
    </w:p>
    <w:p>
      <w:pPr>
        <w:spacing w:line="500" w:lineRule="exact"/>
        <w:ind w:firstLine="6480" w:firstLineChars="2700"/>
        <w:rPr>
          <w:rFonts w:ascii="宋体" w:hAnsi="宋体"/>
          <w:color w:val="000000" w:themeColor="text1"/>
          <w:sz w:val="24"/>
          <w:highlight w:val="none"/>
          <w14:textFill>
            <w14:solidFill>
              <w14:schemeClr w14:val="tx1"/>
            </w14:solidFill>
          </w14:textFill>
        </w:rPr>
      </w:pPr>
    </w:p>
    <w:p>
      <w:pPr>
        <w:spacing w:line="500" w:lineRule="exact"/>
        <w:ind w:firstLine="6480" w:firstLineChars="2700"/>
        <w:rPr>
          <w:rFonts w:ascii="宋体" w:hAnsi="宋体"/>
          <w:color w:val="000000" w:themeColor="text1"/>
          <w:sz w:val="24"/>
          <w:highlight w:val="none"/>
          <w14:textFill>
            <w14:solidFill>
              <w14:schemeClr w14:val="tx1"/>
            </w14:solidFill>
          </w14:textFill>
        </w:rPr>
      </w:pPr>
    </w:p>
    <w:p>
      <w:pPr>
        <w:spacing w:line="500" w:lineRule="exact"/>
        <w:ind w:firstLine="6000" w:firstLineChars="2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诺 人：</w:t>
      </w:r>
    </w:p>
    <w:p>
      <w:pPr>
        <w:spacing w:line="500" w:lineRule="exact"/>
        <w:ind w:firstLine="5040" w:firstLineChars="2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承诺单位（盖章）：</w:t>
      </w:r>
    </w:p>
    <w:p>
      <w:pPr>
        <w:spacing w:line="500" w:lineRule="exact"/>
        <w:ind w:firstLine="6240" w:firstLineChars="2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  年  月   日</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spacing w:beforeLines="5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bookmarkStart w:id="200" w:name="_Toc84297300"/>
      <w:bookmarkStart w:id="201" w:name="_Toc172597285"/>
      <w:bookmarkStart w:id="202" w:name="_Toc155661878"/>
      <w:r>
        <w:rPr>
          <w:rFonts w:hint="eastAsia" w:ascii="宋体" w:hAnsi="宋体"/>
          <w:b/>
          <w:color w:val="000000" w:themeColor="text1"/>
          <w:sz w:val="32"/>
          <w:szCs w:val="32"/>
          <w:highlight w:val="none"/>
          <w14:textFill>
            <w14:solidFill>
              <w14:schemeClr w14:val="tx1"/>
            </w14:solidFill>
          </w14:textFill>
        </w:rPr>
        <w:t>五、投标人资质材及投标人认为需要提供的其他材料</w:t>
      </w: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spacing w:beforeLines="5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六、技术支持方案</w:t>
      </w: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bookmarkEnd w:id="200"/>
    <w:bookmarkEnd w:id="201"/>
    <w:bookmarkEnd w:id="202"/>
    <w:p>
      <w:pPr>
        <w:jc w:val="center"/>
        <w:rPr>
          <w:rFonts w:ascii="宋体" w:hAnsi="宋体"/>
          <w:b/>
          <w:color w:val="000000" w:themeColor="text1"/>
          <w:sz w:val="32"/>
          <w:szCs w:val="32"/>
          <w:highlight w:val="none"/>
          <w14:textFill>
            <w14:solidFill>
              <w14:schemeClr w14:val="tx1"/>
            </w14:solidFill>
          </w14:textFill>
        </w:rPr>
      </w:pPr>
    </w:p>
    <w:p>
      <w:pPr>
        <w:spacing w:beforeLines="50" w:afterLines="50"/>
        <w:jc w:val="center"/>
        <w:rPr>
          <w:rFonts w:ascii="宋体" w:hAnsi="宋体"/>
          <w:b/>
          <w:color w:val="000000" w:themeColor="text1"/>
          <w:sz w:val="32"/>
          <w:szCs w:val="32"/>
          <w:highlight w:val="none"/>
          <w14:textFill>
            <w14:solidFill>
              <w14:schemeClr w14:val="tx1"/>
            </w14:solidFill>
          </w14:textFill>
        </w:rPr>
        <w:sectPr>
          <w:pgSz w:w="11906" w:h="16838"/>
          <w:pgMar w:top="1440" w:right="1586" w:bottom="1440" w:left="1500" w:header="851" w:footer="992" w:gutter="0"/>
          <w:pgNumType w:fmt="numberInDash"/>
          <w:cols w:space="720" w:num="1"/>
          <w:docGrid w:type="lines" w:linePitch="312" w:charSpace="0"/>
        </w:sectPr>
      </w:pPr>
    </w:p>
    <w:p>
      <w:pPr>
        <w:spacing w:beforeLines="50" w:afterLines="50"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七、服务承诺书</w:t>
      </w:r>
    </w:p>
    <w:p>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致：皖北卫生职业学院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如果我单位中标经营贵院食堂，在经营期间我司承诺如下事项：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、严格遵守《中华人民共和国食品安全法》、《中华人民共和国劳动法》、《学校食品安全与营养健康管理规定》及皖北卫生职业学院各项管理制度等规章制度。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、具备高校食堂经营的准入条件。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、承诺维护保管好学校的资产，不随意改动房屋结构和设施位置；</w:t>
      </w:r>
      <w:r>
        <w:rPr>
          <w:rFonts w:hint="eastAsia" w:ascii="宋体" w:hAnsi="宋体"/>
          <w:b/>
          <w:bCs/>
          <w:color w:val="000000" w:themeColor="text1"/>
          <w:sz w:val="24"/>
          <w:highlight w:val="none"/>
          <w14:textFill>
            <w14:solidFill>
              <w14:schemeClr w14:val="tx1"/>
            </w14:solidFill>
          </w14:textFill>
        </w:rPr>
        <w:t>不在操作功能区以外的地方增设摊位和售卖点；</w:t>
      </w:r>
      <w:r>
        <w:rPr>
          <w:rFonts w:hint="eastAsia" w:ascii="宋体" w:hAnsi="宋体"/>
          <w:color w:val="000000" w:themeColor="text1"/>
          <w:sz w:val="24"/>
          <w:highlight w:val="none"/>
          <w14:textFill>
            <w14:solidFill>
              <w14:schemeClr w14:val="tx1"/>
            </w14:solidFill>
          </w14:textFill>
        </w:rPr>
        <w:t>不占用食堂外围搞其他经营项目；不将经营场地分包、转包、转租、转让、分租；不私自增设大功率的电器或私自改动电线路。</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、承诺办理有效餐饮服务许可证，到期及时验证换证。所有从事食品生产、经营和销售的人员必须持合法、有效的健康证，并经卫生知识培训合格；经营期间内不更换食堂项目经理；更换食堂项目经理时至少提前</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天告知校方。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提交详细的食堂经营服务方案，有完整的组织机构和健全的规章制度，包括财务管理、人事管理、价格管理、工作规范、安全防患、卫生保障、用工培训、社保福利、民主管理、文明服务、物资采购、质量监督等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、承诺所购主料、辅料必须有商家有效证件、电话号码、经营地址、产品检验合格证或者化验单。不采用霉烂、变质或不新鲜的食物和三无（无生产厂家、无生产日期、无保质期）成品原料。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、承诺如经营中出现食物中毒或人为事故，则承担经济、行政、法律等全部责任，以及患者抢救治疗的一切费用及善后工作的费用。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、承诺配合学校对饮食质量、成本等的核算检查工作，承诺不使用转基因食品，使用一卡通售卖，建设智慧食堂，明码标价，未经学校同意不擅自调高各种主副食品的价格。</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、承诺自觉维护校园的和谐稳定，维护学校的荣誉，积极配合校方迎接上级教育、卫生部门的检查工作，确保检查顺利通过。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、承诺经营亏损风险由经营方承担，经营方不得以国家、省、市政策规定之外的任何理由向学校申请减免费用。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、承诺在收到中标通知书</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个工作日内与校方签订经营合同，并提交履约保证金及在规定的时间内完成交接、各项投入、装备及其他开餐准备工作。</w:t>
      </w:r>
    </w:p>
    <w:p>
      <w:pPr>
        <w:spacing w:line="400" w:lineRule="exact"/>
        <w:ind w:firstLine="480" w:firstLineChars="200"/>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ind w:firstLine="4560" w:firstLineChars="19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承诺人（单位公章）：</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法定代表人或授权代表（签字）：</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 年  月   日</w:t>
      </w:r>
    </w:p>
    <w:p>
      <w:pPr>
        <w:spacing w:beforeLines="50" w:afterLines="50"/>
        <w:rPr>
          <w:rFonts w:ascii="宋体" w:hAnsi="宋体"/>
          <w:b/>
          <w:color w:val="000000" w:themeColor="text1"/>
          <w:sz w:val="32"/>
          <w:szCs w:val="32"/>
          <w:highlight w:val="none"/>
          <w14:textFill>
            <w14:solidFill>
              <w14:schemeClr w14:val="tx1"/>
            </w14:solidFill>
          </w14:textFill>
        </w:rPr>
        <w:sectPr>
          <w:pgSz w:w="11906" w:h="16838"/>
          <w:pgMar w:top="1440" w:right="1586" w:bottom="1440" w:left="1500" w:header="851" w:footer="992" w:gutter="0"/>
          <w:pgNumType w:fmt="numberInDash"/>
          <w:cols w:space="720" w:num="1"/>
          <w:docGrid w:type="lines" w:linePitch="312" w:charSpace="0"/>
        </w:sectPr>
      </w:pPr>
    </w:p>
    <w:p>
      <w:pPr>
        <w:spacing w:beforeLines="5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八、投标报价书</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投标报价书（单独密封）</w:t>
      </w:r>
    </w:p>
    <w:p>
      <w:pPr>
        <w:rPr>
          <w:rFonts w:ascii="宋体" w:hAnsi="宋体"/>
          <w:b/>
          <w:color w:val="000000" w:themeColor="text1"/>
          <w:sz w:val="28"/>
          <w:szCs w:val="28"/>
          <w:highlight w:val="none"/>
          <w14:textFill>
            <w14:solidFill>
              <w14:schemeClr w14:val="tx1"/>
            </w14:solidFill>
          </w14:textFill>
        </w:rPr>
      </w:pPr>
    </w:p>
    <w:p>
      <w:pPr>
        <w:adjustRightInd w:val="0"/>
        <w:snapToGrid w:val="0"/>
        <w:rPr>
          <w:rFonts w:ascii="宋体" w:hAnsi="宋体" w:cs="Arial"/>
          <w:b/>
          <w:color w:val="000000" w:themeColor="text1"/>
          <w:sz w:val="32"/>
          <w:szCs w:val="32"/>
          <w:highlight w:val="none"/>
          <w14:textFill>
            <w14:solidFill>
              <w14:schemeClr w14:val="tx1"/>
            </w14:solidFill>
          </w14:textFill>
        </w:rPr>
      </w:pPr>
      <w:r>
        <w:rPr>
          <w:rFonts w:hint="eastAsia" w:ascii="宋体" w:hAnsi="宋体" w:cs="Arial"/>
          <w:b/>
          <w:color w:val="000000" w:themeColor="text1"/>
          <w:sz w:val="32"/>
          <w:szCs w:val="32"/>
          <w:highlight w:val="none"/>
          <w14:textFill>
            <w14:solidFill>
              <w14:schemeClr w14:val="tx1"/>
            </w14:solidFill>
          </w14:textFill>
        </w:rPr>
        <w:t>致：皖北卫生职业学院</w:t>
      </w:r>
    </w:p>
    <w:p>
      <w:pPr>
        <w:adjustRightInd w:val="0"/>
        <w:snapToGrid w:val="0"/>
        <w:spacing w:line="720" w:lineRule="auto"/>
        <w:rPr>
          <w:rFonts w:ascii="宋体" w:hAnsi="宋体" w:cs="Arial"/>
          <w:b/>
          <w:color w:val="000000" w:themeColor="text1"/>
          <w:sz w:val="28"/>
          <w:szCs w:val="28"/>
          <w:highlight w:val="none"/>
          <w14:textFill>
            <w14:solidFill>
              <w14:schemeClr w14:val="tx1"/>
            </w14:solidFill>
          </w14:textFill>
        </w:rPr>
      </w:pPr>
    </w:p>
    <w:p>
      <w:pPr>
        <w:adjustRightInd w:val="0"/>
        <w:snapToGrid w:val="0"/>
        <w:spacing w:line="360" w:lineRule="auto"/>
        <w:ind w:firstLine="52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cs="Arial"/>
          <w:color w:val="000000" w:themeColor="text1"/>
          <w:sz w:val="28"/>
          <w:szCs w:val="28"/>
          <w:highlight w:val="none"/>
          <w14:textFill>
            <w14:solidFill>
              <w14:schemeClr w14:val="tx1"/>
            </w14:solidFill>
          </w14:textFill>
        </w:rPr>
        <w:t>根据贵方的要求，授权代表经授权并代表报价方对本项目合同期内学校投资装饰装修与设备管理投资，及缴纳水资源管理费、污水处理费、垃圾清运及垃圾处理费、水电管理费（不含水电费）、食品卫生监督费、校园一卡通系统及明厨亮灶监控维护维修费、饮食文化活动及其公共建设费等上浮费用：</w:t>
      </w: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68"/>
        <w:gridCol w:w="2574"/>
        <w:gridCol w:w="121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07"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序号</w:t>
            </w:r>
          </w:p>
        </w:tc>
        <w:tc>
          <w:tcPr>
            <w:tcW w:w="2968"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商务竞争名称</w:t>
            </w:r>
          </w:p>
        </w:tc>
        <w:tc>
          <w:tcPr>
            <w:tcW w:w="2574"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上浮费用</w:t>
            </w:r>
          </w:p>
        </w:tc>
        <w:tc>
          <w:tcPr>
            <w:tcW w:w="1215"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总得分</w:t>
            </w:r>
          </w:p>
        </w:tc>
        <w:tc>
          <w:tcPr>
            <w:tcW w:w="1556"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07"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w:t>
            </w:r>
          </w:p>
        </w:tc>
        <w:tc>
          <w:tcPr>
            <w:tcW w:w="2968"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投资装饰装修与设备费用</w:t>
            </w:r>
          </w:p>
        </w:tc>
        <w:tc>
          <w:tcPr>
            <w:tcW w:w="2574"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215"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556" w:type="dxa"/>
            <w:vAlign w:val="center"/>
          </w:tcPr>
          <w:p>
            <w:pPr>
              <w:jc w:val="center"/>
              <w:rPr>
                <w:rFonts w:hint="default" w:ascii="宋体" w:hAnsi="宋体" w:eastAsia="宋体"/>
                <w:b/>
                <w:bCs/>
                <w:color w:val="000000" w:themeColor="text1"/>
                <w:kern w:val="0"/>
                <w:szCs w:val="21"/>
                <w:highlight w:val="none"/>
                <w:lang w:val="en-US" w:eastAsia="zh-CN"/>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低于100万</w:t>
            </w:r>
            <w:r>
              <w:rPr>
                <w:rFonts w:hint="eastAsia" w:ascii="宋体" w:hAnsi="宋体"/>
                <w:b/>
                <w:bCs/>
                <w:color w:val="000000" w:themeColor="text1"/>
                <w:kern w:val="0"/>
                <w:szCs w:val="21"/>
                <w:highlight w:val="none"/>
                <w:lang w:val="en-US" w:eastAsia="zh-CN"/>
                <w14:textFill>
                  <w14:solidFill>
                    <w14:schemeClr w14:val="tx1"/>
                  </w14:solidFill>
                </w14:textFill>
              </w:rPr>
              <w:t>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7"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2</w:t>
            </w:r>
          </w:p>
        </w:tc>
        <w:tc>
          <w:tcPr>
            <w:tcW w:w="2968" w:type="dxa"/>
            <w:vAlign w:val="center"/>
          </w:tcPr>
          <w:p>
            <w:pPr>
              <w:jc w:val="center"/>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水资源管理费、污水处理费、垃圾清运及垃圾处理费等费用</w:t>
            </w:r>
          </w:p>
        </w:tc>
        <w:tc>
          <w:tcPr>
            <w:tcW w:w="2574"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215"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556"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低于</w:t>
            </w:r>
            <w:r>
              <w:rPr>
                <w:rFonts w:hint="eastAsia" w:ascii="宋体" w:hAnsi="宋体"/>
                <w:b/>
                <w:bCs/>
                <w:color w:val="000000" w:themeColor="text1"/>
                <w:kern w:val="0"/>
                <w:szCs w:val="21"/>
                <w:highlight w:val="none"/>
                <w:lang w:val="en-US" w:eastAsia="zh-CN"/>
                <w14:textFill>
                  <w14:solidFill>
                    <w14:schemeClr w14:val="tx1"/>
                  </w14:solidFill>
                </w14:textFill>
              </w:rPr>
              <w:t>2</w:t>
            </w:r>
            <w:r>
              <w:rPr>
                <w:rFonts w:hint="eastAsia" w:ascii="宋体" w:hAnsi="宋体"/>
                <w:b/>
                <w:bCs/>
                <w:color w:val="000000" w:themeColor="text1"/>
                <w:kern w:val="0"/>
                <w:szCs w:val="21"/>
                <w:highlight w:val="none"/>
                <w14:textFill>
                  <w14:solidFill>
                    <w14:schemeClr w14:val="tx1"/>
                  </w14:solidFill>
                </w14:textFill>
              </w:rPr>
              <w:t>0万</w:t>
            </w:r>
            <w:r>
              <w:rPr>
                <w:rFonts w:hint="eastAsia" w:ascii="宋体" w:hAnsi="宋体"/>
                <w:b/>
                <w:bCs/>
                <w:color w:val="000000" w:themeColor="text1"/>
                <w:kern w:val="0"/>
                <w:szCs w:val="21"/>
                <w:highlight w:val="none"/>
                <w:lang w:val="en-US" w:eastAsia="zh-CN"/>
                <w14:textFill>
                  <w14:solidFill>
                    <w14:schemeClr w14:val="tx1"/>
                  </w14:solidFill>
                </w14:textFill>
              </w:rPr>
              <w:t>为无效标</w:t>
            </w:r>
          </w:p>
        </w:tc>
      </w:tr>
    </w:tbl>
    <w:p>
      <w:pPr>
        <w:spacing w:line="500" w:lineRule="exact"/>
        <w:rPr>
          <w:rFonts w:ascii="宋体" w:hAnsi="宋体" w:cs="宋体"/>
          <w:bCs/>
          <w:color w:val="000000" w:themeColor="text1"/>
          <w:kern w:val="0"/>
          <w:sz w:val="24"/>
          <w:highlight w:val="none"/>
          <w14:textFill>
            <w14:solidFill>
              <w14:schemeClr w14:val="tx1"/>
            </w14:solidFill>
          </w14:textFill>
        </w:rPr>
      </w:pP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p>
      <w:pPr>
        <w:adjustRightInd w:val="0"/>
        <w:snapToGrid w:val="0"/>
        <w:spacing w:line="440" w:lineRule="exact"/>
        <w:ind w:firstLine="3654" w:firstLineChars="14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投标报价单位（公章）：</w:t>
      </w: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法定代表人或授权代表（签字）：</w:t>
      </w:r>
    </w:p>
    <w:p>
      <w:pPr>
        <w:adjustRightInd w:val="0"/>
        <w:snapToGrid w:val="0"/>
        <w:spacing w:line="440" w:lineRule="exact"/>
        <w:rPr>
          <w:color w:val="000000" w:themeColor="text1"/>
          <w:sz w:val="44"/>
          <w:szCs w:val="4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日期：</w:t>
      </w:r>
    </w:p>
    <w:p>
      <w:pPr>
        <w:jc w:val="center"/>
        <w:rPr>
          <w:rFonts w:hint="eastAsia" w:ascii="宋体" w:hAnsi="宋体"/>
          <w:b/>
          <w:color w:val="000000" w:themeColor="text1"/>
          <w:sz w:val="32"/>
          <w:szCs w:val="32"/>
          <w:highlight w:val="none"/>
          <w14:textFill>
            <w14:solidFill>
              <w14:schemeClr w14:val="tx1"/>
            </w14:solidFill>
          </w14:textFill>
        </w:rPr>
      </w:pPr>
    </w:p>
    <w:p>
      <w:pPr>
        <w:jc w:val="center"/>
        <w:rPr>
          <w:rFonts w:hint="eastAsia"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投标报价书（单独密封）</w:t>
      </w:r>
    </w:p>
    <w:p>
      <w:pPr>
        <w:adjustRightInd w:val="0"/>
        <w:snapToGrid w:val="0"/>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致：皖北卫生职业学院</w:t>
      </w:r>
    </w:p>
    <w:p>
      <w:pPr>
        <w:ind w:firstLine="442" w:firstLineChars="200"/>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根据贵方的要求，授权代表经授权并代表报价方对本项目合同期内学校食堂基本大伙品目参考报价单为：</w:t>
      </w:r>
    </w:p>
    <w:tbl>
      <w:tblPr>
        <w:tblStyle w:val="18"/>
        <w:tblW w:w="10072"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56"/>
        <w:gridCol w:w="899"/>
        <w:gridCol w:w="1099"/>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菜品名称</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份量</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w:t>
            </w: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白米饭</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精面馒头</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鲜肉包子</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素馅包子</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茶叶蛋</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白米粥</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杂粮粥</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豆浆</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素菜面条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肉丝汤面条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现冲鸡蛋高汤</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低价素菜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时令叶类素菜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时令瓜果类素菜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荤素混炒</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荤素混烧</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纯烧猪肉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纯烧鸡肉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纯烧鱼肉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蛋炒饭</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炒面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免费汤</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中午10:40-12:10</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饮品</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毫升</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合计报价</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bl>
    <w:p>
      <w:pPr>
        <w:adjustRightInd w:val="0"/>
        <w:snapToGrid w:val="0"/>
        <w:spacing w:line="4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投标报价单位（公章）：</w:t>
      </w:r>
    </w:p>
    <w:p>
      <w:pPr>
        <w:adjustRightInd w:val="0"/>
        <w:snapToGrid w:val="0"/>
        <w:spacing w:line="4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法定代表人或授权代表（签字）：</w:t>
      </w:r>
    </w:p>
    <w:p>
      <w:pPr>
        <w:adjustRightInd w:val="0"/>
        <w:snapToGrid w:val="0"/>
        <w:spacing w:line="440" w:lineRule="exact"/>
        <w:ind w:firstLine="5746" w:firstLineChars="26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日期：</w:t>
      </w:r>
    </w:p>
    <w:p>
      <w:pPr>
        <w:adjustRightInd w:val="0"/>
        <w:snapToGrid w:val="0"/>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九、承诺书</w:t>
      </w:r>
    </w:p>
    <w:p>
      <w:pPr>
        <w:adjustRightInd w:val="0"/>
        <w:snapToGrid w:val="0"/>
        <w:spacing w:line="360" w:lineRule="auto"/>
        <w:ind w:firstLine="522" w:firstLineChars="200"/>
        <w:jc w:val="center"/>
        <w:rPr>
          <w:rFonts w:ascii="宋体" w:hAnsi="宋体" w:cs="Arial"/>
          <w:color w:val="000000" w:themeColor="text1"/>
          <w:sz w:val="28"/>
          <w:szCs w:val="28"/>
          <w:highlight w:val="none"/>
          <w14:textFill>
            <w14:solidFill>
              <w14:schemeClr w14:val="tx1"/>
            </w14:solidFill>
          </w14:textFill>
        </w:rPr>
      </w:pPr>
    </w:p>
    <w:p>
      <w:pPr>
        <w:adjustRightInd w:val="0"/>
        <w:snapToGrid w:val="0"/>
        <w:spacing w:line="360" w:lineRule="auto"/>
        <w:ind w:firstLine="522" w:firstLineChars="200"/>
        <w:jc w:val="center"/>
        <w:rPr>
          <w:rFonts w:ascii="宋体" w:hAnsi="宋体" w:cs="Arial"/>
          <w:color w:val="000000" w:themeColor="text1"/>
          <w:sz w:val="28"/>
          <w:szCs w:val="28"/>
          <w:highlight w:val="none"/>
          <w14:textFill>
            <w14:solidFill>
              <w14:schemeClr w14:val="tx1"/>
            </w14:solidFill>
          </w14:textFill>
        </w:rPr>
      </w:pPr>
      <w:r>
        <w:rPr>
          <w:rFonts w:hint="eastAsia" w:ascii="宋体" w:hAnsi="宋体" w:cs="Arial"/>
          <w:color w:val="000000" w:themeColor="text1"/>
          <w:sz w:val="28"/>
          <w:szCs w:val="28"/>
          <w:highlight w:val="none"/>
          <w14:textFill>
            <w14:solidFill>
              <w14:schemeClr w14:val="tx1"/>
            </w14:solidFill>
          </w14:textFill>
        </w:rPr>
        <w:t>（提供招标文件要求提供的承诺书）</w:t>
      </w:r>
    </w:p>
    <w:p>
      <w:pPr>
        <w:wordWrap w:val="0"/>
        <w:ind w:firstLine="3757" w:firstLineChars="1700"/>
        <w:jc w:val="right"/>
        <w:rPr>
          <w:rFonts w:ascii="宋体" w:hAnsi="宋体" w:cs="宋体"/>
          <w:snapToGrid w:val="0"/>
          <w:color w:val="000000" w:themeColor="text1"/>
          <w:kern w:val="0"/>
          <w:sz w:val="24"/>
          <w:szCs w:val="24"/>
          <w:highlight w:val="none"/>
          <w:u w:val="single"/>
          <w14:textFill>
            <w14:solidFill>
              <w14:schemeClr w14:val="tx1"/>
            </w14:solidFill>
          </w14:textFill>
        </w:rPr>
      </w:pPr>
    </w:p>
    <w:sectPr>
      <w:headerReference r:id="rId3" w:type="default"/>
      <w:footerReference r:id="rId4" w:type="default"/>
      <w:pgSz w:w="11906" w:h="16838"/>
      <w:pgMar w:top="1440" w:right="1080" w:bottom="1440" w:left="1080" w:header="851" w:footer="850" w:gutter="0"/>
      <w:pgNumType w:start="1"/>
      <w:cols w:space="0" w:num="1"/>
      <w:docGrid w:type="linesAndChars" w:linePitch="288" w:charSpace="-40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pict>
        <v:shape id="_x0000_s1027" o:spid="_x0000_s1027"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path/>
          <v:fill on="f" focussize="0,0"/>
          <v:stroke on="f" joinstyle="miter"/>
          <v:imagedata o:title=""/>
          <o:lock v:ext="edit"/>
          <v:textbox inset="0mm,0mm,0mm,0mm">
            <w:txbxContent>
              <w:p>
                <w:pPr>
                  <w:spacing w:before="19"/>
                  <w:jc w:val="left"/>
                  <w:rPr>
                    <w:rFonts w:ascii="Times New Roman"/>
                    <w:sz w:val="1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8F58"/>
    <w:multiLevelType w:val="singleLevel"/>
    <w:tmpl w:val="90D78F5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formatting="1" w:enforcement="0"/>
  <w:defaultTabStop w:val="420"/>
  <w:drawingGridHorizontalSpacing w:val="95"/>
  <w:drawingGridVerticalSpacing w:val="14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2MmRmYmNlZjc3NWI5ZTBmZmVkZTE2OTdmMmZjMzgifQ=="/>
    <w:docVar w:name="KSO_WPS_MARK_KEY" w:val="756ddf20-23df-4442-b05f-a78c859919d6"/>
  </w:docVars>
  <w:rsids>
    <w:rsidRoot w:val="00172A27"/>
    <w:rsid w:val="00064A57"/>
    <w:rsid w:val="000E0067"/>
    <w:rsid w:val="001131AB"/>
    <w:rsid w:val="001517D1"/>
    <w:rsid w:val="00172A27"/>
    <w:rsid w:val="00176A62"/>
    <w:rsid w:val="00177CA2"/>
    <w:rsid w:val="001B4F9E"/>
    <w:rsid w:val="002316BA"/>
    <w:rsid w:val="00244E3C"/>
    <w:rsid w:val="00255B94"/>
    <w:rsid w:val="00307C6D"/>
    <w:rsid w:val="00326569"/>
    <w:rsid w:val="003D498C"/>
    <w:rsid w:val="003F1C05"/>
    <w:rsid w:val="004B2E24"/>
    <w:rsid w:val="004B5B58"/>
    <w:rsid w:val="00502B4A"/>
    <w:rsid w:val="00512A1D"/>
    <w:rsid w:val="00565F2D"/>
    <w:rsid w:val="00594C58"/>
    <w:rsid w:val="0059608F"/>
    <w:rsid w:val="00663FFE"/>
    <w:rsid w:val="006A7315"/>
    <w:rsid w:val="00791668"/>
    <w:rsid w:val="00814E88"/>
    <w:rsid w:val="0084101C"/>
    <w:rsid w:val="008838CD"/>
    <w:rsid w:val="008D4A11"/>
    <w:rsid w:val="00960D27"/>
    <w:rsid w:val="00975B7F"/>
    <w:rsid w:val="009C04B5"/>
    <w:rsid w:val="00A25A1A"/>
    <w:rsid w:val="00A45B64"/>
    <w:rsid w:val="00A62DBF"/>
    <w:rsid w:val="00AE4384"/>
    <w:rsid w:val="00B332D3"/>
    <w:rsid w:val="00BF6784"/>
    <w:rsid w:val="00C24DE0"/>
    <w:rsid w:val="00C6060A"/>
    <w:rsid w:val="00C75811"/>
    <w:rsid w:val="00CD5AD5"/>
    <w:rsid w:val="00D52DF9"/>
    <w:rsid w:val="00DB1518"/>
    <w:rsid w:val="00DF34C5"/>
    <w:rsid w:val="00E02515"/>
    <w:rsid w:val="00E62762"/>
    <w:rsid w:val="00E938BF"/>
    <w:rsid w:val="00F457C2"/>
    <w:rsid w:val="00F46E2F"/>
    <w:rsid w:val="00F91EA4"/>
    <w:rsid w:val="01814321"/>
    <w:rsid w:val="01B12E58"/>
    <w:rsid w:val="02403886"/>
    <w:rsid w:val="027F5F5B"/>
    <w:rsid w:val="02AB78A7"/>
    <w:rsid w:val="02B439CB"/>
    <w:rsid w:val="02DC5CB3"/>
    <w:rsid w:val="0321591B"/>
    <w:rsid w:val="035A307B"/>
    <w:rsid w:val="042C4A18"/>
    <w:rsid w:val="04365609"/>
    <w:rsid w:val="04A737B0"/>
    <w:rsid w:val="04C23F68"/>
    <w:rsid w:val="05993FA8"/>
    <w:rsid w:val="06E71EDE"/>
    <w:rsid w:val="06F21F49"/>
    <w:rsid w:val="06F4663D"/>
    <w:rsid w:val="072D11D3"/>
    <w:rsid w:val="075108B1"/>
    <w:rsid w:val="07532D42"/>
    <w:rsid w:val="07DA59B3"/>
    <w:rsid w:val="07E05F75"/>
    <w:rsid w:val="08F47BF3"/>
    <w:rsid w:val="096D2C7C"/>
    <w:rsid w:val="09F00295"/>
    <w:rsid w:val="0A287CF7"/>
    <w:rsid w:val="0AAD385D"/>
    <w:rsid w:val="0B0F759D"/>
    <w:rsid w:val="0B266665"/>
    <w:rsid w:val="0B50208F"/>
    <w:rsid w:val="0B8436DE"/>
    <w:rsid w:val="0B941DCD"/>
    <w:rsid w:val="0E8F4578"/>
    <w:rsid w:val="108F73D5"/>
    <w:rsid w:val="10F62B72"/>
    <w:rsid w:val="10F95046"/>
    <w:rsid w:val="118071C2"/>
    <w:rsid w:val="11EA7EFB"/>
    <w:rsid w:val="12744159"/>
    <w:rsid w:val="131C7E30"/>
    <w:rsid w:val="13255454"/>
    <w:rsid w:val="134404C4"/>
    <w:rsid w:val="1418758F"/>
    <w:rsid w:val="14AB6037"/>
    <w:rsid w:val="151E2460"/>
    <w:rsid w:val="15B95186"/>
    <w:rsid w:val="17BF7AB9"/>
    <w:rsid w:val="18066E53"/>
    <w:rsid w:val="183B10AF"/>
    <w:rsid w:val="18BB5AE8"/>
    <w:rsid w:val="1A850730"/>
    <w:rsid w:val="1B230947"/>
    <w:rsid w:val="1B903686"/>
    <w:rsid w:val="1B9F1984"/>
    <w:rsid w:val="1C0D4CD7"/>
    <w:rsid w:val="1C4900D5"/>
    <w:rsid w:val="1CE343B6"/>
    <w:rsid w:val="1D7D0CC6"/>
    <w:rsid w:val="1E116CA0"/>
    <w:rsid w:val="1E1508DB"/>
    <w:rsid w:val="1E3130EE"/>
    <w:rsid w:val="1EBF0EDC"/>
    <w:rsid w:val="1ED50F0F"/>
    <w:rsid w:val="1F8B41DC"/>
    <w:rsid w:val="1FAF133B"/>
    <w:rsid w:val="201F445B"/>
    <w:rsid w:val="209B5B46"/>
    <w:rsid w:val="216D65E2"/>
    <w:rsid w:val="219052CB"/>
    <w:rsid w:val="227B5090"/>
    <w:rsid w:val="23405992"/>
    <w:rsid w:val="234B227F"/>
    <w:rsid w:val="24A266C5"/>
    <w:rsid w:val="250B703F"/>
    <w:rsid w:val="26B77933"/>
    <w:rsid w:val="274331D9"/>
    <w:rsid w:val="2786250D"/>
    <w:rsid w:val="278D25B0"/>
    <w:rsid w:val="27AA2E27"/>
    <w:rsid w:val="27F74C0F"/>
    <w:rsid w:val="282F6CC2"/>
    <w:rsid w:val="28415816"/>
    <w:rsid w:val="28625FCE"/>
    <w:rsid w:val="296658A0"/>
    <w:rsid w:val="29AE6384"/>
    <w:rsid w:val="29C447D9"/>
    <w:rsid w:val="29F463E5"/>
    <w:rsid w:val="2B59224B"/>
    <w:rsid w:val="2BA2058D"/>
    <w:rsid w:val="2C9E49F9"/>
    <w:rsid w:val="2D236108"/>
    <w:rsid w:val="2E5D5608"/>
    <w:rsid w:val="2EDB2B02"/>
    <w:rsid w:val="2F25260C"/>
    <w:rsid w:val="2F61560E"/>
    <w:rsid w:val="2F655681"/>
    <w:rsid w:val="2F866E22"/>
    <w:rsid w:val="304815C3"/>
    <w:rsid w:val="30A443F4"/>
    <w:rsid w:val="31252C17"/>
    <w:rsid w:val="31496359"/>
    <w:rsid w:val="31FE1708"/>
    <w:rsid w:val="32A47543"/>
    <w:rsid w:val="33196C65"/>
    <w:rsid w:val="334C5749"/>
    <w:rsid w:val="33B57CD6"/>
    <w:rsid w:val="33EF74ED"/>
    <w:rsid w:val="346C547B"/>
    <w:rsid w:val="34BC79B9"/>
    <w:rsid w:val="34F77C76"/>
    <w:rsid w:val="350C7DCA"/>
    <w:rsid w:val="35C16E06"/>
    <w:rsid w:val="36704443"/>
    <w:rsid w:val="36B971F0"/>
    <w:rsid w:val="36F63DF3"/>
    <w:rsid w:val="3758786C"/>
    <w:rsid w:val="37C4383C"/>
    <w:rsid w:val="37D50947"/>
    <w:rsid w:val="37FB65FF"/>
    <w:rsid w:val="38EA1ECC"/>
    <w:rsid w:val="38EC41E7"/>
    <w:rsid w:val="39DF7A23"/>
    <w:rsid w:val="3A125E23"/>
    <w:rsid w:val="3B0F701D"/>
    <w:rsid w:val="3B5F2BEF"/>
    <w:rsid w:val="3BB80FEA"/>
    <w:rsid w:val="3C87472E"/>
    <w:rsid w:val="3CB34B2F"/>
    <w:rsid w:val="3CF6091C"/>
    <w:rsid w:val="3D6406AA"/>
    <w:rsid w:val="3D6A38DF"/>
    <w:rsid w:val="3D985812"/>
    <w:rsid w:val="3DDE2F12"/>
    <w:rsid w:val="3FD32DD0"/>
    <w:rsid w:val="3FE87743"/>
    <w:rsid w:val="40344BA2"/>
    <w:rsid w:val="40842F0A"/>
    <w:rsid w:val="408847A8"/>
    <w:rsid w:val="410D7BD6"/>
    <w:rsid w:val="41440F1B"/>
    <w:rsid w:val="41AC2719"/>
    <w:rsid w:val="431E31A2"/>
    <w:rsid w:val="435A36A9"/>
    <w:rsid w:val="43686B13"/>
    <w:rsid w:val="43995C23"/>
    <w:rsid w:val="44974855"/>
    <w:rsid w:val="45A34A75"/>
    <w:rsid w:val="460832F6"/>
    <w:rsid w:val="460D5750"/>
    <w:rsid w:val="46276812"/>
    <w:rsid w:val="46715EB0"/>
    <w:rsid w:val="46A14816"/>
    <w:rsid w:val="475D3FF8"/>
    <w:rsid w:val="47AB5186"/>
    <w:rsid w:val="47B83392"/>
    <w:rsid w:val="480C17B4"/>
    <w:rsid w:val="48223734"/>
    <w:rsid w:val="4A67332F"/>
    <w:rsid w:val="4B1F3F5B"/>
    <w:rsid w:val="4B3D4C26"/>
    <w:rsid w:val="4B7B52FE"/>
    <w:rsid w:val="4BC36FDC"/>
    <w:rsid w:val="4C0355F4"/>
    <w:rsid w:val="4C173F06"/>
    <w:rsid w:val="4C72630D"/>
    <w:rsid w:val="4CA23CA2"/>
    <w:rsid w:val="4CF72422"/>
    <w:rsid w:val="4D1B04CD"/>
    <w:rsid w:val="4DCA4C8B"/>
    <w:rsid w:val="4E020A02"/>
    <w:rsid w:val="4EB33338"/>
    <w:rsid w:val="4F3E6E69"/>
    <w:rsid w:val="50E65A75"/>
    <w:rsid w:val="51472A53"/>
    <w:rsid w:val="515636BF"/>
    <w:rsid w:val="52353AF2"/>
    <w:rsid w:val="539A4AC7"/>
    <w:rsid w:val="53ED4843"/>
    <w:rsid w:val="53F34CFB"/>
    <w:rsid w:val="53FB308C"/>
    <w:rsid w:val="5455279C"/>
    <w:rsid w:val="547447F3"/>
    <w:rsid w:val="54F7024E"/>
    <w:rsid w:val="56917B91"/>
    <w:rsid w:val="56D2108D"/>
    <w:rsid w:val="57307BDB"/>
    <w:rsid w:val="57335DC3"/>
    <w:rsid w:val="5736688C"/>
    <w:rsid w:val="57C74E66"/>
    <w:rsid w:val="5886386C"/>
    <w:rsid w:val="589C18D2"/>
    <w:rsid w:val="58C47EF0"/>
    <w:rsid w:val="58E26FC7"/>
    <w:rsid w:val="58FC3B2E"/>
    <w:rsid w:val="593F4415"/>
    <w:rsid w:val="59701E26"/>
    <w:rsid w:val="59EC23C9"/>
    <w:rsid w:val="59F14595"/>
    <w:rsid w:val="5A9C22E2"/>
    <w:rsid w:val="5AA24261"/>
    <w:rsid w:val="5B565809"/>
    <w:rsid w:val="5B9C5BD2"/>
    <w:rsid w:val="5BE02FDF"/>
    <w:rsid w:val="5BF86642"/>
    <w:rsid w:val="5DDF68CC"/>
    <w:rsid w:val="5E1F3B6D"/>
    <w:rsid w:val="5EAE4427"/>
    <w:rsid w:val="60C01DB0"/>
    <w:rsid w:val="61DA7B4A"/>
    <w:rsid w:val="62153A4B"/>
    <w:rsid w:val="62522A10"/>
    <w:rsid w:val="6319057B"/>
    <w:rsid w:val="639338F7"/>
    <w:rsid w:val="64994927"/>
    <w:rsid w:val="64AF388B"/>
    <w:rsid w:val="64B5542C"/>
    <w:rsid w:val="65363F24"/>
    <w:rsid w:val="66015B90"/>
    <w:rsid w:val="6645741E"/>
    <w:rsid w:val="666D606B"/>
    <w:rsid w:val="66D14188"/>
    <w:rsid w:val="66D4757C"/>
    <w:rsid w:val="681E586F"/>
    <w:rsid w:val="68464DC5"/>
    <w:rsid w:val="68FD5910"/>
    <w:rsid w:val="692844CB"/>
    <w:rsid w:val="6A6D45C2"/>
    <w:rsid w:val="6A9A31A7"/>
    <w:rsid w:val="6B9755A6"/>
    <w:rsid w:val="6BAD69DE"/>
    <w:rsid w:val="6CD92610"/>
    <w:rsid w:val="6DB477EA"/>
    <w:rsid w:val="6DCB62B1"/>
    <w:rsid w:val="6EB0197E"/>
    <w:rsid w:val="6FBB2D5E"/>
    <w:rsid w:val="70BD0596"/>
    <w:rsid w:val="71033AF8"/>
    <w:rsid w:val="719455E7"/>
    <w:rsid w:val="71CD2586"/>
    <w:rsid w:val="71CE42C3"/>
    <w:rsid w:val="71E92F01"/>
    <w:rsid w:val="721469FD"/>
    <w:rsid w:val="72983E98"/>
    <w:rsid w:val="72E14F57"/>
    <w:rsid w:val="732756B1"/>
    <w:rsid w:val="73681879"/>
    <w:rsid w:val="73F92CEC"/>
    <w:rsid w:val="744728EE"/>
    <w:rsid w:val="74D30849"/>
    <w:rsid w:val="74E155D4"/>
    <w:rsid w:val="75DC3786"/>
    <w:rsid w:val="762878B8"/>
    <w:rsid w:val="764F6C19"/>
    <w:rsid w:val="76D90BB3"/>
    <w:rsid w:val="76F442AB"/>
    <w:rsid w:val="78F148D9"/>
    <w:rsid w:val="7919490C"/>
    <w:rsid w:val="793623AB"/>
    <w:rsid w:val="7A5A3131"/>
    <w:rsid w:val="7A9711A9"/>
    <w:rsid w:val="7B19105B"/>
    <w:rsid w:val="7B216B85"/>
    <w:rsid w:val="7B3A2568"/>
    <w:rsid w:val="7B845591"/>
    <w:rsid w:val="7BF344C5"/>
    <w:rsid w:val="7CCD6C4F"/>
    <w:rsid w:val="7D515FD2"/>
    <w:rsid w:val="7DCB2E47"/>
    <w:rsid w:val="7DDB16B4"/>
    <w:rsid w:val="7E17269F"/>
    <w:rsid w:val="7FBA5628"/>
    <w:rsid w:val="7FCB5E84"/>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5"/>
    <w:autoRedefine/>
    <w:qFormat/>
    <w:uiPriority w:val="0"/>
    <w:pPr>
      <w:wordWrap w:val="0"/>
      <w:spacing w:line="720" w:lineRule="auto"/>
      <w:jc w:val="left"/>
      <w:outlineLvl w:val="0"/>
    </w:pPr>
    <w:rPr>
      <w:rFonts w:ascii="宋体" w:hAnsi="宋体" w:cs="宋体"/>
      <w:b/>
      <w:bCs/>
      <w:kern w:val="44"/>
      <w:sz w:val="32"/>
      <w:szCs w:val="32"/>
    </w:rPr>
  </w:style>
  <w:style w:type="paragraph" w:styleId="7">
    <w:name w:val="heading 2"/>
    <w:basedOn w:val="1"/>
    <w:next w:val="1"/>
    <w:link w:val="24"/>
    <w:unhideWhenUsed/>
    <w:qFormat/>
    <w:uiPriority w:val="0"/>
    <w:pPr>
      <w:wordWrap w:val="0"/>
      <w:spacing w:line="600" w:lineRule="auto"/>
      <w:jc w:val="center"/>
      <w:outlineLvl w:val="1"/>
    </w:pPr>
    <w:rPr>
      <w:rFonts w:ascii="宋体" w:hAnsi="宋体" w:cs="宋体"/>
      <w:b/>
      <w:bCs/>
      <w:sz w:val="32"/>
      <w:szCs w:val="28"/>
    </w:rPr>
  </w:style>
  <w:style w:type="paragraph" w:styleId="8">
    <w:name w:val="heading 3"/>
    <w:basedOn w:val="1"/>
    <w:next w:val="1"/>
    <w:autoRedefine/>
    <w:unhideWhenUsed/>
    <w:qFormat/>
    <w:uiPriority w:val="0"/>
    <w:pPr>
      <w:wordWrap w:val="0"/>
      <w:spacing w:line="360" w:lineRule="auto"/>
      <w:ind w:firstLine="720" w:firstLineChars="200"/>
      <w:jc w:val="left"/>
      <w:outlineLvl w:val="2"/>
    </w:pPr>
    <w:rPr>
      <w:rFonts w:ascii="宋体" w:hAnsi="宋体" w:cs="宋体"/>
      <w:b/>
      <w:bCs/>
      <w:sz w:val="24"/>
      <w:szCs w:val="28"/>
    </w:rPr>
  </w:style>
  <w:style w:type="paragraph" w:styleId="9">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left="420" w:leftChars="200" w:firstLine="420" w:firstLineChars="200"/>
    </w:pPr>
  </w:style>
  <w:style w:type="paragraph" w:styleId="3">
    <w:name w:val="Body Text Indent"/>
    <w:basedOn w:val="1"/>
    <w:next w:val="4"/>
    <w:autoRedefine/>
    <w:qFormat/>
    <w:uiPriority w:val="0"/>
    <w:pPr>
      <w:ind w:firstLine="645"/>
    </w:pPr>
    <w:rPr>
      <w:rFonts w:ascii="楷体_GB2312" w:hAnsi="Times New Roman" w:eastAsia="楷体_GB2312"/>
      <w:sz w:val="32"/>
      <w:szCs w:val="20"/>
    </w:rPr>
  </w:style>
  <w:style w:type="paragraph" w:styleId="4">
    <w:name w:val="envelope return"/>
    <w:basedOn w:val="1"/>
    <w:next w:val="3"/>
    <w:autoRedefine/>
    <w:qFormat/>
    <w:uiPriority w:val="0"/>
    <w:pPr>
      <w:snapToGrid w:val="0"/>
    </w:pPr>
    <w:rPr>
      <w:rFonts w:ascii="Arial" w:hAnsi="Arial" w:cs="Arial"/>
      <w:szCs w:val="24"/>
    </w:rPr>
  </w:style>
  <w:style w:type="paragraph" w:styleId="5">
    <w:name w:val="List"/>
    <w:basedOn w:val="1"/>
    <w:autoRedefine/>
    <w:qFormat/>
    <w:uiPriority w:val="0"/>
    <w:pPr>
      <w:ind w:left="420" w:hanging="420"/>
    </w:pPr>
    <w:rPr>
      <w:rFonts w:ascii="Arial" w:hAnsi="Arial" w:eastAsia="楷体_GB2312"/>
      <w:sz w:val="28"/>
    </w:rPr>
  </w:style>
  <w:style w:type="paragraph" w:styleId="10">
    <w:name w:val="Normal Indent"/>
    <w:basedOn w:val="1"/>
    <w:autoRedefine/>
    <w:qFormat/>
    <w:uiPriority w:val="0"/>
    <w:pPr>
      <w:ind w:firstLine="420"/>
    </w:pPr>
    <w:rPr>
      <w:szCs w:val="20"/>
    </w:rPr>
  </w:style>
  <w:style w:type="paragraph" w:styleId="11">
    <w:name w:val="Body Text"/>
    <w:basedOn w:val="1"/>
    <w:next w:val="1"/>
    <w:autoRedefine/>
    <w:qFormat/>
    <w:uiPriority w:val="0"/>
    <w:pPr>
      <w:spacing w:line="900" w:lineRule="exact"/>
    </w:pPr>
    <w:rPr>
      <w:rFonts w:ascii="黑体" w:hAnsi="华文细黑" w:eastAsia="黑体"/>
      <w:bCs/>
      <w:w w:val="90"/>
      <w:sz w:val="72"/>
      <w:szCs w:val="84"/>
    </w:rPr>
  </w:style>
  <w:style w:type="paragraph" w:styleId="12">
    <w:name w:val="toc 3"/>
    <w:basedOn w:val="1"/>
    <w:next w:val="1"/>
    <w:autoRedefine/>
    <w:qFormat/>
    <w:uiPriority w:val="39"/>
    <w:pPr>
      <w:spacing w:line="360" w:lineRule="auto"/>
      <w:ind w:left="768" w:leftChars="400"/>
      <w:jc w:val="left"/>
    </w:pPr>
    <w:rPr>
      <w:rFonts w:ascii="宋体" w:hAnsi="宋体" w:cs="宋体"/>
      <w:iCs/>
      <w:sz w:val="24"/>
      <w:szCs w:val="28"/>
    </w:rPr>
  </w:style>
  <w:style w:type="paragraph" w:styleId="13">
    <w:name w:val="Plain Text"/>
    <w:basedOn w:val="1"/>
    <w:autoRedefine/>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24"/>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spacing w:line="360" w:lineRule="auto"/>
      <w:jc w:val="left"/>
    </w:pPr>
    <w:rPr>
      <w:rFonts w:ascii="宋体" w:hAnsi="宋体" w:cs="宋体"/>
      <w:b/>
      <w:caps/>
      <w:sz w:val="28"/>
      <w:szCs w:val="32"/>
    </w:rPr>
  </w:style>
  <w:style w:type="paragraph" w:styleId="17">
    <w:name w:val="toc 2"/>
    <w:basedOn w:val="1"/>
    <w:next w:val="1"/>
    <w:autoRedefine/>
    <w:qFormat/>
    <w:uiPriority w:val="39"/>
    <w:pPr>
      <w:tabs>
        <w:tab w:val="right" w:leader="dot" w:pos="9403"/>
      </w:tabs>
      <w:spacing w:line="360" w:lineRule="auto"/>
      <w:ind w:left="384" w:leftChars="200"/>
      <w:jc w:val="left"/>
    </w:pPr>
    <w:rPr>
      <w:rFonts w:ascii="宋体" w:hAnsi="宋体" w:cs="宋体"/>
      <w:b/>
      <w:bCs/>
      <w:smallCaps/>
      <w:sz w:val="24"/>
      <w:szCs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autoRedefine/>
    <w:qFormat/>
    <w:uiPriority w:val="0"/>
    <w:rPr>
      <w:color w:val="0000FF"/>
      <w:u w:val="single"/>
    </w:rPr>
  </w:style>
  <w:style w:type="paragraph" w:customStyle="1" w:styleId="22">
    <w:name w:val="冰"/>
    <w:autoRedefine/>
    <w:qFormat/>
    <w:uiPriority w:val="0"/>
    <w:pPr>
      <w:wordWrap w:val="0"/>
      <w:spacing w:line="360" w:lineRule="auto"/>
      <w:ind w:firstLine="720" w:firstLineChars="200"/>
    </w:pPr>
    <w:rPr>
      <w:rFonts w:ascii="宋体" w:hAnsi="宋体" w:eastAsia="宋体" w:cs="宋体"/>
      <w:kern w:val="2"/>
      <w:sz w:val="28"/>
      <w:szCs w:val="28"/>
      <w:lang w:val="en-US" w:eastAsia="zh-CN" w:bidi="ar-SA"/>
    </w:rPr>
  </w:style>
  <w:style w:type="paragraph" w:customStyle="1" w:styleId="23">
    <w:name w:val="婵"/>
    <w:autoRedefine/>
    <w:qFormat/>
    <w:uiPriority w:val="0"/>
    <w:pPr>
      <w:wordWrap w:val="0"/>
      <w:spacing w:line="360" w:lineRule="auto"/>
      <w:ind w:firstLine="720" w:firstLineChars="200"/>
    </w:pPr>
    <w:rPr>
      <w:rFonts w:ascii="宋体" w:hAnsi="宋体" w:eastAsia="宋体" w:cs="宋体"/>
      <w:kern w:val="2"/>
      <w:sz w:val="24"/>
      <w:szCs w:val="24"/>
      <w:lang w:val="en-US" w:eastAsia="zh-CN" w:bidi="ar-SA"/>
    </w:rPr>
  </w:style>
  <w:style w:type="character" w:customStyle="1" w:styleId="24">
    <w:name w:val="标题 2 Char"/>
    <w:link w:val="7"/>
    <w:autoRedefine/>
    <w:qFormat/>
    <w:uiPriority w:val="0"/>
    <w:rPr>
      <w:rFonts w:ascii="宋体" w:hAnsi="宋体" w:eastAsia="宋体" w:cs="宋体"/>
      <w:b/>
      <w:bCs/>
      <w:sz w:val="32"/>
      <w:szCs w:val="28"/>
    </w:rPr>
  </w:style>
  <w:style w:type="character" w:customStyle="1" w:styleId="25">
    <w:name w:val="标题 1 Char"/>
    <w:link w:val="6"/>
    <w:autoRedefine/>
    <w:qFormat/>
    <w:uiPriority w:val="0"/>
    <w:rPr>
      <w:rFonts w:ascii="宋体" w:hAnsi="宋体" w:eastAsia="宋体" w:cs="宋体"/>
      <w:b/>
      <w:bCs/>
      <w:kern w:val="44"/>
      <w:sz w:val="32"/>
      <w:szCs w:val="32"/>
    </w:rPr>
  </w:style>
  <w:style w:type="paragraph" w:customStyle="1" w:styleId="26">
    <w:name w:val="p0"/>
    <w:basedOn w:val="1"/>
    <w:autoRedefine/>
    <w:qFormat/>
    <w:uiPriority w:val="0"/>
    <w:pPr>
      <w:widowControl/>
    </w:pPr>
    <w:rPr>
      <w:rFonts w:ascii="Times New Roman" w:hAnsi="Times New Roman"/>
      <w:kern w:val="0"/>
      <w:szCs w:val="21"/>
    </w:rPr>
  </w:style>
  <w:style w:type="paragraph" w:customStyle="1" w:styleId="27">
    <w:name w:val="GW-正文"/>
    <w:basedOn w:val="1"/>
    <w:autoRedefine/>
    <w:qFormat/>
    <w:uiPriority w:val="0"/>
    <w:pPr>
      <w:spacing w:line="360" w:lineRule="auto"/>
      <w:ind w:firstLine="200" w:firstLineChars="200"/>
      <w:contextualSpacing/>
    </w:pPr>
    <w:rPr>
      <w:szCs w:val="24"/>
      <w:lang w:val="zh-CN"/>
    </w:rPr>
  </w:style>
  <w:style w:type="paragraph" w:customStyle="1" w:styleId="28">
    <w:name w:val="msolistparagraph"/>
    <w:basedOn w:val="1"/>
    <w:autoRedefine/>
    <w:qFormat/>
    <w:uiPriority w:val="0"/>
    <w:pPr>
      <w:ind w:firstLine="420" w:firstLineChars="200"/>
    </w:pPr>
  </w:style>
  <w:style w:type="paragraph" w:customStyle="1" w:styleId="29">
    <w:name w:val="正文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H2"/>
    <w:basedOn w:val="8"/>
    <w:next w:val="1"/>
    <w:autoRedefine/>
    <w:qFormat/>
    <w:uiPriority w:val="0"/>
    <w:pPr>
      <w:jc w:val="center"/>
    </w:pPr>
    <w:rPr>
      <w:rFonts w:cs="Arial"/>
      <w:color w:val="000000"/>
      <w:sz w:val="21"/>
      <w:szCs w:val="2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34770</Words>
  <Characters>36229</Characters>
  <Lines>301</Lines>
  <Paragraphs>85</Paragraphs>
  <TotalTime>0</TotalTime>
  <ScaleCrop>false</ScaleCrop>
  <LinksUpToDate>false</LinksUpToDate>
  <CharactersWithSpaces>36973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2021-07-30T05:50:00Z</dcterms:created>
  <dc:creator>Administrator</dc:creator>
  <cp:lastModifiedBy>二丁目</cp:lastModifiedBy>
  <cp:lastPrinted>2022-08-04T00:50:00Z</cp:lastPrinted>
  <dcterms:modified xsi:type="dcterms:W3CDTF">2024-07-15T07:23:59Z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D75C6BD28BAE4DFFB1E12893DF081CAB</vt:lpwstr>
  </property>
</Properties>
</file>