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600" w:lineRule="auto"/>
        <w:jc w:val="center"/>
        <w:rPr>
          <w:rFonts w:ascii="宋体" w:hAnsi="宋体" w:cs="宋体"/>
          <w:snapToGrid w:val="0"/>
          <w:color w:val="000000" w:themeColor="text1"/>
          <w:kern w:val="0"/>
          <w:sz w:val="28"/>
          <w:szCs w:val="28"/>
          <w:highlight w:val="none"/>
          <w14:textFill>
            <w14:solidFill>
              <w14:schemeClr w14:val="tx1"/>
            </w14:solidFill>
          </w14:textFill>
        </w:rPr>
      </w:pPr>
      <w:r>
        <w:rPr>
          <w:rFonts w:hint="eastAsia" w:ascii="宋体" w:hAnsi="宋体" w:cs="宋体"/>
          <w:snapToGrid w:val="0"/>
          <w:color w:val="000000" w:themeColor="text1"/>
          <w:kern w:val="0"/>
          <w:sz w:val="28"/>
          <w:szCs w:val="28"/>
          <w:highlight w:val="none"/>
          <w14:textFill>
            <w14:solidFill>
              <w14:schemeClr w14:val="tx1"/>
            </w14:solidFill>
          </w14:textFill>
        </w:rPr>
        <w:t>采购项目：皖北卫生职业学院</w:t>
      </w:r>
      <w:r>
        <w:rPr>
          <w:rFonts w:hint="eastAsia" w:ascii="宋体" w:hAnsi="宋体" w:cs="宋体"/>
          <w:snapToGrid w:val="0"/>
          <w:color w:val="000000" w:themeColor="text1"/>
          <w:kern w:val="0"/>
          <w:sz w:val="28"/>
          <w:szCs w:val="28"/>
          <w:highlight w:val="none"/>
          <w:lang w:val="en-US" w:eastAsia="zh-CN"/>
          <w14:textFill>
            <w14:solidFill>
              <w14:schemeClr w14:val="tx1"/>
            </w14:solidFill>
          </w14:textFill>
        </w:rPr>
        <w:t>第一</w:t>
      </w:r>
      <w:r>
        <w:rPr>
          <w:rFonts w:hint="eastAsia" w:ascii="宋体" w:hAnsi="宋体" w:cs="宋体"/>
          <w:snapToGrid w:val="0"/>
          <w:color w:val="000000" w:themeColor="text1"/>
          <w:kern w:val="0"/>
          <w:sz w:val="28"/>
          <w:szCs w:val="28"/>
          <w:highlight w:val="none"/>
          <w14:textFill>
            <w14:solidFill>
              <w14:schemeClr w14:val="tx1"/>
            </w14:solidFill>
          </w14:textFill>
        </w:rPr>
        <w:t>食堂经营服务项目</w:t>
      </w:r>
    </w:p>
    <w:p>
      <w:pPr>
        <w:tabs>
          <w:tab w:val="left" w:pos="420"/>
        </w:tabs>
        <w:wordWrap w:val="0"/>
        <w:spacing w:line="600" w:lineRule="auto"/>
        <w:jc w:val="center"/>
        <w:rPr>
          <w:rFonts w:ascii="宋体" w:hAnsi="宋体" w:cs="宋体"/>
          <w:snapToGrid w:val="0"/>
          <w:color w:val="000000" w:themeColor="text1"/>
          <w:kern w:val="0"/>
          <w:sz w:val="28"/>
          <w:szCs w:val="28"/>
          <w:highlight w:val="none"/>
          <w14:textFill>
            <w14:solidFill>
              <w14:schemeClr w14:val="tx1"/>
            </w14:solidFill>
          </w14:textFill>
        </w:rPr>
      </w:pPr>
      <w:r>
        <w:rPr>
          <w:rFonts w:hint="eastAsia" w:ascii="宋体" w:hAnsi="宋体" w:cs="宋体"/>
          <w:snapToGrid w:val="0"/>
          <w:color w:val="000000" w:themeColor="text1"/>
          <w:kern w:val="0"/>
          <w:sz w:val="28"/>
          <w:szCs w:val="28"/>
          <w:highlight w:val="none"/>
          <w14:textFill>
            <w14:solidFill>
              <w14:schemeClr w14:val="tx1"/>
            </w14:solidFill>
          </w14:textFill>
        </w:rPr>
        <w:t>项目编号：</w:t>
      </w:r>
    </w:p>
    <w:p>
      <w:pPr>
        <w:tabs>
          <w:tab w:val="left" w:pos="420"/>
        </w:tabs>
        <w:wordWrap w:val="0"/>
        <w:spacing w:line="360" w:lineRule="auto"/>
        <w:rPr>
          <w:rFonts w:ascii="宋体" w:hAnsi="宋体" w:cs="宋体"/>
          <w:snapToGrid w:val="0"/>
          <w:color w:val="000000" w:themeColor="text1"/>
          <w:kern w:val="0"/>
          <w:sz w:val="28"/>
          <w:szCs w:val="28"/>
          <w:highlight w:val="none"/>
          <w14:textFill>
            <w14:solidFill>
              <w14:schemeClr w14:val="tx1"/>
            </w14:solidFill>
          </w14:textFill>
        </w:rPr>
      </w:pPr>
    </w:p>
    <w:p>
      <w:pPr>
        <w:tabs>
          <w:tab w:val="left" w:pos="315"/>
          <w:tab w:val="left" w:pos="8820"/>
        </w:tabs>
        <w:wordWrap w:val="0"/>
        <w:spacing w:line="360" w:lineRule="auto"/>
        <w:jc w:val="center"/>
        <w:rPr>
          <w:rFonts w:ascii="宋体" w:hAnsi="宋体" w:cs="宋体"/>
          <w:b/>
          <w:bCs/>
          <w:snapToGrid w:val="0"/>
          <w:color w:val="000000" w:themeColor="text1"/>
          <w:kern w:val="0"/>
          <w:sz w:val="72"/>
          <w:szCs w:val="72"/>
          <w:highlight w:val="none"/>
          <w14:textFill>
            <w14:solidFill>
              <w14:schemeClr w14:val="tx1"/>
            </w14:solidFill>
          </w14:textFill>
        </w:rPr>
      </w:pPr>
    </w:p>
    <w:p>
      <w:pPr>
        <w:tabs>
          <w:tab w:val="left" w:pos="315"/>
          <w:tab w:val="left" w:pos="8820"/>
        </w:tabs>
        <w:wordWrap w:val="0"/>
        <w:spacing w:line="360" w:lineRule="auto"/>
        <w:jc w:val="center"/>
        <w:rPr>
          <w:rFonts w:ascii="宋体" w:hAnsi="宋体" w:cs="宋体"/>
          <w:b/>
          <w:bCs/>
          <w:snapToGrid w:val="0"/>
          <w:color w:val="000000" w:themeColor="text1"/>
          <w:kern w:val="0"/>
          <w:sz w:val="72"/>
          <w:szCs w:val="72"/>
          <w:highlight w:val="none"/>
          <w14:textFill>
            <w14:solidFill>
              <w14:schemeClr w14:val="tx1"/>
            </w14:solidFill>
          </w14:textFill>
        </w:rPr>
      </w:pPr>
      <w:r>
        <w:rPr>
          <w:rFonts w:hint="eastAsia" w:ascii="宋体" w:hAnsi="宋体" w:cs="宋体"/>
          <w:b/>
          <w:bCs/>
          <w:snapToGrid w:val="0"/>
          <w:color w:val="000000" w:themeColor="text1"/>
          <w:kern w:val="0"/>
          <w:sz w:val="72"/>
          <w:szCs w:val="72"/>
          <w:highlight w:val="none"/>
          <w14:textFill>
            <w14:solidFill>
              <w14:schemeClr w14:val="tx1"/>
            </w14:solidFill>
          </w14:textFill>
        </w:rPr>
        <w:t>招</w:t>
      </w:r>
    </w:p>
    <w:p>
      <w:pPr>
        <w:tabs>
          <w:tab w:val="left" w:pos="315"/>
          <w:tab w:val="left" w:pos="8820"/>
        </w:tabs>
        <w:wordWrap w:val="0"/>
        <w:spacing w:line="360" w:lineRule="auto"/>
        <w:jc w:val="center"/>
        <w:rPr>
          <w:rFonts w:ascii="宋体" w:hAnsi="宋体" w:cs="宋体"/>
          <w:b/>
          <w:bCs/>
          <w:snapToGrid w:val="0"/>
          <w:color w:val="000000" w:themeColor="text1"/>
          <w:kern w:val="0"/>
          <w:sz w:val="72"/>
          <w:szCs w:val="72"/>
          <w:highlight w:val="none"/>
          <w14:textFill>
            <w14:solidFill>
              <w14:schemeClr w14:val="tx1"/>
            </w14:solidFill>
          </w14:textFill>
        </w:rPr>
      </w:pPr>
      <w:r>
        <w:rPr>
          <w:rFonts w:hint="eastAsia" w:ascii="宋体" w:hAnsi="宋体" w:cs="宋体"/>
          <w:b/>
          <w:bCs/>
          <w:snapToGrid w:val="0"/>
          <w:color w:val="000000" w:themeColor="text1"/>
          <w:kern w:val="0"/>
          <w:sz w:val="72"/>
          <w:szCs w:val="72"/>
          <w:highlight w:val="none"/>
          <w14:textFill>
            <w14:solidFill>
              <w14:schemeClr w14:val="tx1"/>
            </w14:solidFill>
          </w14:textFill>
        </w:rPr>
        <w:t>标</w:t>
      </w:r>
    </w:p>
    <w:p>
      <w:pPr>
        <w:tabs>
          <w:tab w:val="left" w:pos="315"/>
          <w:tab w:val="left" w:pos="8820"/>
        </w:tabs>
        <w:wordWrap w:val="0"/>
        <w:spacing w:line="360" w:lineRule="auto"/>
        <w:jc w:val="center"/>
        <w:rPr>
          <w:rFonts w:ascii="宋体" w:hAnsi="宋体" w:cs="宋体"/>
          <w:b/>
          <w:bCs/>
          <w:snapToGrid w:val="0"/>
          <w:color w:val="000000" w:themeColor="text1"/>
          <w:kern w:val="0"/>
          <w:sz w:val="72"/>
          <w:szCs w:val="72"/>
          <w:highlight w:val="none"/>
          <w14:textFill>
            <w14:solidFill>
              <w14:schemeClr w14:val="tx1"/>
            </w14:solidFill>
          </w14:textFill>
        </w:rPr>
      </w:pPr>
      <w:r>
        <w:rPr>
          <w:rFonts w:hint="eastAsia" w:ascii="宋体" w:hAnsi="宋体" w:cs="宋体"/>
          <w:b/>
          <w:bCs/>
          <w:snapToGrid w:val="0"/>
          <w:color w:val="000000" w:themeColor="text1"/>
          <w:kern w:val="0"/>
          <w:sz w:val="72"/>
          <w:szCs w:val="72"/>
          <w:highlight w:val="none"/>
          <w14:textFill>
            <w14:solidFill>
              <w14:schemeClr w14:val="tx1"/>
            </w14:solidFill>
          </w14:textFill>
        </w:rPr>
        <w:t>文</w:t>
      </w:r>
    </w:p>
    <w:p>
      <w:pPr>
        <w:tabs>
          <w:tab w:val="left" w:pos="315"/>
          <w:tab w:val="left" w:pos="8820"/>
        </w:tabs>
        <w:wordWrap w:val="0"/>
        <w:spacing w:line="360" w:lineRule="auto"/>
        <w:jc w:val="center"/>
        <w:rPr>
          <w:rFonts w:ascii="宋体" w:hAnsi="宋体" w:cs="宋体"/>
          <w:b/>
          <w:bCs/>
          <w:snapToGrid w:val="0"/>
          <w:color w:val="000000" w:themeColor="text1"/>
          <w:kern w:val="0"/>
          <w:sz w:val="72"/>
          <w:szCs w:val="72"/>
          <w:highlight w:val="none"/>
          <w14:textFill>
            <w14:solidFill>
              <w14:schemeClr w14:val="tx1"/>
            </w14:solidFill>
          </w14:textFill>
        </w:rPr>
      </w:pPr>
      <w:r>
        <w:rPr>
          <w:rFonts w:hint="eastAsia" w:ascii="宋体" w:hAnsi="宋体" w:cs="宋体"/>
          <w:b/>
          <w:bCs/>
          <w:snapToGrid w:val="0"/>
          <w:color w:val="000000" w:themeColor="text1"/>
          <w:kern w:val="0"/>
          <w:sz w:val="72"/>
          <w:szCs w:val="72"/>
          <w:highlight w:val="none"/>
          <w14:textFill>
            <w14:solidFill>
              <w14:schemeClr w14:val="tx1"/>
            </w14:solidFill>
          </w14:textFill>
        </w:rPr>
        <w:t>件</w:t>
      </w:r>
    </w:p>
    <w:p>
      <w:pPr>
        <w:tabs>
          <w:tab w:val="left" w:pos="315"/>
          <w:tab w:val="left" w:pos="8820"/>
        </w:tabs>
        <w:wordWrap w:val="0"/>
        <w:spacing w:line="500" w:lineRule="exact"/>
        <w:jc w:val="center"/>
        <w:rPr>
          <w:rFonts w:ascii="宋体" w:hAnsi="宋体" w:cs="宋体"/>
          <w:snapToGrid w:val="0"/>
          <w:color w:val="000000" w:themeColor="text1"/>
          <w:kern w:val="0"/>
          <w:sz w:val="44"/>
          <w:highlight w:val="none"/>
          <w14:textFill>
            <w14:solidFill>
              <w14:schemeClr w14:val="tx1"/>
            </w14:solidFill>
          </w14:textFill>
        </w:rPr>
      </w:pPr>
    </w:p>
    <w:p>
      <w:pPr>
        <w:tabs>
          <w:tab w:val="left" w:pos="315"/>
          <w:tab w:val="left" w:pos="8820"/>
        </w:tabs>
        <w:wordWrap w:val="0"/>
        <w:spacing w:line="500" w:lineRule="exact"/>
        <w:jc w:val="center"/>
        <w:rPr>
          <w:rFonts w:ascii="宋体" w:hAnsi="宋体" w:cs="宋体"/>
          <w:snapToGrid w:val="0"/>
          <w:color w:val="000000" w:themeColor="text1"/>
          <w:kern w:val="0"/>
          <w:sz w:val="44"/>
          <w:highlight w:val="none"/>
          <w14:textFill>
            <w14:solidFill>
              <w14:schemeClr w14:val="tx1"/>
            </w14:solidFill>
          </w14:textFill>
        </w:rPr>
      </w:pPr>
    </w:p>
    <w:p>
      <w:pPr>
        <w:tabs>
          <w:tab w:val="left" w:pos="315"/>
          <w:tab w:val="left" w:pos="8820"/>
        </w:tabs>
        <w:wordWrap w:val="0"/>
        <w:spacing w:line="500" w:lineRule="exact"/>
        <w:jc w:val="center"/>
        <w:rPr>
          <w:rFonts w:ascii="宋体" w:hAnsi="宋体" w:cs="宋体"/>
          <w:snapToGrid w:val="0"/>
          <w:color w:val="000000" w:themeColor="text1"/>
          <w:kern w:val="0"/>
          <w:sz w:val="48"/>
          <w:szCs w:val="24"/>
          <w:highlight w:val="none"/>
          <w14:textFill>
            <w14:solidFill>
              <w14:schemeClr w14:val="tx1"/>
            </w14:solidFill>
          </w14:textFill>
        </w:rPr>
      </w:pPr>
    </w:p>
    <w:p>
      <w:pPr>
        <w:wordWrap w:val="0"/>
        <w:jc w:val="center"/>
        <w:rPr>
          <w:rFonts w:ascii="宋体" w:hAnsi="宋体" w:cs="宋体"/>
          <w:snapToGrid w:val="0"/>
          <w:color w:val="000000" w:themeColor="text1"/>
          <w:kern w:val="0"/>
          <w:sz w:val="32"/>
          <w:szCs w:val="32"/>
          <w:highlight w:val="none"/>
          <w14:textFill>
            <w14:solidFill>
              <w14:schemeClr w14:val="tx1"/>
            </w14:solidFill>
          </w14:textFill>
        </w:rPr>
      </w:pPr>
      <w:r>
        <w:rPr>
          <w:rFonts w:hint="eastAsia" w:ascii="宋体" w:hAnsi="宋体" w:cs="宋体"/>
          <w:snapToGrid w:val="0"/>
          <w:color w:val="000000" w:themeColor="text1"/>
          <w:kern w:val="0"/>
          <w:sz w:val="32"/>
          <w:szCs w:val="32"/>
          <w:highlight w:val="none"/>
          <w14:textFill>
            <w14:solidFill>
              <w14:schemeClr w14:val="tx1"/>
            </w14:solidFill>
          </w14:textFill>
        </w:rPr>
        <w:t>采购人：</w:t>
      </w:r>
      <w:r>
        <w:rPr>
          <w:rFonts w:hint="eastAsia" w:ascii="宋体" w:hAnsi="宋体" w:cs="宋体"/>
          <w:snapToGrid w:val="0"/>
          <w:color w:val="000000" w:themeColor="text1"/>
          <w:kern w:val="0"/>
          <w:sz w:val="32"/>
          <w:szCs w:val="32"/>
          <w:highlight w:val="none"/>
          <w14:textFill>
            <w14:solidFill>
              <w14:schemeClr w14:val="tx1"/>
            </w14:solidFill>
          </w14:textFill>
        </w:rPr>
        <w:tab/>
      </w:r>
      <w:r>
        <w:rPr>
          <w:rFonts w:hint="eastAsia" w:ascii="宋体" w:hAnsi="宋体" w:cs="宋体"/>
          <w:snapToGrid w:val="0"/>
          <w:color w:val="000000" w:themeColor="text1"/>
          <w:kern w:val="0"/>
          <w:sz w:val="32"/>
          <w:szCs w:val="32"/>
          <w:highlight w:val="none"/>
          <w14:textFill>
            <w14:solidFill>
              <w14:schemeClr w14:val="tx1"/>
            </w14:solidFill>
          </w14:textFill>
        </w:rPr>
        <w:t>皖北卫生职业学院 （盖章）</w:t>
      </w:r>
    </w:p>
    <w:p>
      <w:pPr>
        <w:wordWrap w:val="0"/>
        <w:jc w:val="center"/>
        <w:rPr>
          <w:rFonts w:ascii="宋体" w:hAnsi="宋体" w:cs="宋体"/>
          <w:snapToGrid w:val="0"/>
          <w:color w:val="000000" w:themeColor="text1"/>
          <w:kern w:val="0"/>
          <w:sz w:val="32"/>
          <w:szCs w:val="32"/>
          <w:highlight w:val="none"/>
          <w14:textFill>
            <w14:solidFill>
              <w14:schemeClr w14:val="tx1"/>
            </w14:solidFill>
          </w14:textFill>
        </w:rPr>
      </w:pPr>
      <w:r>
        <w:rPr>
          <w:rFonts w:hint="eastAsia" w:ascii="宋体" w:hAnsi="宋体" w:cs="宋体"/>
          <w:snapToGrid w:val="0"/>
          <w:color w:val="000000" w:themeColor="text1"/>
          <w:kern w:val="0"/>
          <w:sz w:val="32"/>
          <w:szCs w:val="32"/>
          <w:highlight w:val="none"/>
          <w14:textFill>
            <w14:solidFill>
              <w14:schemeClr w14:val="tx1"/>
            </w14:solidFill>
          </w14:textFill>
        </w:rPr>
        <w:t>代理机构：</w:t>
      </w:r>
      <w:r>
        <w:rPr>
          <w:rFonts w:hint="eastAsia" w:ascii="宋体" w:hAnsi="宋体" w:cs="宋体"/>
          <w:snapToGrid w:val="0"/>
          <w:color w:val="000000" w:themeColor="text1"/>
          <w:kern w:val="0"/>
          <w:sz w:val="32"/>
          <w:szCs w:val="32"/>
          <w:highlight w:val="none"/>
          <w14:textFill>
            <w14:solidFill>
              <w14:schemeClr w14:val="tx1"/>
            </w14:solidFill>
          </w14:textFill>
        </w:rPr>
        <w:tab/>
      </w:r>
      <w:r>
        <w:rPr>
          <w:rFonts w:hint="eastAsia" w:ascii="宋体" w:hAnsi="宋体" w:cs="宋体"/>
          <w:snapToGrid w:val="0"/>
          <w:color w:val="000000" w:themeColor="text1"/>
          <w:kern w:val="0"/>
          <w:sz w:val="32"/>
          <w:szCs w:val="32"/>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 w:val="32"/>
          <w:szCs w:val="32"/>
          <w:highlight w:val="none"/>
          <w14:textFill>
            <w14:solidFill>
              <w14:schemeClr w14:val="tx1"/>
            </w14:solidFill>
          </w14:textFill>
        </w:rPr>
        <w:t>有限公司（盖章）</w:t>
      </w:r>
    </w:p>
    <w:p>
      <w:pPr>
        <w:wordWrap w:val="0"/>
        <w:jc w:val="center"/>
        <w:rPr>
          <w:rFonts w:ascii="宋体" w:hAnsi="宋体" w:cs="宋体"/>
          <w:snapToGrid w:val="0"/>
          <w:color w:val="000000" w:themeColor="text1"/>
          <w:kern w:val="0"/>
          <w:sz w:val="32"/>
          <w:szCs w:val="32"/>
          <w:highlight w:val="none"/>
          <w14:textFill>
            <w14:solidFill>
              <w14:schemeClr w14:val="tx1"/>
            </w14:solidFill>
          </w14:textFill>
        </w:rPr>
      </w:pPr>
      <w:r>
        <w:rPr>
          <w:rFonts w:hint="eastAsia" w:ascii="宋体" w:hAnsi="宋体" w:cs="宋体"/>
          <w:snapToGrid w:val="0"/>
          <w:color w:val="000000" w:themeColor="text1"/>
          <w:kern w:val="0"/>
          <w:sz w:val="32"/>
          <w:szCs w:val="32"/>
          <w:highlight w:val="none"/>
          <w14:textFill>
            <w14:solidFill>
              <w14:schemeClr w14:val="tx1"/>
            </w14:solidFill>
          </w14:textFill>
        </w:rPr>
        <w:t>监督部门：</w:t>
      </w:r>
      <w:r>
        <w:rPr>
          <w:rFonts w:hint="eastAsia" w:ascii="宋体" w:hAnsi="宋体" w:cs="宋体"/>
          <w:snapToGrid w:val="0"/>
          <w:color w:val="000000" w:themeColor="text1"/>
          <w:kern w:val="0"/>
          <w:sz w:val="32"/>
          <w:szCs w:val="32"/>
          <w:highlight w:val="none"/>
          <w14:textFill>
            <w14:solidFill>
              <w14:schemeClr w14:val="tx1"/>
            </w14:solidFill>
          </w14:textFill>
        </w:rPr>
        <w:tab/>
      </w:r>
      <w:r>
        <w:rPr>
          <w:rFonts w:hint="eastAsia" w:ascii="宋体" w:hAnsi="宋体" w:cs="宋体"/>
          <w:snapToGrid w:val="0"/>
          <w:color w:val="000000" w:themeColor="text1"/>
          <w:kern w:val="0"/>
          <w:sz w:val="32"/>
          <w:szCs w:val="32"/>
          <w:highlight w:val="none"/>
          <w14:textFill>
            <w14:solidFill>
              <w14:schemeClr w14:val="tx1"/>
            </w14:solidFill>
          </w14:textFill>
        </w:rPr>
        <w:t>皖北卫生职业学院</w:t>
      </w:r>
    </w:p>
    <w:p>
      <w:pPr>
        <w:wordWrap w:val="0"/>
        <w:jc w:val="center"/>
        <w:rPr>
          <w:rFonts w:ascii="宋体" w:hAnsi="宋体" w:cs="宋体"/>
          <w:snapToGrid w:val="0"/>
          <w:color w:val="000000" w:themeColor="text1"/>
          <w:kern w:val="0"/>
          <w:sz w:val="32"/>
          <w:szCs w:val="32"/>
          <w:highlight w:val="none"/>
          <w14:textFill>
            <w14:solidFill>
              <w14:schemeClr w14:val="tx1"/>
            </w14:solidFill>
          </w14:textFill>
        </w:rPr>
      </w:pPr>
      <w:r>
        <w:rPr>
          <w:rFonts w:hint="eastAsia" w:ascii="宋体" w:hAnsi="宋体" w:cs="宋体"/>
          <w:snapToGrid w:val="0"/>
          <w:color w:val="000000" w:themeColor="text1"/>
          <w:kern w:val="0"/>
          <w:sz w:val="32"/>
          <w:szCs w:val="32"/>
          <w:highlight w:val="none"/>
          <w14:textFill>
            <w14:solidFill>
              <w14:schemeClr w14:val="tx1"/>
            </w14:solidFill>
          </w14:textFill>
        </w:rPr>
        <w:t>202</w:t>
      </w:r>
      <w:r>
        <w:rPr>
          <w:rFonts w:hint="eastAsia" w:ascii="宋体" w:hAnsi="宋体" w:cs="宋体"/>
          <w:snapToGrid w:val="0"/>
          <w:color w:val="000000" w:themeColor="text1"/>
          <w:kern w:val="0"/>
          <w:sz w:val="32"/>
          <w:szCs w:val="32"/>
          <w:highlight w:val="none"/>
          <w:lang w:val="en-US" w:eastAsia="zh-CN"/>
          <w14:textFill>
            <w14:solidFill>
              <w14:schemeClr w14:val="tx1"/>
            </w14:solidFill>
          </w14:textFill>
        </w:rPr>
        <w:t>4</w:t>
      </w:r>
      <w:r>
        <w:rPr>
          <w:rFonts w:hint="eastAsia" w:ascii="宋体" w:hAnsi="宋体" w:cs="宋体"/>
          <w:snapToGrid w:val="0"/>
          <w:color w:val="000000" w:themeColor="text1"/>
          <w:kern w:val="0"/>
          <w:sz w:val="32"/>
          <w:szCs w:val="32"/>
          <w:highlight w:val="none"/>
          <w14:textFill>
            <w14:solidFill>
              <w14:schemeClr w14:val="tx1"/>
            </w14:solidFill>
          </w14:textFill>
        </w:rPr>
        <w:t>年0</w:t>
      </w:r>
      <w:r>
        <w:rPr>
          <w:rFonts w:hint="eastAsia" w:ascii="宋体" w:hAnsi="宋体" w:cs="宋体"/>
          <w:snapToGrid w:val="0"/>
          <w:color w:val="000000" w:themeColor="text1"/>
          <w:kern w:val="0"/>
          <w:sz w:val="32"/>
          <w:szCs w:val="32"/>
          <w:highlight w:val="none"/>
          <w:lang w:val="en-US" w:eastAsia="zh-CN"/>
          <w14:textFill>
            <w14:solidFill>
              <w14:schemeClr w14:val="tx1"/>
            </w14:solidFill>
          </w14:textFill>
        </w:rPr>
        <w:t>7</w:t>
      </w:r>
      <w:r>
        <w:rPr>
          <w:rFonts w:hint="eastAsia" w:ascii="宋体" w:hAnsi="宋体" w:cs="宋体"/>
          <w:snapToGrid w:val="0"/>
          <w:color w:val="000000" w:themeColor="text1"/>
          <w:kern w:val="0"/>
          <w:sz w:val="32"/>
          <w:szCs w:val="32"/>
          <w:highlight w:val="none"/>
          <w14:textFill>
            <w14:solidFill>
              <w14:schemeClr w14:val="tx1"/>
            </w14:solidFill>
          </w14:textFill>
        </w:rPr>
        <w:t>月</w:t>
      </w:r>
    </w:p>
    <w:p>
      <w:pPr>
        <w:wordWrap w:val="0"/>
        <w:jc w:val="center"/>
        <w:rPr>
          <w:rFonts w:ascii="宋体" w:hAnsi="宋体" w:cs="宋体"/>
          <w:snapToGrid w:val="0"/>
          <w:color w:val="000000" w:themeColor="text1"/>
          <w:kern w:val="0"/>
          <w:sz w:val="28"/>
          <w:szCs w:val="28"/>
          <w:highlight w:val="none"/>
          <w14:textFill>
            <w14:solidFill>
              <w14:schemeClr w14:val="tx1"/>
            </w14:solidFill>
          </w14:textFill>
        </w:rPr>
      </w:pPr>
    </w:p>
    <w:p>
      <w:pPr>
        <w:wordWrap w:val="0"/>
        <w:rPr>
          <w:rFonts w:ascii="宋体" w:hAnsi="宋体" w:cs="宋体"/>
          <w:b/>
          <w:snapToGrid w:val="0"/>
          <w:color w:val="000000" w:themeColor="text1"/>
          <w:kern w:val="0"/>
          <w:sz w:val="32"/>
          <w:szCs w:val="32"/>
          <w:highlight w:val="none"/>
          <w14:textFill>
            <w14:solidFill>
              <w14:schemeClr w14:val="tx1"/>
            </w14:solidFill>
          </w14:textFill>
        </w:rPr>
      </w:pPr>
      <w:r>
        <w:rPr>
          <w:rFonts w:hint="eastAsia" w:ascii="宋体" w:hAnsi="宋体" w:cs="宋体"/>
          <w:b/>
          <w:snapToGrid w:val="0"/>
          <w:color w:val="000000" w:themeColor="text1"/>
          <w:kern w:val="0"/>
          <w:sz w:val="32"/>
          <w:szCs w:val="32"/>
          <w:highlight w:val="none"/>
          <w14:textFill>
            <w14:solidFill>
              <w14:schemeClr w14:val="tx1"/>
            </w14:solidFill>
          </w14:textFill>
        </w:rPr>
        <w:br w:type="page"/>
      </w:r>
    </w:p>
    <w:p>
      <w:pPr>
        <w:jc w:val="cente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监督部门和交易平台</w:t>
      </w:r>
    </w:p>
    <w:p>
      <w:pPr>
        <w:pStyle w:val="31"/>
        <w:ind w:firstLine="520"/>
        <w:jc w:val="left"/>
        <w:rPr>
          <w:rFonts w:ascii="黑体" w:hAnsi="黑体" w:eastAsia="黑体"/>
          <w:color w:val="000000" w:themeColor="text1"/>
          <w:sz w:val="28"/>
          <w:szCs w:val="28"/>
          <w:highlight w:val="none"/>
          <w14:textFill>
            <w14:solidFill>
              <w14:schemeClr w14:val="tx1"/>
            </w14:solidFill>
          </w14:textFill>
        </w:rPr>
      </w:pPr>
    </w:p>
    <w:p>
      <w:pPr>
        <w:pStyle w:val="31"/>
        <w:ind w:firstLine="520"/>
        <w:jc w:val="left"/>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一、本项目监督部门：</w:t>
      </w:r>
      <w:r>
        <w:rPr>
          <w:rFonts w:hint="eastAsia" w:ascii="黑体" w:hAnsi="黑体" w:eastAsia="黑体"/>
          <w:color w:val="000000" w:themeColor="text1"/>
          <w:sz w:val="28"/>
          <w:szCs w:val="28"/>
          <w:highlight w:val="none"/>
          <w:u w:val="single"/>
          <w14:textFill>
            <w14:solidFill>
              <w14:schemeClr w14:val="tx1"/>
            </w14:solidFill>
          </w14:textFill>
        </w:rPr>
        <w:t xml:space="preserve">  皖北卫生职业学院</w:t>
      </w:r>
    </w:p>
    <w:p>
      <w:pPr>
        <w:ind w:firstLine="522" w:firstLineChars="200"/>
        <w:jc w:val="left"/>
        <w:rPr>
          <w:rFonts w:ascii="宋体" w:hAnsi="宋体"/>
          <w:color w:val="000000" w:themeColor="text1"/>
          <w:sz w:val="28"/>
          <w:szCs w:val="28"/>
          <w:highlight w:val="none"/>
          <w14:textFill>
            <w14:solidFill>
              <w14:schemeClr w14:val="tx1"/>
            </w14:solidFill>
          </w14:textFill>
        </w:rPr>
      </w:pPr>
    </w:p>
    <w:p>
      <w:pPr>
        <w:ind w:firstLine="522" w:firstLineChars="200"/>
        <w:jc w:val="left"/>
        <w:rPr>
          <w:rFonts w:ascii="宋体" w:hAnsi="宋体"/>
          <w:color w:val="000000" w:themeColor="text1"/>
          <w:sz w:val="28"/>
          <w:szCs w:val="28"/>
          <w:highlight w:val="none"/>
          <w:u w:val="singl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地址：</w:t>
      </w:r>
    </w:p>
    <w:p>
      <w:pPr>
        <w:ind w:firstLine="522" w:firstLineChars="200"/>
        <w:jc w:val="left"/>
        <w:rPr>
          <w:rFonts w:ascii="宋体" w:hAnsi="宋体"/>
          <w:color w:val="000000" w:themeColor="text1"/>
          <w:sz w:val="28"/>
          <w:szCs w:val="28"/>
          <w:highlight w:val="none"/>
          <w14:textFill>
            <w14:solidFill>
              <w14:schemeClr w14:val="tx1"/>
            </w14:solidFill>
          </w14:textFill>
        </w:rPr>
      </w:pPr>
    </w:p>
    <w:p>
      <w:pPr>
        <w:ind w:firstLine="522" w:firstLineChars="200"/>
        <w:jc w:val="left"/>
        <w:rPr>
          <w:rFonts w:ascii="黑体" w:hAnsi="黑体"/>
          <w:color w:val="000000" w:themeColor="text1"/>
          <w:sz w:val="28"/>
          <w:szCs w:val="28"/>
          <w:highlight w:val="none"/>
          <w:u w:val="singl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监督电话：</w:t>
      </w:r>
    </w:p>
    <w:p>
      <w:pPr>
        <w:ind w:firstLine="914" w:firstLineChars="350"/>
        <w:jc w:val="left"/>
        <w:rPr>
          <w:rFonts w:ascii="黑体" w:hAnsi="黑体" w:eastAsia="黑体"/>
          <w:color w:val="000000" w:themeColor="text1"/>
          <w:sz w:val="28"/>
          <w:szCs w:val="28"/>
          <w:highlight w:val="none"/>
          <w:u w:val="single"/>
          <w14:textFill>
            <w14:solidFill>
              <w14:schemeClr w14:val="tx1"/>
            </w14:solidFill>
          </w14:textFill>
        </w:rPr>
      </w:pPr>
    </w:p>
    <w:p>
      <w:pPr>
        <w:ind w:firstLine="914" w:firstLineChars="350"/>
        <w:jc w:val="left"/>
        <w:rPr>
          <w:rFonts w:ascii="黑体" w:hAnsi="黑体" w:eastAsia="黑体"/>
          <w:color w:val="000000" w:themeColor="text1"/>
          <w:sz w:val="28"/>
          <w:szCs w:val="28"/>
          <w:highlight w:val="none"/>
          <w14:textFill>
            <w14:solidFill>
              <w14:schemeClr w14:val="tx1"/>
            </w14:solidFill>
          </w14:textFill>
        </w:rPr>
      </w:pPr>
    </w:p>
    <w:p>
      <w:pPr>
        <w:ind w:firstLine="914" w:firstLineChars="350"/>
        <w:jc w:val="left"/>
        <w:rPr>
          <w:rFonts w:ascii="黑体" w:hAnsi="黑体" w:eastAsia="黑体"/>
          <w:color w:val="000000" w:themeColor="text1"/>
          <w:sz w:val="28"/>
          <w:szCs w:val="28"/>
          <w:highlight w:val="none"/>
          <w14:textFill>
            <w14:solidFill>
              <w14:schemeClr w14:val="tx1"/>
            </w14:solidFill>
          </w14:textFill>
        </w:rPr>
      </w:pPr>
    </w:p>
    <w:p>
      <w:pPr>
        <w:ind w:firstLine="522" w:firstLineChars="200"/>
        <w:jc w:val="left"/>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二、</w:t>
      </w:r>
      <w:r>
        <w:rPr>
          <w:rFonts w:ascii="黑体" w:hAnsi="黑体" w:eastAsia="黑体"/>
          <w:color w:val="000000" w:themeColor="text1"/>
          <w:sz w:val="28"/>
          <w:szCs w:val="28"/>
          <w:highlight w:val="none"/>
          <w14:textFill>
            <w14:solidFill>
              <w14:schemeClr w14:val="tx1"/>
            </w14:solidFill>
          </w14:textFill>
        </w:rPr>
        <w:t>本项目交易平台所在地</w:t>
      </w:r>
      <w:r>
        <w:rPr>
          <w:rFonts w:hint="eastAsia" w:ascii="黑体" w:hAnsi="黑体" w:eastAsia="黑体"/>
          <w:color w:val="000000" w:themeColor="text1"/>
          <w:sz w:val="28"/>
          <w:szCs w:val="28"/>
          <w:highlight w:val="none"/>
          <w14:textFill>
            <w14:solidFill>
              <w14:schemeClr w14:val="tx1"/>
            </w14:solidFill>
          </w14:textFill>
        </w:rPr>
        <w:t>：</w:t>
      </w:r>
      <w:r>
        <w:rPr>
          <w:rFonts w:hint="eastAsia" w:ascii="黑体" w:hAnsi="黑体" w:eastAsia="黑体"/>
          <w:color w:val="000000" w:themeColor="text1"/>
          <w:sz w:val="28"/>
          <w:szCs w:val="28"/>
          <w:highlight w:val="none"/>
          <w:u w:val="single"/>
          <w14:textFill>
            <w14:solidFill>
              <w14:schemeClr w14:val="tx1"/>
            </w14:solidFill>
          </w14:textFill>
        </w:rPr>
        <w:t>宿州市</w:t>
      </w:r>
      <w:r>
        <w:rPr>
          <w:rFonts w:ascii="黑体" w:hAnsi="黑体" w:eastAsia="黑体"/>
          <w:color w:val="000000" w:themeColor="text1"/>
          <w:sz w:val="28"/>
          <w:szCs w:val="28"/>
          <w:highlight w:val="none"/>
          <w14:textFill>
            <w14:solidFill>
              <w14:schemeClr w14:val="tx1"/>
            </w14:solidFill>
          </w14:textFill>
        </w:rPr>
        <w:t>公共资源交易中心</w:t>
      </w:r>
    </w:p>
    <w:p>
      <w:pPr>
        <w:pStyle w:val="31"/>
        <w:ind w:firstLine="0" w:firstLineChars="0"/>
        <w:jc w:val="left"/>
        <w:rPr>
          <w:rFonts w:ascii="黑体" w:hAnsi="黑体" w:eastAsia="黑体"/>
          <w:color w:val="000000" w:themeColor="text1"/>
          <w:sz w:val="28"/>
          <w:szCs w:val="28"/>
          <w:highlight w:val="none"/>
          <w14:textFill>
            <w14:solidFill>
              <w14:schemeClr w14:val="tx1"/>
            </w14:solidFill>
          </w14:textFill>
        </w:rPr>
      </w:pPr>
    </w:p>
    <w:p>
      <w:pPr>
        <w:pStyle w:val="31"/>
        <w:ind w:firstLine="520"/>
        <w:jc w:val="left"/>
        <w:rPr>
          <w:color w:val="000000" w:themeColor="text1"/>
          <w:sz w:val="28"/>
          <w:szCs w:val="28"/>
          <w:highlight w:val="none"/>
          <w:u w:val="single"/>
          <w14:textFill>
            <w14:solidFill>
              <w14:schemeClr w14:val="tx1"/>
            </w14:solidFill>
          </w14:textFill>
        </w:rPr>
      </w:pPr>
      <w:r>
        <w:rPr>
          <w:color w:val="000000" w:themeColor="text1"/>
          <w:sz w:val="28"/>
          <w:szCs w:val="28"/>
          <w:highlight w:val="none"/>
          <w14:textFill>
            <w14:solidFill>
              <w14:schemeClr w14:val="tx1"/>
            </w14:solidFill>
          </w14:textFill>
        </w:rPr>
        <w:t>地</w:t>
      </w:r>
      <w:r>
        <w:rPr>
          <w:rFonts w:hint="eastAsia"/>
          <w:color w:val="000000" w:themeColor="text1"/>
          <w:sz w:val="28"/>
          <w:szCs w:val="28"/>
          <w:highlight w:val="none"/>
          <w14:textFill>
            <w14:solidFill>
              <w14:schemeClr w14:val="tx1"/>
            </w14:solidFill>
          </w14:textFill>
        </w:rPr>
        <w:t>址</w:t>
      </w:r>
      <w:r>
        <w:rPr>
          <w:color w:val="000000" w:themeColor="text1"/>
          <w:sz w:val="28"/>
          <w:szCs w:val="28"/>
          <w:highlight w:val="none"/>
          <w14:textFill>
            <w14:solidFill>
              <w14:schemeClr w14:val="tx1"/>
            </w14:solidFill>
          </w14:textFill>
        </w:rPr>
        <w:t>：</w:t>
      </w:r>
      <w:r>
        <w:rPr>
          <w:rFonts w:hint="eastAsia"/>
          <w:color w:val="000000" w:themeColor="text1"/>
          <w:sz w:val="28"/>
          <w:szCs w:val="28"/>
          <w:highlight w:val="none"/>
          <w:u w:val="single"/>
          <w14:textFill>
            <w14:solidFill>
              <w14:schemeClr w14:val="tx1"/>
            </w14:solidFill>
          </w14:textFill>
        </w:rPr>
        <w:t>宿州市埇桥区埇上路 566 号（市政务服务中心 5 楼）</w:t>
      </w:r>
    </w:p>
    <w:p>
      <w:pPr>
        <w:pStyle w:val="31"/>
        <w:ind w:firstLine="520"/>
        <w:jc w:val="left"/>
        <w:rPr>
          <w:color w:val="000000" w:themeColor="text1"/>
          <w:sz w:val="28"/>
          <w:szCs w:val="28"/>
          <w:highlight w:val="none"/>
          <w14:textFill>
            <w14:solidFill>
              <w14:schemeClr w14:val="tx1"/>
            </w14:solidFill>
          </w14:textFill>
        </w:rPr>
      </w:pPr>
    </w:p>
    <w:p>
      <w:pPr>
        <w:pStyle w:val="31"/>
        <w:ind w:firstLine="520"/>
        <w:jc w:val="left"/>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电话：</w:t>
      </w:r>
      <w:r>
        <w:rPr>
          <w:rFonts w:hint="eastAsia"/>
          <w:color w:val="000000" w:themeColor="text1"/>
          <w:sz w:val="28"/>
          <w:szCs w:val="28"/>
          <w:highlight w:val="none"/>
          <w:u w:val="single"/>
          <w14:textFill>
            <w14:solidFill>
              <w14:schemeClr w14:val="tx1"/>
            </w14:solidFill>
          </w14:textFill>
        </w:rPr>
        <w:t xml:space="preserve">       0557-3030329      </w:t>
      </w:r>
    </w:p>
    <w:p>
      <w:pPr>
        <w:pStyle w:val="31"/>
        <w:ind w:firstLine="520"/>
        <w:jc w:val="left"/>
        <w:rPr>
          <w:color w:val="000000" w:themeColor="text1"/>
          <w:sz w:val="28"/>
          <w:szCs w:val="28"/>
          <w:highlight w:val="none"/>
          <w14:textFill>
            <w14:solidFill>
              <w14:schemeClr w14:val="tx1"/>
            </w14:solidFill>
          </w14:textFill>
        </w:rPr>
      </w:pPr>
    </w:p>
    <w:p>
      <w:pPr>
        <w:pStyle w:val="31"/>
        <w:ind w:firstLine="520"/>
        <w:jc w:val="left"/>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网址：http://</w:t>
      </w:r>
      <w:r>
        <w:rPr>
          <w:rFonts w:hint="eastAsia"/>
          <w:color w:val="000000" w:themeColor="text1"/>
          <w:sz w:val="28"/>
          <w:szCs w:val="28"/>
          <w:highlight w:val="none"/>
          <w:u w:val="single"/>
          <w14:textFill>
            <w14:solidFill>
              <w14:schemeClr w14:val="tx1"/>
            </w14:solidFill>
          </w14:textFill>
        </w:rPr>
        <w:t xml:space="preserve"> ggzyjy.ahsz.gov.cn/  </w:t>
      </w:r>
    </w:p>
    <w:p>
      <w:pPr>
        <w:pStyle w:val="31"/>
        <w:ind w:firstLine="520"/>
        <w:jc w:val="left"/>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（保证金缴纳）户名：</w:t>
      </w:r>
      <w:r>
        <w:rPr>
          <w:rFonts w:hint="eastAsia"/>
          <w:color w:val="000000" w:themeColor="text1"/>
          <w:sz w:val="28"/>
          <w:szCs w:val="28"/>
          <w:highlight w:val="none"/>
          <w:u w:val="single"/>
          <w14:textFill>
            <w14:solidFill>
              <w14:schemeClr w14:val="tx1"/>
            </w14:solidFill>
          </w14:textFill>
        </w:rPr>
        <w:t>/</w:t>
      </w:r>
    </w:p>
    <w:p>
      <w:pPr>
        <w:pStyle w:val="31"/>
        <w:ind w:firstLine="520"/>
        <w:jc w:val="left"/>
        <w:rPr>
          <w:color w:val="000000" w:themeColor="text1"/>
          <w:sz w:val="28"/>
          <w:szCs w:val="28"/>
          <w:highlight w:val="none"/>
          <w14:textFill>
            <w14:solidFill>
              <w14:schemeClr w14:val="tx1"/>
            </w14:solidFill>
          </w14:textFill>
        </w:rPr>
      </w:pPr>
    </w:p>
    <w:p>
      <w:pPr>
        <w:pStyle w:val="31"/>
        <w:ind w:firstLine="520"/>
        <w:jc w:val="left"/>
        <w:rPr>
          <w:rFonts w:ascii="黑体" w:hAnsi="黑体"/>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开户行：</w:t>
      </w:r>
      <w:r>
        <w:rPr>
          <w:rFonts w:hint="eastAsia"/>
          <w:color w:val="000000" w:themeColor="text1"/>
          <w:sz w:val="28"/>
          <w:szCs w:val="28"/>
          <w:highlight w:val="none"/>
          <w:u w:val="single"/>
          <w14:textFill>
            <w14:solidFill>
              <w14:schemeClr w14:val="tx1"/>
            </w14:solidFill>
          </w14:textFill>
        </w:rPr>
        <w:t>/</w:t>
      </w:r>
    </w:p>
    <w:p>
      <w:pPr>
        <w:wordWrap w:val="0"/>
        <w:jc w:val="center"/>
        <w:rPr>
          <w:rFonts w:ascii="宋体" w:hAnsi="宋体" w:cs="宋体"/>
          <w:b/>
          <w:snapToGrid w:val="0"/>
          <w:color w:val="000000" w:themeColor="text1"/>
          <w:kern w:val="0"/>
          <w:sz w:val="32"/>
          <w:szCs w:val="32"/>
          <w:highlight w:val="none"/>
          <w14:textFill>
            <w14:solidFill>
              <w14:schemeClr w14:val="tx1"/>
            </w14:solidFill>
          </w14:textFill>
        </w:rPr>
      </w:pPr>
    </w:p>
    <w:p>
      <w:pPr>
        <w:wordWrap w:val="0"/>
        <w:jc w:val="center"/>
        <w:rPr>
          <w:rFonts w:ascii="宋体" w:hAnsi="宋体" w:cs="宋体"/>
          <w:b/>
          <w:snapToGrid w:val="0"/>
          <w:color w:val="000000" w:themeColor="text1"/>
          <w:kern w:val="0"/>
          <w:sz w:val="32"/>
          <w:szCs w:val="32"/>
          <w:highlight w:val="none"/>
          <w14:textFill>
            <w14:solidFill>
              <w14:schemeClr w14:val="tx1"/>
            </w14:solidFill>
          </w14:textFill>
        </w:rPr>
      </w:pPr>
    </w:p>
    <w:p>
      <w:pPr>
        <w:wordWrap w:val="0"/>
        <w:jc w:val="center"/>
        <w:rPr>
          <w:rFonts w:ascii="宋体" w:hAnsi="宋体" w:cs="宋体"/>
          <w:b/>
          <w:snapToGrid w:val="0"/>
          <w:color w:val="000000" w:themeColor="text1"/>
          <w:kern w:val="0"/>
          <w:sz w:val="32"/>
          <w:szCs w:val="32"/>
          <w:highlight w:val="none"/>
          <w14:textFill>
            <w14:solidFill>
              <w14:schemeClr w14:val="tx1"/>
            </w14:solidFill>
          </w14:textFill>
        </w:rPr>
      </w:pPr>
    </w:p>
    <w:p>
      <w:pPr>
        <w:wordWrap w:val="0"/>
        <w:jc w:val="center"/>
        <w:rPr>
          <w:rFonts w:ascii="宋体" w:hAnsi="宋体" w:cs="宋体"/>
          <w:b/>
          <w:snapToGrid w:val="0"/>
          <w:color w:val="000000" w:themeColor="text1"/>
          <w:kern w:val="0"/>
          <w:sz w:val="32"/>
          <w:szCs w:val="32"/>
          <w:highlight w:val="none"/>
          <w14:textFill>
            <w14:solidFill>
              <w14:schemeClr w14:val="tx1"/>
            </w14:solidFill>
          </w14:textFill>
        </w:rPr>
      </w:pPr>
    </w:p>
    <w:p>
      <w:pPr>
        <w:wordWrap w:val="0"/>
        <w:jc w:val="center"/>
        <w:rPr>
          <w:rFonts w:ascii="宋体" w:hAnsi="宋体" w:cs="宋体"/>
          <w:b/>
          <w:snapToGrid w:val="0"/>
          <w:color w:val="000000" w:themeColor="text1"/>
          <w:kern w:val="0"/>
          <w:sz w:val="32"/>
          <w:szCs w:val="32"/>
          <w:highlight w:val="none"/>
          <w14:textFill>
            <w14:solidFill>
              <w14:schemeClr w14:val="tx1"/>
            </w14:solidFill>
          </w14:textFill>
        </w:rPr>
      </w:pPr>
      <w:r>
        <w:rPr>
          <w:rFonts w:hint="eastAsia" w:ascii="宋体" w:hAnsi="宋体" w:cs="宋体"/>
          <w:b/>
          <w:snapToGrid w:val="0"/>
          <w:color w:val="000000" w:themeColor="text1"/>
          <w:kern w:val="0"/>
          <w:sz w:val="32"/>
          <w:szCs w:val="32"/>
          <w:highlight w:val="none"/>
          <w14:textFill>
            <w14:solidFill>
              <w14:schemeClr w14:val="tx1"/>
            </w14:solidFill>
          </w14:textFill>
        </w:rPr>
        <w:t>目录</w:t>
      </w:r>
    </w:p>
    <w:p>
      <w:pPr>
        <w:pStyle w:val="16"/>
        <w:tabs>
          <w:tab w:val="right" w:leader="dot" w:pos="9750"/>
        </w:tabs>
        <w:spacing w:line="520" w:lineRule="exact"/>
        <w:rPr>
          <w:color w:val="000000" w:themeColor="text1"/>
          <w:highlight w:val="none"/>
          <w14:textFill>
            <w14:solidFill>
              <w14:schemeClr w14:val="tx1"/>
            </w14:solidFill>
          </w14:textFill>
        </w:rPr>
      </w:pPr>
      <w:r>
        <w:rPr>
          <w:rFonts w:hint="eastAsia"/>
          <w:caps w:val="0"/>
          <w:snapToGrid w:val="0"/>
          <w:color w:val="000000" w:themeColor="text1"/>
          <w:kern w:val="0"/>
          <w:highlight w:val="none"/>
          <w14:textFill>
            <w14:solidFill>
              <w14:schemeClr w14:val="tx1"/>
            </w14:solidFill>
          </w14:textFill>
        </w:rPr>
        <w:fldChar w:fldCharType="begin"/>
      </w:r>
      <w:r>
        <w:rPr>
          <w:rFonts w:hint="eastAsia"/>
          <w:caps w:val="0"/>
          <w:snapToGrid w:val="0"/>
          <w:color w:val="000000" w:themeColor="text1"/>
          <w:kern w:val="0"/>
          <w:highlight w:val="none"/>
          <w14:textFill>
            <w14:solidFill>
              <w14:schemeClr w14:val="tx1"/>
            </w14:solidFill>
          </w14:textFill>
        </w:rPr>
        <w:instrText xml:space="preserve"> TOC \o "1-3" \h \z \u </w:instrText>
      </w:r>
      <w:r>
        <w:rPr>
          <w:rFonts w:hint="eastAsia"/>
          <w:caps w:val="0"/>
          <w:snapToGrid w:val="0"/>
          <w:color w:val="000000" w:themeColor="text1"/>
          <w:kern w:val="0"/>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"_Toc5576" </w:instrText>
      </w:r>
      <w:r>
        <w:rPr>
          <w:color w:val="000000" w:themeColor="text1"/>
          <w:highlight w:val="none"/>
          <w14:textFill>
            <w14:solidFill>
              <w14:schemeClr w14:val="tx1"/>
            </w14:solidFill>
          </w14:textFill>
        </w:rPr>
        <w:fldChar w:fldCharType="separate"/>
      </w:r>
      <w:r>
        <w:rPr>
          <w:rFonts w:hint="eastAsia"/>
          <w:caps w:val="0"/>
          <w:snapToGrid w:val="0"/>
          <w:color w:val="000000" w:themeColor="text1"/>
          <w:kern w:val="0"/>
          <w:highlight w:val="none"/>
          <w14:textFill>
            <w14:solidFill>
              <w14:schemeClr w14:val="tx1"/>
            </w14:solidFill>
          </w14:textFill>
        </w:rPr>
        <w:t>招标文件第一部分（专用部分）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_Toc5576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7"/>
        <w:tabs>
          <w:tab w:val="right" w:leader="dot" w:pos="9750"/>
          <w:tab w:val="clear" w:pos="9403"/>
        </w:tabs>
        <w:spacing w:line="520" w:lineRule="exact"/>
        <w:ind w:left="3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"_Toc4967" </w:instrText>
      </w:r>
      <w:r>
        <w:rPr>
          <w:color w:val="000000" w:themeColor="text1"/>
          <w:highlight w:val="none"/>
          <w14:textFill>
            <w14:solidFill>
              <w14:schemeClr w14:val="tx1"/>
            </w14:solidFill>
          </w14:textFill>
        </w:rPr>
        <w:fldChar w:fldCharType="separate"/>
      </w:r>
      <w:r>
        <w:rPr>
          <w:rFonts w:hint="eastAsia"/>
          <w:smallCaps w:val="0"/>
          <w:snapToGrid w:val="0"/>
          <w:color w:val="000000" w:themeColor="text1"/>
          <w:kern w:val="0"/>
          <w:highlight w:val="none"/>
          <w14:textFill>
            <w14:solidFill>
              <w14:schemeClr w14:val="tx1"/>
            </w14:solidFill>
          </w14:textFill>
        </w:rPr>
        <w:t>第一章 招标公告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_Toc4967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"_Toc28164"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szCs w:val="24"/>
          <w:highlight w:val="none"/>
          <w14:textFill>
            <w14:solidFill>
              <w14:schemeClr w14:val="tx1"/>
            </w14:solidFill>
          </w14:textFill>
        </w:rPr>
        <w:t>一、项目基本情况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_Toc28164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"_Toc28723"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szCs w:val="24"/>
          <w:highlight w:val="none"/>
          <w14:textFill>
            <w14:solidFill>
              <w14:schemeClr w14:val="tx1"/>
            </w14:solidFill>
          </w14:textFill>
        </w:rPr>
        <w:t>二、申请人的资格要求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_Toc28723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"_Toc20032"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szCs w:val="24"/>
          <w:highlight w:val="none"/>
          <w14:textFill>
            <w14:solidFill>
              <w14:schemeClr w14:val="tx1"/>
            </w14:solidFill>
          </w14:textFill>
        </w:rPr>
        <w:t>三、获取招标文件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_Toc20032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"_Toc30265"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szCs w:val="24"/>
          <w:highlight w:val="none"/>
          <w14:textFill>
            <w14:solidFill>
              <w14:schemeClr w14:val="tx1"/>
            </w14:solidFill>
          </w14:textFill>
        </w:rPr>
        <w:t>四、提交投标文件截止时间、开标时间和地点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_Toc30265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"_Toc10275"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szCs w:val="24"/>
          <w:highlight w:val="none"/>
          <w14:textFill>
            <w14:solidFill>
              <w14:schemeClr w14:val="tx1"/>
            </w14:solidFill>
          </w14:textFill>
        </w:rPr>
        <w:t>五、公告期限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"_Toc1108"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szCs w:val="24"/>
          <w:highlight w:val="none"/>
          <w14:textFill>
            <w14:solidFill>
              <w14:schemeClr w14:val="tx1"/>
            </w14:solidFill>
          </w14:textFill>
        </w:rPr>
        <w:t>六、其他补充事宜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"_Toc2975"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szCs w:val="24"/>
          <w:highlight w:val="none"/>
          <w14:textFill>
            <w14:solidFill>
              <w14:schemeClr w14:val="tx1"/>
            </w14:solidFill>
          </w14:textFill>
        </w:rPr>
        <w:t>七、对本次招标提出询问，请按以下方式联系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7"/>
        <w:tabs>
          <w:tab w:val="right" w:leader="dot" w:pos="9750"/>
          <w:tab w:val="clear" w:pos="9403"/>
        </w:tabs>
        <w:spacing w:line="520" w:lineRule="exact"/>
        <w:ind w:left="3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"_Toc3349" </w:instrText>
      </w:r>
      <w:r>
        <w:rPr>
          <w:color w:val="000000" w:themeColor="text1"/>
          <w:highlight w:val="none"/>
          <w14:textFill>
            <w14:solidFill>
              <w14:schemeClr w14:val="tx1"/>
            </w14:solidFill>
          </w14:textFill>
        </w:rPr>
        <w:fldChar w:fldCharType="separate"/>
      </w:r>
      <w:r>
        <w:rPr>
          <w:rFonts w:hint="eastAsia"/>
          <w:smallCaps w:val="0"/>
          <w:snapToGrid w:val="0"/>
          <w:color w:val="000000" w:themeColor="text1"/>
          <w:kern w:val="0"/>
          <w:highlight w:val="none"/>
          <w14:textFill>
            <w14:solidFill>
              <w14:schemeClr w14:val="tx1"/>
            </w14:solidFill>
          </w14:textFill>
        </w:rPr>
        <w:t>第二章 投标人须知前附表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_Toc3349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7"/>
        <w:tabs>
          <w:tab w:val="right" w:leader="dot" w:pos="9750"/>
          <w:tab w:val="clear" w:pos="9403"/>
        </w:tabs>
        <w:spacing w:line="520" w:lineRule="exact"/>
        <w:ind w:left="3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"_Toc16866" </w:instrText>
      </w:r>
      <w:r>
        <w:rPr>
          <w:color w:val="000000" w:themeColor="text1"/>
          <w:highlight w:val="none"/>
          <w14:textFill>
            <w14:solidFill>
              <w14:schemeClr w14:val="tx1"/>
            </w14:solidFill>
          </w14:textFill>
        </w:rPr>
        <w:fldChar w:fldCharType="separate"/>
      </w:r>
      <w:r>
        <w:rPr>
          <w:rFonts w:hint="eastAsia"/>
          <w:smallCaps w:val="0"/>
          <w:snapToGrid w:val="0"/>
          <w:color w:val="000000" w:themeColor="text1"/>
          <w:kern w:val="0"/>
          <w:highlight w:val="none"/>
          <w14:textFill>
            <w14:solidFill>
              <w14:schemeClr w14:val="tx1"/>
            </w14:solidFill>
          </w14:textFill>
        </w:rPr>
        <w:t>第三章 货物服务需求一览表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_Toc16866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"_Toc14943" </w:instrText>
      </w:r>
      <w:r>
        <w:rPr>
          <w:color w:val="000000" w:themeColor="text1"/>
          <w:highlight w:val="none"/>
          <w14:textFill>
            <w14:solidFill>
              <w14:schemeClr w14:val="tx1"/>
            </w14:solidFill>
          </w14:textFill>
        </w:rPr>
        <w:fldChar w:fldCharType="separate"/>
      </w:r>
      <w:r>
        <w:rPr>
          <w:rFonts w:hint="eastAsia"/>
          <w:color w:val="000000" w:themeColor="text1"/>
          <w:kern w:val="0"/>
          <w:highlight w:val="none"/>
          <w14:textFill>
            <w14:solidFill>
              <w14:schemeClr w14:val="tx1"/>
            </w14:solidFill>
          </w14:textFill>
        </w:rPr>
        <w:t>一、服务需求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_Toc14943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"_Toc1253"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highlight w:val="none"/>
          <w14:textFill>
            <w14:solidFill>
              <w14:schemeClr w14:val="tx1"/>
            </w14:solidFill>
          </w14:textFill>
        </w:rPr>
        <w:t>二、商务要求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7"/>
        <w:tabs>
          <w:tab w:val="right" w:leader="dot" w:pos="9750"/>
          <w:tab w:val="clear" w:pos="9403"/>
        </w:tabs>
        <w:spacing w:line="520" w:lineRule="exact"/>
        <w:ind w:left="3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"_Toc24398" </w:instrText>
      </w:r>
      <w:r>
        <w:rPr>
          <w:color w:val="000000" w:themeColor="text1"/>
          <w:highlight w:val="none"/>
          <w14:textFill>
            <w14:solidFill>
              <w14:schemeClr w14:val="tx1"/>
            </w14:solidFill>
          </w14:textFill>
        </w:rPr>
        <w:fldChar w:fldCharType="separate"/>
      </w:r>
      <w:r>
        <w:rPr>
          <w:rFonts w:hint="eastAsia"/>
          <w:smallCaps w:val="0"/>
          <w:snapToGrid w:val="0"/>
          <w:color w:val="000000" w:themeColor="text1"/>
          <w:kern w:val="0"/>
          <w:highlight w:val="none"/>
          <w14:textFill>
            <w14:solidFill>
              <w14:schemeClr w14:val="tx1"/>
            </w14:solidFill>
          </w14:textFill>
        </w:rPr>
        <w:t>第四章 评标办法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_Toc24398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"_Toc24663"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highlight w:val="none"/>
          <w14:textFill>
            <w14:solidFill>
              <w14:schemeClr w14:val="tx1"/>
            </w14:solidFill>
          </w14:textFill>
        </w:rPr>
        <w:t>一、评标原则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_Toc24663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"_Toc12772"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szCs w:val="24"/>
          <w:highlight w:val="none"/>
          <w14:textFill>
            <w14:solidFill>
              <w14:schemeClr w14:val="tx1"/>
            </w14:solidFill>
          </w14:textFill>
        </w:rPr>
        <w:t>二、评审办法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_Toc12772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"_Toc28403"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szCs w:val="24"/>
          <w:highlight w:val="none"/>
          <w14:textFill>
            <w14:solidFill>
              <w14:schemeClr w14:val="tx1"/>
            </w14:solidFill>
          </w14:textFill>
        </w:rPr>
        <w:t>三、评审程序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_Toc28403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"_Toc21393"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szCs w:val="24"/>
          <w:highlight w:val="none"/>
          <w14:textFill>
            <w14:solidFill>
              <w14:schemeClr w14:val="tx1"/>
            </w14:solidFill>
          </w14:textFill>
        </w:rPr>
        <w:t>四、资格性审查表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_Toc21393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"_Toc32649"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highlight w:val="none"/>
          <w14:textFill>
            <w14:solidFill>
              <w14:schemeClr w14:val="tx1"/>
            </w14:solidFill>
          </w14:textFill>
        </w:rPr>
        <w:t>五、符合性审查表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_Toc32649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"_Toc9878"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highlight w:val="none"/>
          <w14:textFill>
            <w14:solidFill>
              <w14:schemeClr w14:val="tx1"/>
            </w14:solidFill>
          </w14:textFill>
        </w:rPr>
        <w:t>六、评分办法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6"/>
        <w:tabs>
          <w:tab w:val="right" w:leader="dot" w:pos="9750"/>
        </w:tabs>
        <w:spacing w:line="52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"_Toc18239" </w:instrText>
      </w:r>
      <w:r>
        <w:rPr>
          <w:color w:val="000000" w:themeColor="text1"/>
          <w:highlight w:val="none"/>
          <w14:textFill>
            <w14:solidFill>
              <w14:schemeClr w14:val="tx1"/>
            </w14:solidFill>
          </w14:textFill>
        </w:rPr>
        <w:fldChar w:fldCharType="separate"/>
      </w:r>
      <w:r>
        <w:rPr>
          <w:rFonts w:hint="eastAsia"/>
          <w:caps w:val="0"/>
          <w:snapToGrid w:val="0"/>
          <w:color w:val="000000" w:themeColor="text1"/>
          <w:kern w:val="0"/>
          <w:highlight w:val="none"/>
          <w14:textFill>
            <w14:solidFill>
              <w14:schemeClr w14:val="tx1"/>
            </w14:solidFill>
          </w14:textFill>
        </w:rPr>
        <w:t>招标文件第二部分（通用部分）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_Toc18239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7"/>
        <w:tabs>
          <w:tab w:val="right" w:leader="dot" w:pos="9750"/>
          <w:tab w:val="clear" w:pos="9403"/>
        </w:tabs>
        <w:spacing w:line="520" w:lineRule="exact"/>
        <w:ind w:left="3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"_Toc8136" </w:instrText>
      </w:r>
      <w:r>
        <w:rPr>
          <w:color w:val="000000" w:themeColor="text1"/>
          <w:highlight w:val="none"/>
          <w14:textFill>
            <w14:solidFill>
              <w14:schemeClr w14:val="tx1"/>
            </w14:solidFill>
          </w14:textFill>
        </w:rPr>
        <w:fldChar w:fldCharType="separate"/>
      </w:r>
      <w:r>
        <w:rPr>
          <w:rFonts w:hint="eastAsia"/>
          <w:smallCaps w:val="0"/>
          <w:snapToGrid w:val="0"/>
          <w:color w:val="000000" w:themeColor="text1"/>
          <w:kern w:val="0"/>
          <w:highlight w:val="none"/>
          <w14:textFill>
            <w14:solidFill>
              <w14:schemeClr w14:val="tx1"/>
            </w14:solidFill>
          </w14:textFill>
        </w:rPr>
        <w:t>第五章 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_Toc8136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"_Toc13005"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szCs w:val="24"/>
          <w:highlight w:val="none"/>
          <w14:textFill>
            <w14:solidFill>
              <w14:schemeClr w14:val="tx1"/>
            </w14:solidFill>
          </w14:textFill>
        </w:rPr>
        <w:t>一、总则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_Toc13005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"_Toc32590"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highlight w:val="none"/>
          <w14:textFill>
            <w14:solidFill>
              <w14:schemeClr w14:val="tx1"/>
            </w14:solidFill>
          </w14:textFill>
        </w:rPr>
        <w:t>二、招标文件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_Toc32590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"_Toc14028"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szCs w:val="24"/>
          <w:highlight w:val="none"/>
          <w14:textFill>
            <w14:solidFill>
              <w14:schemeClr w14:val="tx1"/>
            </w14:solidFill>
          </w14:textFill>
        </w:rPr>
        <w:t>三、投标文件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_Toc14028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"_Toc28735"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szCs w:val="24"/>
          <w:highlight w:val="none"/>
          <w14:textFill>
            <w14:solidFill>
              <w14:schemeClr w14:val="tx1"/>
            </w14:solidFill>
          </w14:textFill>
        </w:rPr>
        <w:t>四、投标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_Toc28735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"_Toc16208"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szCs w:val="24"/>
          <w:highlight w:val="none"/>
          <w14:textFill>
            <w14:solidFill>
              <w14:schemeClr w14:val="tx1"/>
            </w14:solidFill>
          </w14:textFill>
        </w:rPr>
        <w:t>五、开标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_Toc16208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"_Toc20051"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szCs w:val="24"/>
          <w:highlight w:val="none"/>
          <w14:textFill>
            <w14:solidFill>
              <w14:schemeClr w14:val="tx1"/>
            </w14:solidFill>
          </w14:textFill>
        </w:rPr>
        <w:t>六、评标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_Toc20051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"_Toc8538"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szCs w:val="24"/>
          <w:highlight w:val="none"/>
          <w14:textFill>
            <w14:solidFill>
              <w14:schemeClr w14:val="tx1"/>
            </w14:solidFill>
          </w14:textFill>
        </w:rPr>
        <w:t>七、定标和授予合同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_Toc8538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"_Toc2565"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szCs w:val="24"/>
          <w:highlight w:val="none"/>
          <w14:textFill>
            <w14:solidFill>
              <w14:schemeClr w14:val="tx1"/>
            </w14:solidFill>
          </w14:textFill>
        </w:rPr>
        <w:t>八、质疑与投诉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"_Toc17648"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szCs w:val="24"/>
          <w:highlight w:val="none"/>
          <w14:textFill>
            <w14:solidFill>
              <w14:schemeClr w14:val="tx1"/>
            </w14:solidFill>
          </w14:textFill>
        </w:rPr>
        <w:t>九、投标人须知的补充与修改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_Toc17648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7"/>
        <w:tabs>
          <w:tab w:val="right" w:leader="dot" w:pos="9750"/>
          <w:tab w:val="clear" w:pos="9403"/>
        </w:tabs>
        <w:spacing w:line="520" w:lineRule="exact"/>
        <w:ind w:left="3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"_Toc9944" </w:instrText>
      </w:r>
      <w:r>
        <w:rPr>
          <w:color w:val="000000" w:themeColor="text1"/>
          <w:highlight w:val="none"/>
          <w14:textFill>
            <w14:solidFill>
              <w14:schemeClr w14:val="tx1"/>
            </w14:solidFill>
          </w14:textFill>
        </w:rPr>
        <w:fldChar w:fldCharType="separate"/>
      </w:r>
      <w:r>
        <w:rPr>
          <w:rFonts w:hint="eastAsia"/>
          <w:smallCaps w:val="0"/>
          <w:snapToGrid w:val="0"/>
          <w:color w:val="000000" w:themeColor="text1"/>
          <w:kern w:val="0"/>
          <w:highlight w:val="none"/>
          <w14:textFill>
            <w14:solidFill>
              <w14:schemeClr w14:val="tx1"/>
            </w14:solidFill>
          </w14:textFill>
        </w:rPr>
        <w:t>第六章 采购合同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_Toc9944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7"/>
        <w:tabs>
          <w:tab w:val="right" w:leader="dot" w:pos="9750"/>
          <w:tab w:val="clear" w:pos="9403"/>
        </w:tabs>
        <w:spacing w:line="520" w:lineRule="exact"/>
        <w:ind w:left="3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"_Toc13530" </w:instrText>
      </w:r>
      <w:r>
        <w:rPr>
          <w:color w:val="000000" w:themeColor="text1"/>
          <w:highlight w:val="none"/>
          <w14:textFill>
            <w14:solidFill>
              <w14:schemeClr w14:val="tx1"/>
            </w14:solidFill>
          </w14:textFill>
        </w:rPr>
        <w:fldChar w:fldCharType="separate"/>
      </w:r>
      <w:r>
        <w:rPr>
          <w:rFonts w:hint="eastAsia"/>
          <w:smallCaps w:val="0"/>
          <w:snapToGrid w:val="0"/>
          <w:color w:val="000000" w:themeColor="text1"/>
          <w:kern w:val="0"/>
          <w:highlight w:val="none"/>
          <w14:textFill>
            <w14:solidFill>
              <w14:schemeClr w14:val="tx1"/>
            </w14:solidFill>
          </w14:textFill>
        </w:rPr>
        <w:t>第七章 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_Toc13530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"_Toc27798"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highlight w:val="none"/>
          <w14:textFill>
            <w14:solidFill>
              <w14:schemeClr w14:val="tx1"/>
            </w14:solidFill>
          </w14:textFill>
        </w:rPr>
        <w:t>一、投标函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_Toc27798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"_Toc26960"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highlight w:val="none"/>
          <w14:textFill>
            <w14:solidFill>
              <w14:schemeClr w14:val="tx1"/>
            </w14:solidFill>
          </w14:textFill>
        </w:rPr>
        <w:t>二、开标一览表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_Toc26960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"_Toc27590"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highlight w:val="none"/>
          <w14:textFill>
            <w14:solidFill>
              <w14:schemeClr w14:val="tx1"/>
            </w14:solidFill>
          </w14:textFill>
        </w:rPr>
        <w:t>三、服务分项报价表（服务类）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_Toc27590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"_Toc3364"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highlight w:val="none"/>
          <w14:textFill>
            <w14:solidFill>
              <w14:schemeClr w14:val="tx1"/>
            </w14:solidFill>
          </w14:textFill>
        </w:rPr>
        <w:t>四、项目要求响应情况表（服务类）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_Toc3364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"_Toc14006"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highlight w:val="none"/>
          <w14:textFill>
            <w14:solidFill>
              <w14:schemeClr w14:val="tx1"/>
            </w14:solidFill>
          </w14:textFill>
        </w:rPr>
        <w:t>五、商务要求响应情况表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_Toc14006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"_Toc14635"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highlight w:val="none"/>
          <w14:textFill>
            <w14:solidFill>
              <w14:schemeClr w14:val="tx1"/>
            </w14:solidFill>
          </w14:textFill>
        </w:rPr>
        <w:t>六、本项目实施方案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_Toc14635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7"/>
        <w:tabs>
          <w:tab w:val="right" w:leader="dot" w:pos="9750"/>
          <w:tab w:val="clear" w:pos="9403"/>
        </w:tabs>
        <w:spacing w:line="520" w:lineRule="exact"/>
        <w:ind w:left="3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"_Toc31676" </w:instrText>
      </w:r>
      <w:r>
        <w:rPr>
          <w:color w:val="000000" w:themeColor="text1"/>
          <w:highlight w:val="none"/>
          <w14:textFill>
            <w14:solidFill>
              <w14:schemeClr w14:val="tx1"/>
            </w14:solidFill>
          </w14:textFill>
        </w:rPr>
        <w:fldChar w:fldCharType="separate"/>
      </w:r>
      <w:r>
        <w:rPr>
          <w:rFonts w:hint="eastAsia"/>
          <w:smallCaps w:val="0"/>
          <w:snapToGrid w:val="0"/>
          <w:color w:val="000000" w:themeColor="text1"/>
          <w:kern w:val="0"/>
          <w:highlight w:val="none"/>
          <w14:textFill>
            <w14:solidFill>
              <w14:schemeClr w14:val="tx1"/>
            </w14:solidFill>
          </w14:textFill>
        </w:rPr>
        <w:t>资格证明文件格式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_Toc31676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"_Toc16364"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highlight w:val="none"/>
          <w14:textFill>
            <w14:solidFill>
              <w14:schemeClr w14:val="tx1"/>
            </w14:solidFill>
          </w14:textFill>
        </w:rPr>
        <w:t>一、营业执照</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_Toc16364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"_Toc21152"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highlight w:val="none"/>
          <w14:textFill>
            <w14:solidFill>
              <w14:schemeClr w14:val="tx1"/>
            </w14:solidFill>
          </w14:textFill>
        </w:rPr>
        <w:t>二、税务登记证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_Toc21152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"_Toc13288"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highlight w:val="none"/>
          <w14:textFill>
            <w14:solidFill>
              <w14:schemeClr w14:val="tx1"/>
            </w14:solidFill>
          </w14:textFill>
        </w:rPr>
        <w:t>三、法定代表人授权委托书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_Toc13288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"_Toc24148"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highlight w:val="none"/>
          <w14:textFill>
            <w14:solidFill>
              <w14:schemeClr w14:val="tx1"/>
            </w14:solidFill>
          </w14:textFill>
        </w:rPr>
        <w:t>四、法定代表人身份证明书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_Toc24148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"_Toc25842"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highlight w:val="none"/>
          <w14:textFill>
            <w14:solidFill>
              <w14:schemeClr w14:val="tx1"/>
            </w14:solidFill>
          </w14:textFill>
        </w:rPr>
        <w:t>五、财务状况报告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_Toc25842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"_Toc11616"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highlight w:val="none"/>
          <w14:textFill>
            <w14:solidFill>
              <w14:schemeClr w14:val="tx1"/>
            </w14:solidFill>
          </w14:textFill>
        </w:rPr>
        <w:t>六、近期纳税相关材料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_Toc11616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"_Toc13679"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highlight w:val="none"/>
          <w14:textFill>
            <w14:solidFill>
              <w14:schemeClr w14:val="tx1"/>
            </w14:solidFill>
          </w14:textFill>
        </w:rPr>
        <w:t>七、近期缴纳社保相关材料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_Toc13679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"_Toc22185"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highlight w:val="none"/>
          <w14:textFill>
            <w14:solidFill>
              <w14:schemeClr w14:val="tx1"/>
            </w14:solidFill>
          </w14:textFill>
        </w:rPr>
        <w:t>八、具备履行合同所必须的设备和专业技术能力的证明材料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_Toc22185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"_Toc28282"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highlight w:val="none"/>
          <w14:textFill>
            <w14:solidFill>
              <w14:schemeClr w14:val="tx1"/>
            </w14:solidFill>
          </w14:textFill>
        </w:rPr>
        <w:t>九、书面声明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_Toc28282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spacing w:line="520" w:lineRule="exact"/>
        <w:ind w:left="7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"_Toc32126" </w:instrText>
      </w:r>
      <w:r>
        <w:rPr>
          <w:color w:val="000000" w:themeColor="text1"/>
          <w:highlight w:val="none"/>
          <w14:textFill>
            <w14:solidFill>
              <w14:schemeClr w14:val="tx1"/>
            </w14:solidFill>
          </w14:textFill>
        </w:rPr>
        <w:fldChar w:fldCharType="separate"/>
      </w:r>
      <w:r>
        <w:rPr>
          <w:rFonts w:hint="eastAsia"/>
          <w:snapToGrid w:val="0"/>
          <w:color w:val="000000" w:themeColor="text1"/>
          <w:kern w:val="0"/>
          <w:highlight w:val="none"/>
          <w14:textFill>
            <w14:solidFill>
              <w14:schemeClr w14:val="tx1"/>
            </w14:solidFill>
          </w14:textFill>
        </w:rPr>
        <w:t>十、招标文件规定的其他材料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_Toc32126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750"/>
        </w:tabs>
        <w:wordWrap w:val="0"/>
        <w:spacing w:line="520" w:lineRule="exact"/>
        <w:ind w:left="761"/>
        <w:rPr>
          <w:snapToGrid w:val="0"/>
          <w:color w:val="000000" w:themeColor="text1"/>
          <w:kern w:val="0"/>
          <w:highlight w:val="none"/>
          <w:lang w:val="zh-CN"/>
          <w14:textFill>
            <w14:solidFill>
              <w14:schemeClr w14:val="tx1"/>
            </w14:solidFill>
          </w14:textFill>
        </w:rPr>
      </w:pPr>
      <w:r>
        <w:rPr>
          <w:rFonts w:hint="eastAsia"/>
          <w:snapToGrid w:val="0"/>
          <w:color w:val="000000" w:themeColor="text1"/>
          <w:kern w:val="0"/>
          <w:highlight w:val="none"/>
          <w:lang w:val="zh-CN"/>
          <w14:textFill>
            <w14:solidFill>
              <w14:schemeClr w14:val="tx1"/>
            </w14:solidFill>
          </w14:textFill>
        </w:rPr>
        <w:fldChar w:fldCharType="end"/>
      </w:r>
      <w:bookmarkStart w:id="0" w:name="_Toc482084450"/>
      <w:bookmarkStart w:id="1" w:name="_Toc19929"/>
      <w:bookmarkStart w:id="2" w:name="_Toc17415"/>
      <w:bookmarkStart w:id="3" w:name="_Toc21383"/>
    </w:p>
    <w:p>
      <w:pPr>
        <w:pStyle w:val="6"/>
        <w:rPr>
          <w:snapToGrid w:val="0"/>
          <w:color w:val="000000" w:themeColor="text1"/>
          <w:kern w:val="0"/>
          <w:highlight w:val="none"/>
          <w14:textFill>
            <w14:solidFill>
              <w14:schemeClr w14:val="tx1"/>
            </w14:solidFill>
          </w14:textFill>
        </w:rPr>
        <w:sectPr>
          <w:pgSz w:w="11910" w:h="16850"/>
          <w:pgMar w:top="1440" w:right="1080" w:bottom="1440" w:left="1080" w:header="1001" w:footer="981" w:gutter="0"/>
          <w:cols w:space="0" w:num="1"/>
          <w:docGrid w:type="linesAndChars" w:linePitch="288" w:charSpace="-4058"/>
        </w:sectPr>
      </w:pPr>
    </w:p>
    <w:p>
      <w:pPr>
        <w:pStyle w:val="6"/>
        <w:jc w:val="center"/>
        <w:rPr>
          <w:snapToGrid w:val="0"/>
          <w:color w:val="000000" w:themeColor="text1"/>
          <w:kern w:val="0"/>
          <w:highlight w:val="none"/>
          <w14:textFill>
            <w14:solidFill>
              <w14:schemeClr w14:val="tx1"/>
            </w14:solidFill>
          </w14:textFill>
        </w:rPr>
      </w:pPr>
      <w:bookmarkStart w:id="4" w:name="_Toc5576"/>
      <w:r>
        <w:rPr>
          <w:rFonts w:hint="eastAsia"/>
          <w:snapToGrid w:val="0"/>
          <w:color w:val="000000" w:themeColor="text1"/>
          <w:kern w:val="0"/>
          <w:highlight w:val="none"/>
          <w14:textFill>
            <w14:solidFill>
              <w14:schemeClr w14:val="tx1"/>
            </w14:solidFill>
          </w14:textFill>
        </w:rPr>
        <w:t>招标文件第一部分</w:t>
      </w:r>
      <w:bookmarkEnd w:id="0"/>
      <w:r>
        <w:rPr>
          <w:rFonts w:hint="eastAsia"/>
          <w:snapToGrid w:val="0"/>
          <w:color w:val="000000" w:themeColor="text1"/>
          <w:kern w:val="0"/>
          <w:highlight w:val="none"/>
          <w14:textFill>
            <w14:solidFill>
              <w14:schemeClr w14:val="tx1"/>
            </w14:solidFill>
          </w14:textFill>
        </w:rPr>
        <w:t>（专用部分）</w:t>
      </w:r>
      <w:bookmarkEnd w:id="1"/>
      <w:bookmarkEnd w:id="2"/>
      <w:bookmarkEnd w:id="3"/>
      <w:bookmarkEnd w:id="4"/>
    </w:p>
    <w:p>
      <w:pPr>
        <w:pStyle w:val="7"/>
        <w:rPr>
          <w:snapToGrid w:val="0"/>
          <w:color w:val="000000" w:themeColor="text1"/>
          <w:kern w:val="0"/>
          <w:highlight w:val="none"/>
          <w14:textFill>
            <w14:solidFill>
              <w14:schemeClr w14:val="tx1"/>
            </w14:solidFill>
          </w14:textFill>
        </w:rPr>
      </w:pPr>
      <w:bookmarkStart w:id="5" w:name="_Toc4967"/>
      <w:bookmarkStart w:id="6" w:name="_Toc30035"/>
      <w:bookmarkStart w:id="7" w:name="_Toc482084451"/>
      <w:bookmarkStart w:id="8" w:name="_Toc462234292"/>
      <w:bookmarkStart w:id="9" w:name="_Toc11781"/>
      <w:bookmarkStart w:id="10" w:name="_Toc17872"/>
      <w:bookmarkStart w:id="11" w:name="_Toc13189"/>
      <w:bookmarkStart w:id="12" w:name="_Toc8645"/>
      <w:r>
        <w:rPr>
          <w:rFonts w:hint="eastAsia"/>
          <w:snapToGrid w:val="0"/>
          <w:color w:val="000000" w:themeColor="text1"/>
          <w:kern w:val="0"/>
          <w:highlight w:val="none"/>
          <w14:textFill>
            <w14:solidFill>
              <w14:schemeClr w14:val="tx1"/>
            </w14:solidFill>
          </w14:textFill>
        </w:rPr>
        <w:t>第一章 招标公告</w:t>
      </w:r>
      <w:bookmarkEnd w:id="5"/>
      <w:bookmarkEnd w:id="6"/>
      <w:bookmarkEnd w:id="7"/>
      <w:bookmarkEnd w:id="8"/>
      <w:bookmarkEnd w:id="9"/>
      <w:bookmarkEnd w:id="10"/>
      <w:bookmarkEnd w:id="11"/>
      <w:bookmarkEnd w:id="12"/>
    </w:p>
    <w:p>
      <w:pPr>
        <w:pStyle w:val="22"/>
        <w:widowControl w:val="0"/>
        <w:ind w:firstLine="0" w:firstLineChars="0"/>
        <w:jc w:val="center"/>
        <w:rPr>
          <w:b/>
          <w:bCs/>
          <w:snapToGrid w:val="0"/>
          <w:color w:val="000000" w:themeColor="text1"/>
          <w:kern w:val="0"/>
          <w:sz w:val="24"/>
          <w:szCs w:val="24"/>
          <w:highlight w:val="none"/>
          <w14:textFill>
            <w14:solidFill>
              <w14:schemeClr w14:val="tx1"/>
            </w14:solidFill>
          </w14:textFill>
        </w:rPr>
      </w:pPr>
      <w:bookmarkStart w:id="13" w:name="_Toc28359001"/>
      <w:bookmarkStart w:id="14" w:name="_Toc35393789"/>
      <w:bookmarkStart w:id="15" w:name="_Toc10733"/>
      <w:bookmarkStart w:id="16" w:name="_Toc12163"/>
      <w:bookmarkStart w:id="17" w:name="_Toc31345"/>
      <w:r>
        <w:rPr>
          <w:rFonts w:hint="eastAsia"/>
          <w:b/>
          <w:bCs/>
          <w:snapToGrid w:val="0"/>
          <w:color w:val="000000" w:themeColor="text1"/>
          <w:kern w:val="0"/>
          <w:sz w:val="24"/>
          <w:szCs w:val="24"/>
          <w:highlight w:val="none"/>
          <w14:textFill>
            <w14:solidFill>
              <w14:schemeClr w14:val="tx1"/>
            </w14:solidFill>
          </w14:textFill>
        </w:rPr>
        <w:t>皖北卫生职业学院</w:t>
      </w:r>
      <w:r>
        <w:rPr>
          <w:rFonts w:hint="eastAsia"/>
          <w:b/>
          <w:bCs/>
          <w:snapToGrid w:val="0"/>
          <w:color w:val="000000" w:themeColor="text1"/>
          <w:kern w:val="0"/>
          <w:sz w:val="24"/>
          <w:szCs w:val="24"/>
          <w:highlight w:val="none"/>
          <w:lang w:eastAsia="zh-CN"/>
          <w14:textFill>
            <w14:solidFill>
              <w14:schemeClr w14:val="tx1"/>
            </w14:solidFill>
          </w14:textFill>
        </w:rPr>
        <w:t>第一食堂</w:t>
      </w:r>
      <w:r>
        <w:rPr>
          <w:rFonts w:hint="eastAsia"/>
          <w:b/>
          <w:bCs/>
          <w:snapToGrid w:val="0"/>
          <w:color w:val="000000" w:themeColor="text1"/>
          <w:kern w:val="0"/>
          <w:sz w:val="24"/>
          <w:szCs w:val="24"/>
          <w:highlight w:val="none"/>
          <w14:textFill>
            <w14:solidFill>
              <w14:schemeClr w14:val="tx1"/>
            </w14:solidFill>
          </w14:textFill>
        </w:rPr>
        <w:t>经营服务项目招标公告</w:t>
      </w:r>
      <w:bookmarkEnd w:id="13"/>
      <w:bookmarkEnd w:id="14"/>
    </w:p>
    <w:p>
      <w:pPr>
        <w:pBdr>
          <w:top w:val="single" w:color="auto" w:sz="4" w:space="1"/>
          <w:left w:val="single" w:color="auto" w:sz="4" w:space="4"/>
          <w:bottom w:val="single" w:color="auto" w:sz="4" w:space="1"/>
          <w:right w:val="single" w:color="auto" w:sz="4" w:space="4"/>
        </w:pBdr>
        <w:kinsoku w:val="0"/>
        <w:overflowPunct w:val="0"/>
        <w:autoSpaceDE w:val="0"/>
        <w:autoSpaceDN w:val="0"/>
        <w:adjustRightInd w:val="0"/>
        <w:snapToGrid w:val="0"/>
        <w:spacing w:line="380" w:lineRule="exact"/>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t>皖北卫生职业学院</w:t>
      </w:r>
      <w:r>
        <w:rPr>
          <w:rFonts w:hint="eastAsia" w:ascii="仿宋" w:hAnsi="仿宋" w:eastAsia="仿宋" w:cs="仿宋"/>
          <w:snapToGrid w:val="0"/>
          <w:color w:val="000000" w:themeColor="text1"/>
          <w:kern w:val="0"/>
          <w:sz w:val="28"/>
          <w:szCs w:val="28"/>
          <w:highlight w:val="none"/>
          <w:u w:val="single"/>
          <w:lang w:eastAsia="zh-CN"/>
          <w14:textFill>
            <w14:solidFill>
              <w14:schemeClr w14:val="tx1"/>
            </w14:solidFill>
          </w14:textFill>
        </w:rPr>
        <w:t>第一食堂</w:t>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t>经营服务项目</w:t>
      </w:r>
      <w:r>
        <w:rPr>
          <w:rFonts w:hint="eastAsia" w:ascii="仿宋" w:hAnsi="仿宋" w:eastAsia="仿宋" w:cs="仿宋"/>
          <w:snapToGrid w:val="0"/>
          <w:color w:val="000000" w:themeColor="text1"/>
          <w:kern w:val="0"/>
          <w:sz w:val="28"/>
          <w:szCs w:val="28"/>
          <w:highlight w:val="none"/>
          <w14:textFill>
            <w14:solidFill>
              <w14:schemeClr w14:val="tx1"/>
            </w14:solidFill>
          </w14:textFill>
        </w:rPr>
        <w:t>招标项目的潜在投标人应在</w:t>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t>全国公共资源交易平台（安徽省·宿州市）门户网站（网址：</w:t>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fldChar w:fldCharType="begin"/>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instrText xml:space="preserve"> HYPERLINK "http://ggzyjy.ahsz.gov.cn）获取招标文件，并于2024年07月" </w:instrText>
      </w:r>
      <w:r>
        <w:rPr>
          <w:rFonts w:hint="eastAsia" w:ascii="仿宋" w:hAnsi="仿宋" w:eastAsia="仿宋" w:cs="仿宋"/>
          <w:snapToGrid w:val="0"/>
          <w:color w:val="000000" w:themeColor="text1"/>
          <w:kern w:val="0"/>
          <w:sz w:val="28"/>
          <w:szCs w:val="28"/>
          <w:highlight w:val="none"/>
          <w14:textFill>
            <w14:solidFill>
              <w14:schemeClr w14:val="tx1"/>
            </w14:solidFill>
          </w14:textFill>
        </w:rPr>
        <w:fldChar w:fldCharType="separate"/>
      </w:r>
      <w:r>
        <w:rPr>
          <w:rStyle w:val="21"/>
          <w:rFonts w:hint="eastAsia" w:ascii="仿宋" w:hAnsi="仿宋" w:eastAsia="仿宋" w:cs="仿宋"/>
          <w:snapToGrid w:val="0"/>
          <w:color w:val="000000" w:themeColor="text1"/>
          <w:kern w:val="0"/>
          <w:sz w:val="28"/>
          <w:szCs w:val="28"/>
          <w:highlight w:val="none"/>
          <w14:textFill>
            <w14:solidFill>
              <w14:schemeClr w14:val="tx1"/>
            </w14:solidFill>
          </w14:textFill>
        </w:rPr>
        <w:t>http://ggzyjy.ahsz.gov.cn）获取招标文件，并于202</w:t>
      </w:r>
      <w:r>
        <w:rPr>
          <w:rStyle w:val="21"/>
          <w:rFonts w:hint="eastAsia" w:ascii="仿宋" w:hAnsi="仿宋" w:eastAsia="仿宋" w:cs="仿宋"/>
          <w:snapToGrid w:val="0"/>
          <w:color w:val="000000" w:themeColor="text1"/>
          <w:kern w:val="0"/>
          <w:sz w:val="28"/>
          <w:szCs w:val="28"/>
          <w:highlight w:val="none"/>
          <w:lang w:val="en-US" w:eastAsia="zh-CN"/>
          <w14:textFill>
            <w14:solidFill>
              <w14:schemeClr w14:val="tx1"/>
            </w14:solidFill>
          </w14:textFill>
        </w:rPr>
        <w:t>4</w:t>
      </w:r>
      <w:r>
        <w:rPr>
          <w:rStyle w:val="21"/>
          <w:rFonts w:hint="eastAsia" w:ascii="仿宋" w:hAnsi="仿宋" w:eastAsia="仿宋" w:cs="仿宋"/>
          <w:bCs/>
          <w:snapToGrid w:val="0"/>
          <w:color w:val="000000" w:themeColor="text1"/>
          <w:kern w:val="0"/>
          <w:sz w:val="28"/>
          <w:szCs w:val="28"/>
          <w:highlight w:val="none"/>
          <w14:textFill>
            <w14:solidFill>
              <w14:schemeClr w14:val="tx1"/>
            </w14:solidFill>
          </w14:textFill>
        </w:rPr>
        <w:t>年</w:t>
      </w:r>
      <w:r>
        <w:rPr>
          <w:rStyle w:val="21"/>
          <w:rFonts w:hint="eastAsia" w:ascii="仿宋" w:hAnsi="仿宋" w:eastAsia="仿宋" w:cs="仿宋"/>
          <w:bCs/>
          <w:snapToGrid w:val="0"/>
          <w:color w:val="000000" w:themeColor="text1"/>
          <w:kern w:val="0"/>
          <w:sz w:val="28"/>
          <w:szCs w:val="28"/>
          <w:highlight w:val="none"/>
          <w:lang w:val="en-US" w:eastAsia="zh-CN"/>
          <w14:textFill>
            <w14:solidFill>
              <w14:schemeClr w14:val="tx1"/>
            </w14:solidFill>
          </w14:textFill>
        </w:rPr>
        <w:t xml:space="preserve"> </w:t>
      </w:r>
      <w:r>
        <w:rPr>
          <w:rStyle w:val="21"/>
          <w:rFonts w:hint="eastAsia" w:ascii="仿宋" w:hAnsi="仿宋" w:eastAsia="仿宋" w:cs="仿宋"/>
          <w:bCs/>
          <w:snapToGrid w:val="0"/>
          <w:color w:val="000000" w:themeColor="text1"/>
          <w:kern w:val="0"/>
          <w:sz w:val="28"/>
          <w:szCs w:val="28"/>
          <w:highlight w:val="none"/>
          <w14:textFill>
            <w14:solidFill>
              <w14:schemeClr w14:val="tx1"/>
            </w14:solidFill>
          </w14:textFill>
        </w:rPr>
        <w:t>月</w:t>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fldChar w:fldCharType="end"/>
      </w:r>
      <w:r>
        <w:rPr>
          <w:rFonts w:hint="eastAsia" w:ascii="仿宋" w:hAnsi="仿宋" w:eastAsia="仿宋" w:cs="仿宋"/>
          <w:bCs/>
          <w:snapToGrid w:val="0"/>
          <w:color w:val="000000" w:themeColor="text1"/>
          <w:kern w:val="0"/>
          <w:sz w:val="28"/>
          <w:szCs w:val="28"/>
          <w:highlight w:val="none"/>
          <w:u w:val="single"/>
          <w:lang w:val="en-US" w:eastAsia="zh-CN"/>
          <w14:textFill>
            <w14:solidFill>
              <w14:schemeClr w14:val="tx1"/>
            </w14:solidFill>
          </w14:textFill>
        </w:rPr>
        <w:t xml:space="preserve"> </w:t>
      </w:r>
      <w:r>
        <w:rPr>
          <w:rFonts w:hint="eastAsia" w:ascii="仿宋" w:hAnsi="仿宋" w:eastAsia="仿宋" w:cs="仿宋"/>
          <w:bCs/>
          <w:snapToGrid w:val="0"/>
          <w:color w:val="000000" w:themeColor="text1"/>
          <w:kern w:val="0"/>
          <w:sz w:val="28"/>
          <w:szCs w:val="28"/>
          <w:highlight w:val="none"/>
          <w:u w:val="single"/>
          <w14:textFill>
            <w14:solidFill>
              <w14:schemeClr w14:val="tx1"/>
            </w14:solidFill>
          </w14:textFill>
        </w:rPr>
        <w:t>日09点00分（</w:t>
      </w:r>
      <w:r>
        <w:rPr>
          <w:rFonts w:hint="eastAsia" w:ascii="仿宋" w:hAnsi="仿宋" w:eastAsia="仿宋" w:cs="仿宋"/>
          <w:bCs/>
          <w:snapToGrid w:val="0"/>
          <w:color w:val="000000" w:themeColor="text1"/>
          <w:kern w:val="0"/>
          <w:sz w:val="28"/>
          <w:szCs w:val="28"/>
          <w:highlight w:val="none"/>
          <w14:textFill>
            <w14:solidFill>
              <w14:schemeClr w14:val="tx1"/>
            </w14:solidFill>
          </w14:textFill>
        </w:rPr>
        <w:t>北京时间）前提交投标文件</w:t>
      </w:r>
      <w:r>
        <w:rPr>
          <w:rFonts w:hint="eastAsia" w:ascii="仿宋" w:hAnsi="仿宋" w:eastAsia="仿宋" w:cs="仿宋"/>
          <w:snapToGrid w:val="0"/>
          <w:color w:val="000000" w:themeColor="text1"/>
          <w:kern w:val="0"/>
          <w:sz w:val="28"/>
          <w:szCs w:val="28"/>
          <w:highlight w:val="none"/>
          <w14:textFill>
            <w14:solidFill>
              <w14:schemeClr w14:val="tx1"/>
            </w14:solidFill>
          </w14:textFill>
        </w:rPr>
        <w:t>。</w:t>
      </w:r>
    </w:p>
    <w:p>
      <w:pPr>
        <w:pStyle w:val="8"/>
        <w:kinsoku w:val="0"/>
        <w:wordWrap/>
        <w:overflowPunct w:val="0"/>
        <w:autoSpaceDE w:val="0"/>
        <w:autoSpaceDN w:val="0"/>
        <w:adjustRightInd w:val="0"/>
        <w:snapToGrid w:val="0"/>
        <w:spacing w:line="380" w:lineRule="exact"/>
        <w:ind w:firstLine="0" w:firstLineChars="0"/>
        <w:jc w:val="both"/>
        <w:rPr>
          <w:rFonts w:ascii="仿宋" w:hAnsi="仿宋" w:eastAsia="仿宋" w:cs="仿宋"/>
          <w:snapToGrid w:val="0"/>
          <w:color w:val="000000" w:themeColor="text1"/>
          <w:kern w:val="0"/>
          <w:sz w:val="28"/>
          <w:highlight w:val="none"/>
          <w14:textFill>
            <w14:solidFill>
              <w14:schemeClr w14:val="tx1"/>
            </w14:solidFill>
          </w14:textFill>
        </w:rPr>
      </w:pPr>
      <w:bookmarkStart w:id="18" w:name="_Toc30893"/>
      <w:bookmarkStart w:id="19" w:name="_Toc28164"/>
      <w:bookmarkStart w:id="20" w:name="_Toc28359002"/>
      <w:bookmarkStart w:id="21" w:name="_Toc28359079"/>
      <w:bookmarkStart w:id="22" w:name="_Toc16120"/>
      <w:bookmarkStart w:id="23" w:name="_Toc35393790"/>
      <w:bookmarkStart w:id="24" w:name="_Toc35393621"/>
      <w:bookmarkStart w:id="25" w:name="_Hlk24379207"/>
      <w:r>
        <w:rPr>
          <w:rFonts w:hint="eastAsia" w:ascii="仿宋" w:hAnsi="仿宋" w:eastAsia="仿宋" w:cs="仿宋"/>
          <w:snapToGrid w:val="0"/>
          <w:color w:val="000000" w:themeColor="text1"/>
          <w:kern w:val="0"/>
          <w:sz w:val="28"/>
          <w:highlight w:val="none"/>
          <w14:textFill>
            <w14:solidFill>
              <w14:schemeClr w14:val="tx1"/>
            </w14:solidFill>
          </w14:textFill>
        </w:rPr>
        <w:t>一、项目基本情况</w:t>
      </w:r>
      <w:bookmarkEnd w:id="18"/>
      <w:bookmarkEnd w:id="19"/>
      <w:bookmarkEnd w:id="20"/>
      <w:bookmarkEnd w:id="21"/>
      <w:bookmarkEnd w:id="22"/>
      <w:bookmarkEnd w:id="23"/>
      <w:bookmarkEnd w:id="24"/>
    </w:p>
    <w:p>
      <w:pPr>
        <w:kinsoku w:val="0"/>
        <w:overflowPunct w:val="0"/>
        <w:autoSpaceDE w:val="0"/>
        <w:autoSpaceDN w:val="0"/>
        <w:adjustRightInd w:val="0"/>
        <w:snapToGrid w:val="0"/>
        <w:spacing w:line="380" w:lineRule="exact"/>
        <w:ind w:firstLine="560" w:firstLineChars="200"/>
        <w:rPr>
          <w:rFonts w:hint="eastAsia"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项目编号：</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项目名称：皖北卫生职业学院</w:t>
      </w:r>
      <w:r>
        <w:rPr>
          <w:rFonts w:hint="eastAsia" w:ascii="仿宋" w:hAnsi="仿宋" w:eastAsia="仿宋" w:cs="仿宋"/>
          <w:snapToGrid w:val="0"/>
          <w:color w:val="000000" w:themeColor="text1"/>
          <w:kern w:val="0"/>
          <w:sz w:val="28"/>
          <w:szCs w:val="28"/>
          <w:highlight w:val="none"/>
          <w:lang w:val="en-US" w:eastAsia="zh-CN"/>
          <w14:textFill>
            <w14:solidFill>
              <w14:schemeClr w14:val="tx1"/>
            </w14:solidFill>
          </w14:textFill>
        </w:rPr>
        <w:t>第一</w:t>
      </w:r>
      <w:r>
        <w:rPr>
          <w:rFonts w:hint="eastAsia" w:ascii="仿宋" w:hAnsi="仿宋" w:eastAsia="仿宋" w:cs="仿宋"/>
          <w:snapToGrid w:val="0"/>
          <w:color w:val="000000" w:themeColor="text1"/>
          <w:kern w:val="0"/>
          <w:sz w:val="28"/>
          <w:szCs w:val="28"/>
          <w:highlight w:val="none"/>
          <w14:textFill>
            <w14:solidFill>
              <w14:schemeClr w14:val="tx1"/>
            </w14:solidFill>
          </w14:textFill>
        </w:rPr>
        <w:t>食堂经营服务项目</w:t>
      </w:r>
      <w:bookmarkEnd w:id="25"/>
      <w:r>
        <w:rPr>
          <w:rFonts w:hint="eastAsia" w:ascii="仿宋" w:hAnsi="仿宋" w:eastAsia="仿宋" w:cs="仿宋"/>
          <w:snapToGrid w:val="0"/>
          <w:color w:val="000000" w:themeColor="text1"/>
          <w:kern w:val="0"/>
          <w:sz w:val="28"/>
          <w:szCs w:val="28"/>
          <w:highlight w:val="none"/>
          <w14:textFill>
            <w14:solidFill>
              <w14:schemeClr w14:val="tx1"/>
            </w14:solidFill>
          </w14:textFill>
        </w:rPr>
        <w:t>。</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最低限价：</w:t>
      </w:r>
    </w:p>
    <w:p>
      <w:pPr>
        <w:kinsoku w:val="0"/>
        <w:overflowPunct w:val="0"/>
        <w:autoSpaceDE w:val="0"/>
        <w:autoSpaceDN w:val="0"/>
        <w:adjustRightInd w:val="0"/>
        <w:snapToGrid w:val="0"/>
        <w:spacing w:line="38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装饰装修投资与设备配备投资（一次性投入），不低于100万。</w:t>
      </w:r>
    </w:p>
    <w:p>
      <w:pPr>
        <w:kinsoku w:val="0"/>
        <w:overflowPunct w:val="0"/>
        <w:autoSpaceDE w:val="0"/>
        <w:autoSpaceDN w:val="0"/>
        <w:adjustRightInd w:val="0"/>
        <w:snapToGrid w:val="0"/>
        <w:spacing w:line="380" w:lineRule="exact"/>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缴纳水资源管理费、污水处理费、垃圾清运及处理费、水电管理费（不含水电费）、食品卫生监督费、校园一卡通系统及明厨亮灶监控维护维修费、饮食文化活动及其公共建设费等费用，不低于</w:t>
      </w: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0万每年</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采购需求：详见第三章 货物服务需求一览表</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合同履行期限：3年（2+1），中标后先签订2年经营服务合同，经营期间每年由学校总务处等相关部门进行师生满意度考核，对综合满意度达到80%以上（含80%），且无重大食品安全事件</w:t>
      </w:r>
      <w:r>
        <w:rPr>
          <w:rFonts w:hint="eastAsia" w:ascii="仿宋" w:hAnsi="仿宋" w:eastAsia="仿宋" w:cs="仿宋"/>
          <w:snapToGrid w:val="0"/>
          <w:color w:val="000000" w:themeColor="text1"/>
          <w:kern w:val="0"/>
          <w:sz w:val="28"/>
          <w:szCs w:val="28"/>
          <w:highlight w:val="none"/>
          <w14:textFill>
            <w14:solidFill>
              <w14:schemeClr w14:val="tx1"/>
            </w14:solidFill>
          </w14:textFill>
        </w:rPr>
        <w:t>；前2年</w:t>
      </w:r>
      <w:r>
        <w:rPr>
          <w:rFonts w:hint="eastAsia" w:ascii="仿宋" w:hAnsi="仿宋" w:eastAsia="仿宋" w:cs="仿宋"/>
          <w:snapToGrid w:val="0"/>
          <w:color w:val="000000" w:themeColor="text1"/>
          <w:kern w:val="0"/>
          <w:sz w:val="28"/>
          <w:szCs w:val="28"/>
          <w:highlight w:val="none"/>
          <w14:textFill>
            <w14:solidFill>
              <w14:schemeClr w14:val="tx1"/>
            </w14:solidFill>
          </w14:textFill>
        </w:rPr>
        <w:t>合同期内被校方</w:t>
      </w:r>
      <w:r>
        <w:rPr>
          <w:rFonts w:hint="eastAsia" w:ascii="仿宋" w:hAnsi="仿宋" w:eastAsia="仿宋" w:cs="仿宋"/>
          <w:snapToGrid w:val="0"/>
          <w:color w:val="000000" w:themeColor="text1"/>
          <w:kern w:val="0"/>
          <w:sz w:val="28"/>
          <w:szCs w:val="28"/>
          <w:highlight w:val="none"/>
          <w14:textFill>
            <w14:solidFill>
              <w14:schemeClr w14:val="tx1"/>
            </w14:solidFill>
          </w14:textFill>
        </w:rPr>
        <w:t>因食品安全</w:t>
      </w:r>
      <w:r>
        <w:rPr>
          <w:rFonts w:hint="eastAsia" w:ascii="仿宋" w:hAnsi="仿宋" w:eastAsia="仿宋" w:cs="仿宋"/>
          <w:snapToGrid w:val="0"/>
          <w:color w:val="000000" w:themeColor="text1"/>
          <w:kern w:val="0"/>
          <w:sz w:val="28"/>
          <w:szCs w:val="28"/>
          <w:highlight w:val="none"/>
          <w14:textFill>
            <w14:solidFill>
              <w14:schemeClr w14:val="tx1"/>
            </w14:solidFill>
          </w14:textFill>
        </w:rPr>
        <w:t>负面</w:t>
      </w:r>
      <w:r>
        <w:rPr>
          <w:rFonts w:hint="eastAsia" w:ascii="仿宋" w:hAnsi="仿宋" w:eastAsia="仿宋" w:cs="仿宋"/>
          <w:snapToGrid w:val="0"/>
          <w:color w:val="000000" w:themeColor="text1"/>
          <w:kern w:val="0"/>
          <w:sz w:val="28"/>
          <w:szCs w:val="28"/>
          <w:highlight w:val="none"/>
          <w14:textFill>
            <w14:solidFill>
              <w14:schemeClr w14:val="tx1"/>
            </w14:solidFill>
          </w14:textFill>
        </w:rPr>
        <w:t>问题书面</w:t>
      </w:r>
      <w:r>
        <w:rPr>
          <w:rFonts w:hint="eastAsia" w:ascii="仿宋" w:hAnsi="仿宋" w:eastAsia="仿宋" w:cs="仿宋"/>
          <w:snapToGrid w:val="0"/>
          <w:color w:val="000000" w:themeColor="text1"/>
          <w:kern w:val="0"/>
          <w:sz w:val="28"/>
          <w:szCs w:val="28"/>
          <w:highlight w:val="none"/>
          <w14:textFill>
            <w14:solidFill>
              <w14:schemeClr w14:val="tx1"/>
            </w14:solidFill>
          </w14:textFill>
        </w:rPr>
        <w:t>约谈</w:t>
      </w:r>
      <w:r>
        <w:rPr>
          <w:rFonts w:hint="eastAsia" w:ascii="仿宋" w:hAnsi="仿宋" w:eastAsia="仿宋" w:cs="仿宋"/>
          <w:snapToGrid w:val="0"/>
          <w:color w:val="000000" w:themeColor="text1"/>
          <w:kern w:val="0"/>
          <w:sz w:val="28"/>
          <w:szCs w:val="28"/>
          <w:highlight w:val="none"/>
          <w14:textFill>
            <w14:solidFill>
              <w14:schemeClr w14:val="tx1"/>
            </w14:solidFill>
          </w14:textFill>
        </w:rPr>
        <w:t>整改</w:t>
      </w:r>
      <w:r>
        <w:rPr>
          <w:rFonts w:hint="eastAsia" w:ascii="仿宋" w:hAnsi="仿宋" w:eastAsia="仿宋" w:cs="仿宋"/>
          <w:snapToGrid w:val="0"/>
          <w:color w:val="000000" w:themeColor="text1"/>
          <w:kern w:val="0"/>
          <w:sz w:val="28"/>
          <w:szCs w:val="28"/>
          <w:highlight w:val="none"/>
          <w:lang w:eastAsia="zh-CN"/>
          <w14:textFill>
            <w14:solidFill>
              <w14:schemeClr w14:val="tx1"/>
            </w14:solidFill>
          </w14:textFill>
        </w:rPr>
        <w:t>不多于</w:t>
      </w:r>
      <w:r>
        <w:rPr>
          <w:rFonts w:hint="eastAsia" w:ascii="仿宋" w:hAnsi="仿宋" w:eastAsia="仿宋" w:cs="仿宋"/>
          <w:snapToGrid w:val="0"/>
          <w:color w:val="000000" w:themeColor="text1"/>
          <w:kern w:val="0"/>
          <w:sz w:val="28"/>
          <w:szCs w:val="28"/>
          <w:highlight w:val="none"/>
          <w14:textFill>
            <w14:solidFill>
              <w14:schemeClr w14:val="tx1"/>
            </w14:solidFill>
          </w14:textFill>
        </w:rPr>
        <w:t>3</w:t>
      </w:r>
      <w:r>
        <w:rPr>
          <w:rFonts w:hint="eastAsia" w:ascii="仿宋" w:hAnsi="仿宋" w:eastAsia="仿宋" w:cs="仿宋"/>
          <w:snapToGrid w:val="0"/>
          <w:color w:val="000000" w:themeColor="text1"/>
          <w:kern w:val="0"/>
          <w:sz w:val="28"/>
          <w:szCs w:val="28"/>
          <w:highlight w:val="none"/>
          <w14:textFill>
            <w14:solidFill>
              <w14:schemeClr w14:val="tx1"/>
            </w14:solidFill>
          </w14:textFill>
        </w:rPr>
        <w:t>次</w:t>
      </w:r>
      <w:r>
        <w:rPr>
          <w:rFonts w:hint="eastAsia" w:ascii="仿宋" w:hAnsi="仿宋" w:eastAsia="仿宋" w:cs="仿宋"/>
          <w:snapToGrid w:val="0"/>
          <w:color w:val="000000" w:themeColor="text1"/>
          <w:kern w:val="0"/>
          <w:sz w:val="28"/>
          <w:szCs w:val="28"/>
          <w:highlight w:val="none"/>
          <w14:textFill>
            <w14:solidFill>
              <w14:schemeClr w14:val="tx1"/>
            </w14:solidFill>
          </w14:textFill>
        </w:rPr>
        <w:t>；被省、市、区市场监管等部门立案查处不多于1次且及时整改落实的，</w:t>
      </w:r>
      <w:r>
        <w:rPr>
          <w:rFonts w:hint="eastAsia" w:ascii="仿宋" w:hAnsi="仿宋" w:eastAsia="仿宋" w:cs="仿宋"/>
          <w:snapToGrid w:val="0"/>
          <w:color w:val="000000" w:themeColor="text1"/>
          <w:kern w:val="0"/>
          <w:sz w:val="28"/>
          <w:szCs w:val="28"/>
          <w:highlight w:val="none"/>
          <w14:textFill>
            <w14:solidFill>
              <w14:schemeClr w14:val="tx1"/>
            </w14:solidFill>
          </w14:textFill>
        </w:rPr>
        <w:t>经学校研究同意可以续签第3年合同。</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本项目不接受联合体投标。</w:t>
      </w:r>
      <w:bookmarkStart w:id="26" w:name="_Toc28359003"/>
      <w:bookmarkStart w:id="27" w:name="_Toc18753"/>
      <w:bookmarkStart w:id="28" w:name="_Toc35393622"/>
      <w:bookmarkStart w:id="29" w:name="_Toc8986"/>
      <w:bookmarkStart w:id="30" w:name="_Toc35393791"/>
      <w:bookmarkStart w:id="31" w:name="_Toc28359080"/>
      <w:bookmarkStart w:id="32" w:name="_Toc28723"/>
    </w:p>
    <w:p>
      <w:pPr>
        <w:kinsoku w:val="0"/>
        <w:overflowPunct w:val="0"/>
        <w:autoSpaceDE w:val="0"/>
        <w:autoSpaceDN w:val="0"/>
        <w:adjustRightInd w:val="0"/>
        <w:snapToGrid w:val="0"/>
        <w:spacing w:line="380" w:lineRule="exact"/>
        <w:rPr>
          <w:rFonts w:ascii="仿宋" w:hAnsi="仿宋" w:eastAsia="仿宋" w:cs="仿宋"/>
          <w:b/>
          <w:bCs/>
          <w:snapToGrid w:val="0"/>
          <w:color w:val="000000" w:themeColor="text1"/>
          <w:kern w:val="0"/>
          <w:sz w:val="28"/>
          <w:szCs w:val="28"/>
          <w:highlight w:val="none"/>
          <w14:textFill>
            <w14:solidFill>
              <w14:schemeClr w14:val="tx1"/>
            </w14:solidFill>
          </w14:textFill>
        </w:rPr>
      </w:pPr>
      <w:r>
        <w:rPr>
          <w:rFonts w:hint="eastAsia" w:ascii="仿宋" w:hAnsi="仿宋" w:eastAsia="仿宋" w:cs="仿宋"/>
          <w:b/>
          <w:bCs/>
          <w:snapToGrid w:val="0"/>
          <w:color w:val="000000" w:themeColor="text1"/>
          <w:kern w:val="0"/>
          <w:sz w:val="28"/>
          <w:szCs w:val="28"/>
          <w:highlight w:val="none"/>
          <w14:textFill>
            <w14:solidFill>
              <w14:schemeClr w14:val="tx1"/>
            </w14:solidFill>
          </w14:textFill>
        </w:rPr>
        <w:t>二、申请人的资格要求</w:t>
      </w:r>
      <w:bookmarkEnd w:id="26"/>
      <w:bookmarkEnd w:id="27"/>
      <w:bookmarkEnd w:id="28"/>
      <w:bookmarkEnd w:id="29"/>
      <w:bookmarkEnd w:id="30"/>
      <w:bookmarkEnd w:id="31"/>
      <w:bookmarkEnd w:id="32"/>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1.满足《中华人民共和国政府采购法》第二十二条规定；</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bookmarkStart w:id="33" w:name="_Toc28359004"/>
      <w:bookmarkStart w:id="34" w:name="_Toc28359081"/>
      <w:r>
        <w:rPr>
          <w:rFonts w:hint="eastAsia" w:ascii="仿宋" w:hAnsi="仿宋" w:eastAsia="仿宋" w:cs="仿宋"/>
          <w:snapToGrid w:val="0"/>
          <w:color w:val="000000" w:themeColor="text1"/>
          <w:kern w:val="0"/>
          <w:sz w:val="28"/>
          <w:szCs w:val="28"/>
          <w:highlight w:val="none"/>
          <w:lang w:val="en-US" w:eastAsia="zh-CN"/>
          <w14:textFill>
            <w14:solidFill>
              <w14:schemeClr w14:val="tx1"/>
            </w14:solidFill>
          </w14:textFill>
        </w:rPr>
        <w:t>2</w:t>
      </w:r>
      <w:r>
        <w:rPr>
          <w:rFonts w:hint="eastAsia" w:ascii="仿宋" w:hAnsi="仿宋" w:eastAsia="仿宋" w:cs="仿宋"/>
          <w:snapToGrid w:val="0"/>
          <w:color w:val="000000" w:themeColor="text1"/>
          <w:kern w:val="0"/>
          <w:sz w:val="28"/>
          <w:szCs w:val="28"/>
          <w:highlight w:val="none"/>
          <w14:textFill>
            <w14:solidFill>
              <w14:schemeClr w14:val="tx1"/>
            </w14:solidFill>
          </w14:textFill>
        </w:rPr>
        <w:t>.本项目的特定资格要求：供应商（含不具有独立法人资格的分公司、不含具备独立法人资格的子公司）存在以下不良信用记录情形之一，不得推荐为中标候选人，不得确定为中标人：</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（1）供应商被人民法院列入失信被执行人的；</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（2）供应商或其法定代表人或拟派项目经理（项目负责人）被列入行贿犯罪档案的；</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（3）供应商被市场监督管理局列入企业经营异常名录的；</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（4）供应商被税务部门列入重大税收违法案件当事人名单的；</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（5）供应商被政府采购监管部门列入政府采购严重违法失信行为记录名单的。</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情形（2）由供应商提供无行贿犯罪记录承诺函。</w:t>
      </w:r>
    </w:p>
    <w:p>
      <w:pPr>
        <w:kinsoku w:val="0"/>
        <w:overflowPunct w:val="0"/>
        <w:autoSpaceDE w:val="0"/>
        <w:autoSpaceDN w:val="0"/>
        <w:adjustRightInd w:val="0"/>
        <w:snapToGrid w:val="0"/>
        <w:spacing w:line="380" w:lineRule="exact"/>
        <w:ind w:firstLine="562" w:firstLineChars="200"/>
        <w:rPr>
          <w:rFonts w:ascii="仿宋" w:hAnsi="仿宋" w:eastAsia="仿宋" w:cs="仿宋"/>
          <w:bCs/>
          <w:color w:val="000000" w:themeColor="text1"/>
          <w:sz w:val="28"/>
          <w:szCs w:val="28"/>
          <w:highlight w:val="none"/>
          <w14:textFill>
            <w14:solidFill>
              <w14:schemeClr w14:val="tx1"/>
            </w14:solidFill>
          </w14:textFill>
        </w:rPr>
      </w:pPr>
      <w:bookmarkStart w:id="35" w:name="_Toc25311"/>
      <w:bookmarkStart w:id="36" w:name="_Toc18699"/>
      <w:bookmarkStart w:id="37" w:name="_Toc26228"/>
      <w:bookmarkStart w:id="38" w:name="_Toc35393623"/>
      <w:bookmarkStart w:id="39" w:name="_Toc35393792"/>
      <w:r>
        <w:rPr>
          <w:rFonts w:hint="eastAsia" w:ascii="仿宋" w:hAnsi="仿宋" w:eastAsia="仿宋" w:cs="仿宋"/>
          <w:b/>
          <w:bCs/>
          <w:snapToGrid w:val="0"/>
          <w:color w:val="000000" w:themeColor="text1"/>
          <w:kern w:val="0"/>
          <w:sz w:val="28"/>
          <w:szCs w:val="28"/>
          <w:highlight w:val="none"/>
          <w:lang w:val="en-US" w:eastAsia="zh-CN"/>
          <w14:textFill>
            <w14:solidFill>
              <w14:schemeClr w14:val="tx1"/>
            </w14:solidFill>
          </w14:textFill>
        </w:rPr>
        <w:t>3</w:t>
      </w:r>
      <w:r>
        <w:rPr>
          <w:rFonts w:hint="eastAsia" w:ascii="仿宋" w:hAnsi="仿宋" w:eastAsia="仿宋" w:cs="仿宋"/>
          <w:b/>
          <w:bCs/>
          <w:snapToGrid w:val="0"/>
          <w:color w:val="000000" w:themeColor="text1"/>
          <w:kern w:val="0"/>
          <w:sz w:val="28"/>
          <w:szCs w:val="28"/>
          <w:highlight w:val="none"/>
          <w14:textFill>
            <w14:solidFill>
              <w14:schemeClr w14:val="tx1"/>
            </w14:solidFill>
          </w14:textFill>
        </w:rPr>
        <w:t>.投标人必须具有有效的营业执照和食品经营许可证。</w:t>
      </w:r>
      <w:bookmarkEnd w:id="35"/>
    </w:p>
    <w:p>
      <w:pPr>
        <w:shd w:val="clear" w:color="auto" w:fill="FFFFFF"/>
        <w:kinsoku w:val="0"/>
        <w:overflowPunct w:val="0"/>
        <w:autoSpaceDE w:val="0"/>
        <w:autoSpaceDN w:val="0"/>
        <w:adjustRightInd w:val="0"/>
        <w:snapToGrid w:val="0"/>
        <w:spacing w:line="380" w:lineRule="exact"/>
        <w:ind w:firstLine="48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注：投标单位必须使用本单位资质，一旦发现资质挂靠现象，一律取消投标资格。</w:t>
      </w:r>
    </w:p>
    <w:p>
      <w:pPr>
        <w:kinsoku w:val="0"/>
        <w:overflowPunct w:val="0"/>
        <w:autoSpaceDE w:val="0"/>
        <w:autoSpaceDN w:val="0"/>
        <w:adjustRightInd w:val="0"/>
        <w:snapToGrid w:val="0"/>
        <w:spacing w:line="380" w:lineRule="exact"/>
        <w:ind w:firstLine="562" w:firstLineChars="200"/>
        <w:rPr>
          <w:rFonts w:ascii="仿宋" w:hAnsi="仿宋" w:eastAsia="仿宋" w:cs="仿宋"/>
          <w:b/>
          <w:bCs/>
          <w:snapToGrid w:val="0"/>
          <w:color w:val="000000" w:themeColor="text1"/>
          <w:kern w:val="0"/>
          <w:sz w:val="28"/>
          <w:szCs w:val="28"/>
          <w:highlight w:val="none"/>
          <w14:textFill>
            <w14:solidFill>
              <w14:schemeClr w14:val="tx1"/>
            </w14:solidFill>
          </w14:textFill>
        </w:rPr>
      </w:pPr>
      <w:r>
        <w:rPr>
          <w:rFonts w:hint="eastAsia" w:ascii="仿宋" w:hAnsi="仿宋" w:eastAsia="仿宋" w:cs="仿宋"/>
          <w:b/>
          <w:bCs/>
          <w:snapToGrid w:val="0"/>
          <w:color w:val="000000" w:themeColor="text1"/>
          <w:kern w:val="0"/>
          <w:sz w:val="28"/>
          <w:szCs w:val="28"/>
          <w:highlight w:val="none"/>
          <w:lang w:val="en-US" w:eastAsia="zh-CN"/>
          <w14:textFill>
            <w14:solidFill>
              <w14:schemeClr w14:val="tx1"/>
            </w14:solidFill>
          </w14:textFill>
        </w:rPr>
        <w:t>4</w:t>
      </w:r>
      <w:bookmarkStart w:id="203" w:name="_GoBack"/>
      <w:bookmarkEnd w:id="203"/>
      <w:r>
        <w:rPr>
          <w:rFonts w:hint="eastAsia" w:ascii="仿宋" w:hAnsi="仿宋" w:eastAsia="仿宋" w:cs="仿宋"/>
          <w:b/>
          <w:bCs/>
          <w:snapToGrid w:val="0"/>
          <w:color w:val="000000" w:themeColor="text1"/>
          <w:kern w:val="0"/>
          <w:sz w:val="28"/>
          <w:szCs w:val="28"/>
          <w:highlight w:val="none"/>
          <w14:textFill>
            <w14:solidFill>
              <w14:schemeClr w14:val="tx1"/>
            </w14:solidFill>
          </w14:textFill>
        </w:rPr>
        <w:t>.近三年内未出现食品安全事故及被相关主管部门记入不良记录（投标人自行承诺）。</w:t>
      </w:r>
    </w:p>
    <w:p>
      <w:pPr>
        <w:pStyle w:val="8"/>
        <w:kinsoku w:val="0"/>
        <w:wordWrap/>
        <w:overflowPunct w:val="0"/>
        <w:autoSpaceDE w:val="0"/>
        <w:autoSpaceDN w:val="0"/>
        <w:adjustRightInd w:val="0"/>
        <w:snapToGrid w:val="0"/>
        <w:spacing w:line="380" w:lineRule="exact"/>
        <w:ind w:firstLine="0" w:firstLineChars="0"/>
        <w:jc w:val="both"/>
        <w:rPr>
          <w:rFonts w:ascii="仿宋" w:hAnsi="仿宋" w:eastAsia="仿宋" w:cs="仿宋"/>
          <w:snapToGrid w:val="0"/>
          <w:color w:val="000000" w:themeColor="text1"/>
          <w:kern w:val="0"/>
          <w:sz w:val="28"/>
          <w:highlight w:val="none"/>
          <w14:textFill>
            <w14:solidFill>
              <w14:schemeClr w14:val="tx1"/>
            </w14:solidFill>
          </w14:textFill>
        </w:rPr>
      </w:pPr>
      <w:bookmarkStart w:id="40" w:name="_Toc20032"/>
      <w:r>
        <w:rPr>
          <w:rFonts w:hint="eastAsia" w:ascii="仿宋" w:hAnsi="仿宋" w:eastAsia="仿宋" w:cs="仿宋"/>
          <w:snapToGrid w:val="0"/>
          <w:color w:val="000000" w:themeColor="text1"/>
          <w:kern w:val="0"/>
          <w:sz w:val="28"/>
          <w:highlight w:val="none"/>
          <w14:textFill>
            <w14:solidFill>
              <w14:schemeClr w14:val="tx1"/>
            </w14:solidFill>
          </w14:textFill>
        </w:rPr>
        <w:t>三、获取招标文件</w:t>
      </w:r>
      <w:bookmarkEnd w:id="33"/>
      <w:bookmarkEnd w:id="34"/>
      <w:bookmarkEnd w:id="36"/>
      <w:bookmarkEnd w:id="37"/>
      <w:bookmarkEnd w:id="38"/>
      <w:bookmarkEnd w:id="39"/>
      <w:bookmarkEnd w:id="40"/>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时间：</w:t>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t>202</w:t>
      </w:r>
      <w:r>
        <w:rPr>
          <w:rFonts w:hint="eastAsia" w:ascii="仿宋" w:hAnsi="仿宋" w:eastAsia="仿宋" w:cs="仿宋"/>
          <w:snapToGrid w:val="0"/>
          <w:color w:val="000000" w:themeColor="text1"/>
          <w:kern w:val="0"/>
          <w:sz w:val="28"/>
          <w:szCs w:val="28"/>
          <w:highlight w:val="none"/>
          <w:u w:val="single"/>
          <w:lang w:val="en-US" w:eastAsia="zh-CN"/>
          <w14:textFill>
            <w14:solidFill>
              <w14:schemeClr w14:val="tx1"/>
            </w14:solidFill>
          </w14:textFill>
        </w:rPr>
        <w:t>4</w:t>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t>年</w:t>
      </w:r>
      <w:r>
        <w:rPr>
          <w:rFonts w:hint="eastAsia" w:ascii="仿宋" w:hAnsi="仿宋" w:eastAsia="仿宋" w:cs="仿宋"/>
          <w:snapToGrid w:val="0"/>
          <w:color w:val="000000" w:themeColor="text1"/>
          <w:kern w:val="0"/>
          <w:sz w:val="28"/>
          <w:szCs w:val="28"/>
          <w:highlight w:val="none"/>
          <w:u w:val="single"/>
          <w:lang w:val="en-US" w:eastAsia="zh-CN"/>
          <w14:textFill>
            <w14:solidFill>
              <w14:schemeClr w14:val="tx1"/>
            </w14:solidFill>
          </w14:textFill>
        </w:rPr>
        <w:t xml:space="preserve"> </w:t>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t>月</w:t>
      </w:r>
      <w:r>
        <w:rPr>
          <w:rFonts w:hint="eastAsia" w:ascii="仿宋" w:hAnsi="仿宋" w:eastAsia="仿宋" w:cs="仿宋"/>
          <w:snapToGrid w:val="0"/>
          <w:color w:val="000000" w:themeColor="text1"/>
          <w:kern w:val="0"/>
          <w:sz w:val="28"/>
          <w:szCs w:val="28"/>
          <w:highlight w:val="none"/>
          <w:u w:val="single"/>
          <w:lang w:val="en-US" w:eastAsia="zh-CN"/>
          <w14:textFill>
            <w14:solidFill>
              <w14:schemeClr w14:val="tx1"/>
            </w14:solidFill>
          </w14:textFill>
        </w:rPr>
        <w:t xml:space="preserve"> </w:t>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t>日</w:t>
      </w:r>
      <w:r>
        <w:rPr>
          <w:rFonts w:hint="eastAsia" w:ascii="仿宋" w:hAnsi="仿宋" w:eastAsia="仿宋" w:cs="仿宋"/>
          <w:snapToGrid w:val="0"/>
          <w:color w:val="000000" w:themeColor="text1"/>
          <w:kern w:val="0"/>
          <w:sz w:val="28"/>
          <w:szCs w:val="28"/>
          <w:highlight w:val="none"/>
          <w14:textFill>
            <w14:solidFill>
              <w14:schemeClr w14:val="tx1"/>
            </w14:solidFill>
          </w14:textFill>
        </w:rPr>
        <w:t>至</w:t>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t>202</w:t>
      </w:r>
      <w:r>
        <w:rPr>
          <w:rFonts w:hint="eastAsia" w:ascii="仿宋" w:hAnsi="仿宋" w:eastAsia="仿宋" w:cs="仿宋"/>
          <w:snapToGrid w:val="0"/>
          <w:color w:val="000000" w:themeColor="text1"/>
          <w:kern w:val="0"/>
          <w:sz w:val="28"/>
          <w:szCs w:val="28"/>
          <w:highlight w:val="none"/>
          <w:u w:val="single"/>
          <w:lang w:val="en-US" w:eastAsia="zh-CN"/>
          <w14:textFill>
            <w14:solidFill>
              <w14:schemeClr w14:val="tx1"/>
            </w14:solidFill>
          </w14:textFill>
        </w:rPr>
        <w:t>4</w:t>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t>年</w:t>
      </w:r>
      <w:r>
        <w:rPr>
          <w:rFonts w:hint="eastAsia" w:ascii="仿宋" w:hAnsi="仿宋" w:eastAsia="仿宋" w:cs="仿宋"/>
          <w:snapToGrid w:val="0"/>
          <w:color w:val="000000" w:themeColor="text1"/>
          <w:kern w:val="0"/>
          <w:sz w:val="28"/>
          <w:szCs w:val="28"/>
          <w:highlight w:val="none"/>
          <w:u w:val="single"/>
          <w:lang w:val="en-US" w:eastAsia="zh-CN"/>
          <w14:textFill>
            <w14:solidFill>
              <w14:schemeClr w14:val="tx1"/>
            </w14:solidFill>
          </w14:textFill>
        </w:rPr>
        <w:t xml:space="preserve"> </w:t>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t>月</w:t>
      </w:r>
      <w:r>
        <w:rPr>
          <w:rFonts w:hint="eastAsia" w:ascii="仿宋" w:hAnsi="仿宋" w:eastAsia="仿宋" w:cs="仿宋"/>
          <w:snapToGrid w:val="0"/>
          <w:color w:val="000000" w:themeColor="text1"/>
          <w:kern w:val="0"/>
          <w:sz w:val="28"/>
          <w:szCs w:val="28"/>
          <w:highlight w:val="none"/>
          <w:u w:val="single"/>
          <w:lang w:val="en-US" w:eastAsia="zh-CN"/>
          <w14:textFill>
            <w14:solidFill>
              <w14:schemeClr w14:val="tx1"/>
            </w14:solidFill>
          </w14:textFill>
        </w:rPr>
        <w:t xml:space="preserve"> </w:t>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t>日</w:t>
      </w:r>
      <w:r>
        <w:rPr>
          <w:rFonts w:hint="eastAsia" w:ascii="仿宋" w:hAnsi="仿宋" w:eastAsia="仿宋" w:cs="仿宋"/>
          <w:snapToGrid w:val="0"/>
          <w:color w:val="000000" w:themeColor="text1"/>
          <w:kern w:val="0"/>
          <w:sz w:val="28"/>
          <w:szCs w:val="28"/>
          <w:highlight w:val="none"/>
          <w14:textFill>
            <w14:solidFill>
              <w14:schemeClr w14:val="tx1"/>
            </w14:solidFill>
          </w14:textFill>
        </w:rPr>
        <w:t>，</w:t>
      </w:r>
      <w:r>
        <w:rPr>
          <w:rFonts w:hint="eastAsia" w:ascii="仿宋" w:hAnsi="仿宋" w:eastAsia="仿宋" w:cs="仿宋"/>
          <w:snapToGrid w:val="0"/>
          <w:color w:val="000000" w:themeColor="text1"/>
          <w:kern w:val="0"/>
          <w:sz w:val="28"/>
          <w:szCs w:val="28"/>
          <w:highlight w:val="none"/>
          <w14:textFill>
            <w14:solidFill>
              <w14:schemeClr w14:val="tx1"/>
            </w14:solidFill>
          </w14:textFill>
        </w:rPr>
        <w:t>每天上午</w:t>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t>8:00</w:t>
      </w:r>
      <w:r>
        <w:rPr>
          <w:rFonts w:hint="eastAsia" w:ascii="仿宋" w:hAnsi="仿宋" w:eastAsia="仿宋" w:cs="仿宋"/>
          <w:snapToGrid w:val="0"/>
          <w:color w:val="000000" w:themeColor="text1"/>
          <w:kern w:val="0"/>
          <w:sz w:val="28"/>
          <w:szCs w:val="28"/>
          <w:highlight w:val="none"/>
          <w14:textFill>
            <w14:solidFill>
              <w14:schemeClr w14:val="tx1"/>
            </w14:solidFill>
          </w14:textFill>
        </w:rPr>
        <w:t>至</w:t>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t xml:space="preserve">12:00 </w:t>
      </w:r>
      <w:r>
        <w:rPr>
          <w:rFonts w:hint="eastAsia" w:ascii="仿宋" w:hAnsi="仿宋" w:eastAsia="仿宋" w:cs="仿宋"/>
          <w:snapToGrid w:val="0"/>
          <w:color w:val="000000" w:themeColor="text1"/>
          <w:kern w:val="0"/>
          <w:sz w:val="28"/>
          <w:szCs w:val="28"/>
          <w:highlight w:val="none"/>
          <w14:textFill>
            <w14:solidFill>
              <w14:schemeClr w14:val="tx1"/>
            </w14:solidFill>
          </w14:textFill>
        </w:rPr>
        <w:t>，下午</w:t>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t>12:00</w:t>
      </w:r>
      <w:r>
        <w:rPr>
          <w:rFonts w:hint="eastAsia" w:ascii="仿宋" w:hAnsi="仿宋" w:eastAsia="仿宋" w:cs="仿宋"/>
          <w:snapToGrid w:val="0"/>
          <w:color w:val="000000" w:themeColor="text1"/>
          <w:kern w:val="0"/>
          <w:sz w:val="28"/>
          <w:szCs w:val="28"/>
          <w:highlight w:val="none"/>
          <w14:textFill>
            <w14:solidFill>
              <w14:schemeClr w14:val="tx1"/>
            </w14:solidFill>
          </w14:textFill>
        </w:rPr>
        <w:t>至</w:t>
      </w:r>
      <w:r>
        <w:rPr>
          <w:rFonts w:hint="eastAsia" w:ascii="仿宋" w:hAnsi="仿宋" w:eastAsia="仿宋" w:cs="仿宋"/>
          <w:snapToGrid w:val="0"/>
          <w:color w:val="000000" w:themeColor="text1"/>
          <w:kern w:val="0"/>
          <w:sz w:val="28"/>
          <w:szCs w:val="28"/>
          <w:highlight w:val="none"/>
          <w:u w:val="single"/>
          <w14:textFill>
            <w14:solidFill>
              <w14:schemeClr w14:val="tx1"/>
            </w14:solidFill>
          </w14:textFill>
        </w:rPr>
        <w:t>17:00</w:t>
      </w:r>
      <w:r>
        <w:rPr>
          <w:rFonts w:hint="eastAsia" w:ascii="仿宋" w:hAnsi="仿宋" w:eastAsia="仿宋" w:cs="仿宋"/>
          <w:snapToGrid w:val="0"/>
          <w:color w:val="000000" w:themeColor="text1"/>
          <w:kern w:val="0"/>
          <w:sz w:val="28"/>
          <w:szCs w:val="28"/>
          <w:highlight w:val="none"/>
          <w14:textFill>
            <w14:solidFill>
              <w14:schemeClr w14:val="tx1"/>
            </w14:solidFill>
          </w14:textFill>
        </w:rPr>
        <w:t>（北京时间，法定节假日除外）</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获取地点：网上获取。</w:t>
      </w:r>
    </w:p>
    <w:p>
      <w:pPr>
        <w:kinsoku w:val="0"/>
        <w:overflowPunct w:val="0"/>
        <w:autoSpaceDE w:val="0"/>
        <w:autoSpaceDN w:val="0"/>
        <w:adjustRightInd w:val="0"/>
        <w:snapToGrid w:val="0"/>
        <w:spacing w:line="38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方式：</w:t>
      </w:r>
      <w:r>
        <w:rPr>
          <w:rFonts w:hint="eastAsia" w:ascii="仿宋" w:hAnsi="仿宋" w:eastAsia="仿宋" w:cs="仿宋"/>
          <w:color w:val="000000" w:themeColor="text1"/>
          <w:sz w:val="28"/>
          <w:szCs w:val="28"/>
          <w:highlight w:val="none"/>
          <w14:textFill>
            <w14:solidFill>
              <w14:schemeClr w14:val="tx1"/>
            </w14:solidFill>
          </w14:textFill>
        </w:rPr>
        <w:t>凡有意参加投标者，请将营业执照扫描件及法人身份证明或法人授权委托书加盖公章，在招标文件规定获取时间内将上述材料扫描后发送至邮箱:</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@qq.com，发送后请电话通知</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，审核通过后将招标文件电子版发送至投标人邮箱。</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售价：每套人民币0元整，招标文件售后不退。</w:t>
      </w:r>
    </w:p>
    <w:p>
      <w:pPr>
        <w:pStyle w:val="8"/>
        <w:kinsoku w:val="0"/>
        <w:wordWrap/>
        <w:overflowPunct w:val="0"/>
        <w:autoSpaceDE w:val="0"/>
        <w:autoSpaceDN w:val="0"/>
        <w:adjustRightInd w:val="0"/>
        <w:snapToGrid w:val="0"/>
        <w:spacing w:line="380" w:lineRule="exact"/>
        <w:ind w:firstLine="0" w:firstLineChars="0"/>
        <w:jc w:val="both"/>
        <w:rPr>
          <w:rFonts w:ascii="仿宋" w:hAnsi="仿宋" w:eastAsia="仿宋" w:cs="仿宋"/>
          <w:snapToGrid w:val="0"/>
          <w:color w:val="000000" w:themeColor="text1"/>
          <w:kern w:val="0"/>
          <w:sz w:val="28"/>
          <w:highlight w:val="none"/>
          <w14:textFill>
            <w14:solidFill>
              <w14:schemeClr w14:val="tx1"/>
            </w14:solidFill>
          </w14:textFill>
        </w:rPr>
      </w:pPr>
      <w:bookmarkStart w:id="41" w:name="_Toc28359005"/>
      <w:bookmarkStart w:id="42" w:name="_Toc28359082"/>
      <w:bookmarkStart w:id="43" w:name="_Toc35393793"/>
      <w:bookmarkStart w:id="44" w:name="_Toc30265"/>
      <w:bookmarkStart w:id="45" w:name="_Toc35393624"/>
      <w:bookmarkStart w:id="46" w:name="_Toc24777"/>
      <w:bookmarkStart w:id="47" w:name="_Toc29782"/>
      <w:r>
        <w:rPr>
          <w:rFonts w:hint="eastAsia" w:ascii="仿宋" w:hAnsi="仿宋" w:eastAsia="仿宋" w:cs="仿宋"/>
          <w:snapToGrid w:val="0"/>
          <w:color w:val="000000" w:themeColor="text1"/>
          <w:kern w:val="0"/>
          <w:sz w:val="28"/>
          <w:highlight w:val="none"/>
          <w14:textFill>
            <w14:solidFill>
              <w14:schemeClr w14:val="tx1"/>
            </w14:solidFill>
          </w14:textFill>
        </w:rPr>
        <w:t>四、提交投标文件</w:t>
      </w:r>
      <w:bookmarkEnd w:id="41"/>
      <w:bookmarkEnd w:id="42"/>
      <w:r>
        <w:rPr>
          <w:rFonts w:hint="eastAsia" w:ascii="仿宋" w:hAnsi="仿宋" w:eastAsia="仿宋" w:cs="仿宋"/>
          <w:snapToGrid w:val="0"/>
          <w:color w:val="000000" w:themeColor="text1"/>
          <w:kern w:val="0"/>
          <w:sz w:val="28"/>
          <w:highlight w:val="none"/>
          <w14:textFill>
            <w14:solidFill>
              <w14:schemeClr w14:val="tx1"/>
            </w14:solidFill>
          </w14:textFill>
        </w:rPr>
        <w:t>截止时间、开标时间和地点</w:t>
      </w:r>
      <w:bookmarkEnd w:id="43"/>
      <w:bookmarkEnd w:id="44"/>
      <w:bookmarkEnd w:id="45"/>
      <w:bookmarkEnd w:id="46"/>
      <w:bookmarkEnd w:id="47"/>
    </w:p>
    <w:p>
      <w:pPr>
        <w:kinsoku w:val="0"/>
        <w:overflowPunct w:val="0"/>
        <w:autoSpaceDE w:val="0"/>
        <w:autoSpaceDN w:val="0"/>
        <w:adjustRightInd w:val="0"/>
        <w:snapToGrid w:val="0"/>
        <w:spacing w:line="380" w:lineRule="exact"/>
        <w:ind w:firstLine="560" w:firstLineChars="200"/>
        <w:rPr>
          <w:rFonts w:ascii="仿宋" w:hAnsi="仿宋" w:eastAsia="仿宋" w:cs="仿宋"/>
          <w:bCs/>
          <w:snapToGrid w:val="0"/>
          <w:color w:val="000000" w:themeColor="text1"/>
          <w:kern w:val="0"/>
          <w:sz w:val="28"/>
          <w:szCs w:val="28"/>
          <w:highlight w:val="none"/>
          <w:u w:val="single"/>
          <w14:textFill>
            <w14:solidFill>
              <w14:schemeClr w14:val="tx1"/>
            </w14:solidFill>
          </w14:textFill>
        </w:rPr>
      </w:pPr>
      <w:r>
        <w:rPr>
          <w:rFonts w:hint="eastAsia" w:ascii="仿宋" w:hAnsi="仿宋" w:eastAsia="仿宋" w:cs="仿宋"/>
          <w:bCs/>
          <w:snapToGrid w:val="0"/>
          <w:color w:val="000000" w:themeColor="text1"/>
          <w:kern w:val="0"/>
          <w:sz w:val="28"/>
          <w:szCs w:val="28"/>
          <w:highlight w:val="none"/>
          <w:u w:val="single"/>
          <w14:textFill>
            <w14:solidFill>
              <w14:schemeClr w14:val="tx1"/>
            </w14:solidFill>
          </w14:textFill>
        </w:rPr>
        <w:t>202</w:t>
      </w:r>
      <w:r>
        <w:rPr>
          <w:rFonts w:hint="eastAsia" w:ascii="仿宋" w:hAnsi="仿宋" w:eastAsia="仿宋" w:cs="仿宋"/>
          <w:bCs/>
          <w:snapToGrid w:val="0"/>
          <w:color w:val="000000" w:themeColor="text1"/>
          <w:kern w:val="0"/>
          <w:sz w:val="28"/>
          <w:szCs w:val="28"/>
          <w:highlight w:val="none"/>
          <w:u w:val="single"/>
          <w:lang w:val="en-US" w:eastAsia="zh-CN"/>
          <w14:textFill>
            <w14:solidFill>
              <w14:schemeClr w14:val="tx1"/>
            </w14:solidFill>
          </w14:textFill>
        </w:rPr>
        <w:t>4</w:t>
      </w:r>
      <w:r>
        <w:rPr>
          <w:rFonts w:hint="eastAsia" w:ascii="仿宋" w:hAnsi="仿宋" w:eastAsia="仿宋" w:cs="仿宋"/>
          <w:bCs/>
          <w:snapToGrid w:val="0"/>
          <w:color w:val="000000" w:themeColor="text1"/>
          <w:kern w:val="0"/>
          <w:sz w:val="28"/>
          <w:szCs w:val="28"/>
          <w:highlight w:val="none"/>
          <w:u w:val="single"/>
          <w14:textFill>
            <w14:solidFill>
              <w14:schemeClr w14:val="tx1"/>
            </w14:solidFill>
          </w14:textFill>
        </w:rPr>
        <w:t>年</w:t>
      </w:r>
      <w:r>
        <w:rPr>
          <w:rFonts w:hint="eastAsia" w:ascii="仿宋" w:hAnsi="仿宋" w:eastAsia="仿宋" w:cs="仿宋"/>
          <w:bCs/>
          <w:snapToGrid w:val="0"/>
          <w:color w:val="000000" w:themeColor="text1"/>
          <w:kern w:val="0"/>
          <w:sz w:val="28"/>
          <w:szCs w:val="28"/>
          <w:highlight w:val="none"/>
          <w:u w:val="single"/>
          <w14:textFill>
            <w14:solidFill>
              <w14:schemeClr w14:val="tx1"/>
            </w14:solidFill>
          </w14:textFill>
        </w:rPr>
        <w:t xml:space="preserve"> 月 日</w:t>
      </w:r>
      <w:r>
        <w:rPr>
          <w:rFonts w:hint="eastAsia" w:ascii="仿宋" w:hAnsi="仿宋" w:eastAsia="仿宋" w:cs="仿宋"/>
          <w:bCs/>
          <w:snapToGrid w:val="0"/>
          <w:color w:val="000000" w:themeColor="text1"/>
          <w:kern w:val="0"/>
          <w:sz w:val="28"/>
          <w:szCs w:val="28"/>
          <w:highlight w:val="none"/>
          <w:u w:val="single"/>
          <w14:textFill>
            <w14:solidFill>
              <w14:schemeClr w14:val="tx1"/>
            </w14:solidFill>
          </w14:textFill>
        </w:rPr>
        <w:t>09点00分</w:t>
      </w:r>
      <w:r>
        <w:rPr>
          <w:rFonts w:hint="eastAsia" w:ascii="仿宋" w:hAnsi="仿宋" w:eastAsia="仿宋" w:cs="仿宋"/>
          <w:bCs/>
          <w:snapToGrid w:val="0"/>
          <w:color w:val="000000" w:themeColor="text1"/>
          <w:kern w:val="0"/>
          <w:sz w:val="28"/>
          <w:szCs w:val="28"/>
          <w:highlight w:val="none"/>
          <w14:textFill>
            <w14:solidFill>
              <w14:schemeClr w14:val="tx1"/>
            </w14:solidFill>
          </w14:textFill>
        </w:rPr>
        <w:t>（北京时间）</w:t>
      </w:r>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u w:val="singl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地点：</w:t>
      </w:r>
      <w:r>
        <w:rPr>
          <w:rFonts w:hint="eastAsia" w:ascii="仿宋" w:hAnsi="仿宋" w:eastAsia="仿宋" w:cs="仿宋"/>
          <w:color w:val="000000" w:themeColor="text1"/>
          <w:sz w:val="28"/>
          <w:szCs w:val="28"/>
          <w:highlight w:val="none"/>
          <w14:textFill>
            <w14:solidFill>
              <w14:schemeClr w14:val="tx1"/>
            </w14:solidFill>
          </w14:textFill>
        </w:rPr>
        <w:t>宿州市公共资源交易中心</w:t>
      </w:r>
    </w:p>
    <w:p>
      <w:pPr>
        <w:pStyle w:val="8"/>
        <w:kinsoku w:val="0"/>
        <w:wordWrap/>
        <w:overflowPunct w:val="0"/>
        <w:autoSpaceDE w:val="0"/>
        <w:autoSpaceDN w:val="0"/>
        <w:adjustRightInd w:val="0"/>
        <w:snapToGrid w:val="0"/>
        <w:spacing w:line="380" w:lineRule="exact"/>
        <w:ind w:firstLine="0" w:firstLineChars="0"/>
        <w:jc w:val="both"/>
        <w:rPr>
          <w:rFonts w:ascii="仿宋" w:hAnsi="仿宋" w:eastAsia="仿宋" w:cs="仿宋"/>
          <w:snapToGrid w:val="0"/>
          <w:color w:val="000000" w:themeColor="text1"/>
          <w:kern w:val="0"/>
          <w:sz w:val="28"/>
          <w:highlight w:val="none"/>
          <w14:textFill>
            <w14:solidFill>
              <w14:schemeClr w14:val="tx1"/>
            </w14:solidFill>
          </w14:textFill>
        </w:rPr>
      </w:pPr>
      <w:bookmarkStart w:id="48" w:name="_Toc28359007"/>
      <w:bookmarkStart w:id="49" w:name="_Toc10275"/>
      <w:bookmarkStart w:id="50" w:name="_Toc35393794"/>
      <w:bookmarkStart w:id="51" w:name="_Toc28359084"/>
      <w:bookmarkStart w:id="52" w:name="_Toc20785"/>
      <w:bookmarkStart w:id="53" w:name="_Toc35393625"/>
      <w:bookmarkStart w:id="54" w:name="_Toc3410"/>
      <w:r>
        <w:rPr>
          <w:rFonts w:hint="eastAsia" w:ascii="仿宋" w:hAnsi="仿宋" w:eastAsia="仿宋" w:cs="仿宋"/>
          <w:snapToGrid w:val="0"/>
          <w:color w:val="000000" w:themeColor="text1"/>
          <w:kern w:val="0"/>
          <w:sz w:val="28"/>
          <w:highlight w:val="none"/>
          <w14:textFill>
            <w14:solidFill>
              <w14:schemeClr w14:val="tx1"/>
            </w14:solidFill>
          </w14:textFill>
        </w:rPr>
        <w:t>五、公告期限</w:t>
      </w:r>
      <w:bookmarkEnd w:id="48"/>
      <w:bookmarkEnd w:id="49"/>
      <w:bookmarkEnd w:id="50"/>
      <w:bookmarkEnd w:id="51"/>
      <w:bookmarkEnd w:id="52"/>
      <w:bookmarkEnd w:id="53"/>
      <w:bookmarkEnd w:id="54"/>
    </w:p>
    <w:p>
      <w:pPr>
        <w:kinsoku w:val="0"/>
        <w:overflowPunct w:val="0"/>
        <w:autoSpaceDE w:val="0"/>
        <w:autoSpaceDN w:val="0"/>
        <w:adjustRightInd w:val="0"/>
        <w:snapToGrid w:val="0"/>
        <w:spacing w:line="380" w:lineRule="exact"/>
        <w:ind w:firstLine="560" w:firstLineChars="200"/>
        <w:rPr>
          <w:rFonts w:ascii="仿宋" w:hAnsi="仿宋" w:eastAsia="仿宋" w:cs="仿宋"/>
          <w:snapToGrid w:val="0"/>
          <w:color w:val="000000" w:themeColor="text1"/>
          <w:kern w:val="0"/>
          <w:sz w:val="28"/>
          <w:szCs w:val="28"/>
          <w:highlight w:val="none"/>
          <w14:textFill>
            <w14:solidFill>
              <w14:schemeClr w14:val="tx1"/>
            </w14:solidFill>
          </w14:textFill>
        </w:rPr>
      </w:pPr>
      <w:r>
        <w:rPr>
          <w:rFonts w:hint="eastAsia" w:ascii="仿宋" w:hAnsi="仿宋" w:eastAsia="仿宋" w:cs="仿宋"/>
          <w:snapToGrid w:val="0"/>
          <w:color w:val="000000" w:themeColor="text1"/>
          <w:kern w:val="0"/>
          <w:sz w:val="28"/>
          <w:szCs w:val="28"/>
          <w:highlight w:val="none"/>
          <w14:textFill>
            <w14:solidFill>
              <w14:schemeClr w14:val="tx1"/>
            </w14:solidFill>
          </w14:textFill>
        </w:rPr>
        <w:t>自本公告发布之日起至202</w:t>
      </w:r>
      <w:r>
        <w:rPr>
          <w:rFonts w:hint="eastAsia" w:ascii="仿宋" w:hAnsi="仿宋" w:eastAsia="仿宋" w:cs="仿宋"/>
          <w:snapToGrid w:val="0"/>
          <w:color w:val="000000" w:themeColor="text1"/>
          <w:kern w:val="0"/>
          <w:sz w:val="28"/>
          <w:szCs w:val="28"/>
          <w:highlight w:val="none"/>
          <w:lang w:val="en-US" w:eastAsia="zh-CN"/>
          <w14:textFill>
            <w14:solidFill>
              <w14:schemeClr w14:val="tx1"/>
            </w14:solidFill>
          </w14:textFill>
        </w:rPr>
        <w:t>4</w:t>
      </w:r>
      <w:r>
        <w:rPr>
          <w:rFonts w:hint="eastAsia" w:ascii="仿宋" w:hAnsi="仿宋" w:eastAsia="仿宋" w:cs="仿宋"/>
          <w:snapToGrid w:val="0"/>
          <w:color w:val="000000" w:themeColor="text1"/>
          <w:kern w:val="0"/>
          <w:sz w:val="28"/>
          <w:szCs w:val="28"/>
          <w:highlight w:val="none"/>
          <w14:textFill>
            <w14:solidFill>
              <w14:schemeClr w14:val="tx1"/>
            </w14:solidFill>
          </w14:textFill>
        </w:rPr>
        <w:t>年</w:t>
      </w:r>
      <w:r>
        <w:rPr>
          <w:rFonts w:hint="eastAsia" w:ascii="仿宋" w:hAnsi="仿宋" w:eastAsia="仿宋" w:cs="仿宋"/>
          <w:snapToGrid w:val="0"/>
          <w:color w:val="000000" w:themeColor="text1"/>
          <w:kern w:val="0"/>
          <w:sz w:val="28"/>
          <w:szCs w:val="28"/>
          <w:highlight w:val="none"/>
          <w:lang w:val="en-US" w:eastAsia="zh-CN"/>
          <w14:textFill>
            <w14:solidFill>
              <w14:schemeClr w14:val="tx1"/>
            </w14:solidFill>
          </w14:textFill>
        </w:rPr>
        <w:t xml:space="preserve"> </w:t>
      </w:r>
      <w:r>
        <w:rPr>
          <w:rFonts w:hint="eastAsia" w:ascii="仿宋" w:hAnsi="仿宋" w:eastAsia="仿宋" w:cs="仿宋"/>
          <w:snapToGrid w:val="0"/>
          <w:color w:val="000000" w:themeColor="text1"/>
          <w:kern w:val="0"/>
          <w:sz w:val="28"/>
          <w:szCs w:val="28"/>
          <w:highlight w:val="none"/>
          <w14:textFill>
            <w14:solidFill>
              <w14:schemeClr w14:val="tx1"/>
            </w14:solidFill>
          </w14:textFill>
        </w:rPr>
        <w:t>月</w:t>
      </w:r>
      <w:r>
        <w:rPr>
          <w:rFonts w:hint="eastAsia" w:ascii="仿宋" w:hAnsi="仿宋" w:eastAsia="仿宋" w:cs="仿宋"/>
          <w:snapToGrid w:val="0"/>
          <w:color w:val="000000" w:themeColor="text1"/>
          <w:kern w:val="0"/>
          <w:sz w:val="28"/>
          <w:szCs w:val="28"/>
          <w:highlight w:val="none"/>
          <w:lang w:val="en-US" w:eastAsia="zh-CN"/>
          <w14:textFill>
            <w14:solidFill>
              <w14:schemeClr w14:val="tx1"/>
            </w14:solidFill>
          </w14:textFill>
        </w:rPr>
        <w:t xml:space="preserve"> </w:t>
      </w:r>
      <w:r>
        <w:rPr>
          <w:rFonts w:hint="eastAsia" w:ascii="仿宋" w:hAnsi="仿宋" w:eastAsia="仿宋" w:cs="仿宋"/>
          <w:snapToGrid w:val="0"/>
          <w:color w:val="000000" w:themeColor="text1"/>
          <w:kern w:val="0"/>
          <w:sz w:val="28"/>
          <w:szCs w:val="28"/>
          <w:highlight w:val="none"/>
          <w14:textFill>
            <w14:solidFill>
              <w14:schemeClr w14:val="tx1"/>
            </w14:solidFill>
          </w14:textFill>
        </w:rPr>
        <w:t>日</w:t>
      </w:r>
      <w:r>
        <w:rPr>
          <w:rFonts w:hint="eastAsia" w:ascii="仿宋" w:hAnsi="仿宋" w:eastAsia="仿宋" w:cs="仿宋"/>
          <w:snapToGrid w:val="0"/>
          <w:color w:val="000000" w:themeColor="text1"/>
          <w:kern w:val="0"/>
          <w:sz w:val="28"/>
          <w:szCs w:val="28"/>
          <w:highlight w:val="none"/>
          <w14:textFill>
            <w14:solidFill>
              <w14:schemeClr w14:val="tx1"/>
            </w14:solidFill>
          </w14:textFill>
        </w:rPr>
        <w:t>17:00（北京时间）。</w:t>
      </w:r>
    </w:p>
    <w:p>
      <w:pPr>
        <w:pStyle w:val="8"/>
        <w:kinsoku w:val="0"/>
        <w:wordWrap/>
        <w:overflowPunct w:val="0"/>
        <w:autoSpaceDE w:val="0"/>
        <w:autoSpaceDN w:val="0"/>
        <w:adjustRightInd w:val="0"/>
        <w:snapToGrid w:val="0"/>
        <w:spacing w:line="380" w:lineRule="exact"/>
        <w:ind w:firstLine="0" w:firstLineChars="0"/>
        <w:jc w:val="both"/>
        <w:rPr>
          <w:rFonts w:ascii="仿宋" w:hAnsi="仿宋" w:eastAsia="仿宋" w:cs="仿宋"/>
          <w:snapToGrid w:val="0"/>
          <w:color w:val="000000" w:themeColor="text1"/>
          <w:kern w:val="0"/>
          <w:sz w:val="28"/>
          <w:highlight w:val="none"/>
          <w14:textFill>
            <w14:solidFill>
              <w14:schemeClr w14:val="tx1"/>
            </w14:solidFill>
          </w14:textFill>
        </w:rPr>
      </w:pPr>
      <w:bookmarkStart w:id="55" w:name="_Toc23340"/>
      <w:bookmarkStart w:id="56" w:name="_Toc35393795"/>
      <w:bookmarkStart w:id="57" w:name="_Toc1108"/>
      <w:bookmarkStart w:id="58" w:name="_Toc35393626"/>
      <w:bookmarkStart w:id="59" w:name="_Toc8775"/>
      <w:r>
        <w:rPr>
          <w:rFonts w:hint="eastAsia" w:ascii="仿宋" w:hAnsi="仿宋" w:eastAsia="仿宋" w:cs="仿宋"/>
          <w:snapToGrid w:val="0"/>
          <w:color w:val="000000" w:themeColor="text1"/>
          <w:kern w:val="0"/>
          <w:sz w:val="28"/>
          <w:highlight w:val="none"/>
          <w14:textFill>
            <w14:solidFill>
              <w14:schemeClr w14:val="tx1"/>
            </w14:solidFill>
          </w14:textFill>
        </w:rPr>
        <w:t>六、其他补充事宜</w:t>
      </w:r>
      <w:bookmarkEnd w:id="55"/>
      <w:bookmarkEnd w:id="56"/>
      <w:bookmarkEnd w:id="57"/>
      <w:bookmarkEnd w:id="58"/>
      <w:bookmarkEnd w:id="59"/>
    </w:p>
    <w:p>
      <w:pPr>
        <w:pStyle w:val="27"/>
        <w:kinsoku w:val="0"/>
        <w:overflowPunct w:val="0"/>
        <w:autoSpaceDE w:val="0"/>
        <w:autoSpaceDN w:val="0"/>
        <w:adjustRightInd w:val="0"/>
        <w:snapToGrid w:val="0"/>
        <w:spacing w:line="380" w:lineRule="exact"/>
        <w:ind w:firstLine="560"/>
        <w:rPr>
          <w:rFonts w:ascii="仿宋" w:hAnsi="仿宋" w:eastAsia="仿宋" w:cs="仿宋"/>
          <w:color w:val="000000" w:themeColor="text1"/>
          <w:sz w:val="28"/>
          <w:szCs w:val="28"/>
          <w:highlight w:val="none"/>
          <w:lang w:val="en-US"/>
          <w14:textFill>
            <w14:solidFill>
              <w14:schemeClr w14:val="tx1"/>
            </w14:solidFill>
          </w14:textFill>
        </w:rPr>
      </w:pPr>
      <w:bookmarkStart w:id="60" w:name="_Toc35393627"/>
      <w:bookmarkStart w:id="61" w:name="_Toc35393796"/>
      <w:bookmarkStart w:id="62" w:name="_Toc28359008"/>
      <w:bookmarkStart w:id="63" w:name="_Toc2975"/>
      <w:bookmarkStart w:id="64" w:name="_Toc11402"/>
      <w:bookmarkStart w:id="65" w:name="_Toc28359085"/>
      <w:bookmarkStart w:id="66" w:name="_Toc17696"/>
      <w:r>
        <w:rPr>
          <w:rFonts w:hint="eastAsia" w:ascii="仿宋" w:hAnsi="仿宋" w:eastAsia="仿宋" w:cs="仿宋"/>
          <w:color w:val="000000" w:themeColor="text1"/>
          <w:sz w:val="28"/>
          <w:szCs w:val="28"/>
          <w:highlight w:val="none"/>
          <w:lang w:val="en-US"/>
          <w14:textFill>
            <w14:solidFill>
              <w14:schemeClr w14:val="tx1"/>
            </w14:solidFill>
          </w14:textFill>
        </w:rPr>
        <w:t>1、本项目采用不见面开标，投标人无须前往现场递交投标文件。投标供应商请在投标截止时间前将签字盖章并加密的投标文件PDF格式（并标注项目名称、单位名称）发送至</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lang w:val="en-US"/>
          <w14:textFill>
            <w14:solidFill>
              <w14:schemeClr w14:val="tx1"/>
            </w14:solidFill>
          </w14:textFill>
        </w:rPr>
        <w:t>@qq.com邮箱内，密码请牢记。在宣布发送解密密码后30分钟内将解密密码（并注明单位名称+联系人姓名+手机号码）发送至邮箱：</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lang w:val="en-US"/>
          <w14:textFill>
            <w14:solidFill>
              <w14:schemeClr w14:val="tx1"/>
            </w14:solidFill>
          </w14:textFill>
        </w:rPr>
        <w:t>@qq.com，未能及时发送“密码”的按无效标处理。解密成功后进行开标、评标活动。（请投标供应商提前做好传送邮件准备，防止网络拥挤造成发送未成功。除图表外，其他投标文件内容均应采用 A4 纸格式)。</w:t>
      </w:r>
    </w:p>
    <w:p>
      <w:pPr>
        <w:pStyle w:val="27"/>
        <w:kinsoku w:val="0"/>
        <w:overflowPunct w:val="0"/>
        <w:autoSpaceDE w:val="0"/>
        <w:autoSpaceDN w:val="0"/>
        <w:adjustRightInd w:val="0"/>
        <w:snapToGrid w:val="0"/>
        <w:spacing w:line="380" w:lineRule="exact"/>
        <w:ind w:firstLine="56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、请投标人保证邮件可正常打开查看标书，若文件损坏或标书无法查看的，造成的一切后果由投标人自行承担。</w:t>
      </w:r>
    </w:p>
    <w:p>
      <w:pPr>
        <w:pStyle w:val="27"/>
        <w:kinsoku w:val="0"/>
        <w:overflowPunct w:val="0"/>
        <w:autoSpaceDE w:val="0"/>
        <w:autoSpaceDN w:val="0"/>
        <w:adjustRightInd w:val="0"/>
        <w:snapToGrid w:val="0"/>
        <w:spacing w:line="380" w:lineRule="exact"/>
        <w:ind w:firstLine="56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14:textFill>
            <w14:solidFill>
              <w14:schemeClr w14:val="tx1"/>
            </w14:solidFill>
          </w14:textFill>
        </w:rPr>
        <w:t>3</w:t>
      </w:r>
      <w:r>
        <w:rPr>
          <w:rFonts w:hint="eastAsia" w:ascii="仿宋" w:hAnsi="仿宋" w:eastAsia="仿宋" w:cs="仿宋"/>
          <w:color w:val="000000" w:themeColor="text1"/>
          <w:sz w:val="28"/>
          <w:szCs w:val="28"/>
          <w:highlight w:val="none"/>
          <w14:textFill>
            <w14:solidFill>
              <w14:schemeClr w14:val="tx1"/>
            </w14:solidFill>
          </w14:textFill>
        </w:rPr>
        <w:t>、投标人自身原因导致投标文件发送失败的，风险由投标人自行承担。</w:t>
      </w:r>
    </w:p>
    <w:p>
      <w:pPr>
        <w:pStyle w:val="27"/>
        <w:kinsoku w:val="0"/>
        <w:overflowPunct w:val="0"/>
        <w:autoSpaceDE w:val="0"/>
        <w:autoSpaceDN w:val="0"/>
        <w:adjustRightInd w:val="0"/>
        <w:snapToGrid w:val="0"/>
        <w:spacing w:line="380" w:lineRule="exact"/>
        <w:ind w:firstLine="56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t>、本招标项目开评标过程中的询标、澄清等程序均采用远程方式进行，请各投标人在规定时间内对询标内容以PDF格式回复，发送至指定邮箱，询标也在指定邮箱，时间</w:t>
      </w:r>
      <w:r>
        <w:rPr>
          <w:rFonts w:hint="eastAsia" w:ascii="仿宋" w:hAnsi="仿宋" w:eastAsia="仿宋" w:cs="仿宋"/>
          <w:color w:val="000000" w:themeColor="text1"/>
          <w:sz w:val="28"/>
          <w:szCs w:val="28"/>
          <w:highlight w:val="none"/>
          <w:lang w:eastAsia="zh-CN"/>
          <w14:textFill>
            <w14:solidFill>
              <w14:schemeClr w14:val="tx1"/>
            </w14:solidFill>
          </w14:textFill>
        </w:rPr>
        <w:t>不多于</w:t>
      </w:r>
      <w:r>
        <w:rPr>
          <w:rFonts w:hint="eastAsia" w:ascii="仿宋" w:hAnsi="仿宋" w:eastAsia="仿宋" w:cs="仿宋"/>
          <w:color w:val="000000" w:themeColor="text1"/>
          <w:sz w:val="28"/>
          <w:szCs w:val="28"/>
          <w:highlight w:val="none"/>
          <w14:textFill>
            <w14:solidFill>
              <w14:schemeClr w14:val="tx1"/>
            </w14:solidFill>
          </w14:textFill>
        </w:rPr>
        <w:t>询标发起后15分钟，若超过15分钟，视为放弃解释权力，评委按不利于投标人解释处理。</w:t>
      </w:r>
      <w:r>
        <w:rPr>
          <w:rFonts w:hint="eastAsia" w:ascii="仿宋" w:hAnsi="仿宋" w:eastAsia="仿宋" w:cs="仿宋"/>
          <w:color w:val="000000" w:themeColor="text1"/>
          <w:sz w:val="28"/>
          <w:szCs w:val="28"/>
          <w:highlight w:val="none"/>
          <w:lang w:val="en-US"/>
          <w14:textFill>
            <w14:solidFill>
              <w14:schemeClr w14:val="tx1"/>
            </w14:solidFill>
          </w14:textFill>
        </w:rPr>
        <w:t>请各投标人在开标当天评标结束前不要离开电脑，</w:t>
      </w:r>
      <w:r>
        <w:rPr>
          <w:rFonts w:hint="eastAsia" w:ascii="仿宋" w:hAnsi="仿宋" w:eastAsia="仿宋" w:cs="仿宋"/>
          <w:color w:val="000000" w:themeColor="text1"/>
          <w:sz w:val="28"/>
          <w:szCs w:val="28"/>
          <w:highlight w:val="none"/>
          <w14:textFill>
            <w14:solidFill>
              <w14:schemeClr w14:val="tx1"/>
            </w14:solidFill>
          </w14:textFill>
        </w:rPr>
        <w:t>时刻关注自己的邮箱。</w:t>
      </w:r>
    </w:p>
    <w:p>
      <w:pPr>
        <w:pStyle w:val="27"/>
        <w:kinsoku w:val="0"/>
        <w:overflowPunct w:val="0"/>
        <w:autoSpaceDE w:val="0"/>
        <w:autoSpaceDN w:val="0"/>
        <w:adjustRightInd w:val="0"/>
        <w:snapToGrid w:val="0"/>
        <w:spacing w:line="380" w:lineRule="exact"/>
        <w:ind w:firstLine="56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14:textFill>
            <w14:solidFill>
              <w14:schemeClr w14:val="tx1"/>
            </w14:solidFill>
          </w14:textFill>
        </w:rPr>
        <w:t xml:space="preserve">5、投标文件以邮箱收到的时间为准；投标截止时间之后收到的投标文件，不予解密、唱标。 </w:t>
      </w:r>
    </w:p>
    <w:p>
      <w:pPr>
        <w:pStyle w:val="27"/>
        <w:kinsoku w:val="0"/>
        <w:overflowPunct w:val="0"/>
        <w:autoSpaceDE w:val="0"/>
        <w:autoSpaceDN w:val="0"/>
        <w:adjustRightInd w:val="0"/>
        <w:snapToGrid w:val="0"/>
        <w:spacing w:line="380" w:lineRule="exact"/>
        <w:ind w:firstLine="560"/>
        <w:rPr>
          <w:rFonts w:ascii="仿宋" w:hAnsi="仿宋" w:eastAsia="仿宋" w:cs="仿宋"/>
          <w:color w:val="000000" w:themeColor="text1"/>
          <w:sz w:val="28"/>
          <w:szCs w:val="28"/>
          <w:highlight w:val="none"/>
          <w:lang w:val="en-US"/>
          <w14:textFill>
            <w14:solidFill>
              <w14:schemeClr w14:val="tx1"/>
            </w14:solidFill>
          </w14:textFill>
        </w:rPr>
      </w:pPr>
      <w:r>
        <w:rPr>
          <w:rFonts w:hint="eastAsia" w:ascii="仿宋" w:hAnsi="仿宋" w:eastAsia="仿宋" w:cs="仿宋"/>
          <w:color w:val="000000" w:themeColor="text1"/>
          <w:sz w:val="28"/>
          <w:szCs w:val="28"/>
          <w:highlight w:val="none"/>
          <w:lang w:val="en-US"/>
          <w14:textFill>
            <w14:solidFill>
              <w14:schemeClr w14:val="tx1"/>
            </w14:solidFill>
          </w14:textFill>
        </w:rPr>
        <w:t xml:space="preserve">6、投标人多次发送邮件的，以最后收到的投标文件为准。 </w:t>
      </w:r>
    </w:p>
    <w:p>
      <w:pPr>
        <w:pStyle w:val="8"/>
        <w:kinsoku w:val="0"/>
        <w:wordWrap/>
        <w:overflowPunct w:val="0"/>
        <w:autoSpaceDE w:val="0"/>
        <w:autoSpaceDN w:val="0"/>
        <w:adjustRightInd w:val="0"/>
        <w:snapToGrid w:val="0"/>
        <w:spacing w:line="380" w:lineRule="exact"/>
        <w:ind w:firstLine="0" w:firstLineChars="0"/>
        <w:jc w:val="both"/>
        <w:rPr>
          <w:rFonts w:ascii="仿宋" w:hAnsi="仿宋" w:eastAsia="仿宋" w:cs="仿宋"/>
          <w:snapToGrid w:val="0"/>
          <w:color w:val="000000" w:themeColor="text1"/>
          <w:kern w:val="0"/>
          <w:sz w:val="28"/>
          <w:highlight w:val="none"/>
          <w14:textFill>
            <w14:solidFill>
              <w14:schemeClr w14:val="tx1"/>
            </w14:solidFill>
          </w14:textFill>
        </w:rPr>
      </w:pPr>
      <w:r>
        <w:rPr>
          <w:rFonts w:hint="eastAsia" w:ascii="仿宋" w:hAnsi="仿宋" w:eastAsia="仿宋" w:cs="仿宋"/>
          <w:snapToGrid w:val="0"/>
          <w:color w:val="000000" w:themeColor="text1"/>
          <w:kern w:val="0"/>
          <w:sz w:val="28"/>
          <w:highlight w:val="none"/>
          <w14:textFill>
            <w14:solidFill>
              <w14:schemeClr w14:val="tx1"/>
            </w14:solidFill>
          </w14:textFill>
        </w:rPr>
        <w:t>七、对本次招标提出询问，请按以下方式联系</w:t>
      </w:r>
      <w:bookmarkEnd w:id="60"/>
      <w:bookmarkEnd w:id="61"/>
      <w:bookmarkEnd w:id="62"/>
      <w:bookmarkEnd w:id="63"/>
      <w:bookmarkEnd w:id="64"/>
      <w:bookmarkEnd w:id="65"/>
      <w:bookmarkEnd w:id="66"/>
    </w:p>
    <w:bookmarkEnd w:id="15"/>
    <w:bookmarkEnd w:id="16"/>
    <w:bookmarkEnd w:id="17"/>
    <w:p>
      <w:pPr>
        <w:kinsoku w:val="0"/>
        <w:overflowPunct w:val="0"/>
        <w:autoSpaceDE w:val="0"/>
        <w:autoSpaceDN w:val="0"/>
        <w:adjustRightInd w:val="0"/>
        <w:snapToGrid w:val="0"/>
        <w:spacing w:line="380" w:lineRule="exact"/>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bookmarkStart w:id="67" w:name="_Toc482084456"/>
      <w:bookmarkStart w:id="68" w:name="_Toc6411"/>
      <w:bookmarkStart w:id="69" w:name="_Toc23419"/>
      <w:bookmarkStart w:id="70" w:name="_Toc6951"/>
      <w:r>
        <w:rPr>
          <w:rFonts w:hint="eastAsia" w:ascii="仿宋" w:hAnsi="仿宋" w:eastAsia="仿宋" w:cs="仿宋"/>
          <w:color w:val="000000" w:themeColor="text1"/>
          <w:sz w:val="28"/>
          <w:szCs w:val="28"/>
          <w:highlight w:val="none"/>
          <w14:textFill>
            <w14:solidFill>
              <w14:schemeClr w14:val="tx1"/>
            </w14:solidFill>
          </w14:textFill>
        </w:rPr>
        <w:t>1.采购人信息</w:t>
      </w:r>
    </w:p>
    <w:p>
      <w:pPr>
        <w:kinsoku w:val="0"/>
        <w:overflowPunct w:val="0"/>
        <w:autoSpaceDE w:val="0"/>
        <w:autoSpaceDN w:val="0"/>
        <w:adjustRightInd w:val="0"/>
        <w:snapToGrid w:val="0"/>
        <w:spacing w:line="380" w:lineRule="exact"/>
        <w:ind w:firstLine="560" w:firstLineChars="200"/>
        <w:jc w:val="left"/>
        <w:rPr>
          <w:rFonts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名 称：</w:t>
      </w:r>
      <w:r>
        <w:rPr>
          <w:rFonts w:hint="eastAsia" w:ascii="仿宋" w:hAnsi="仿宋" w:eastAsia="仿宋" w:cs="仿宋"/>
          <w:color w:val="000000" w:themeColor="text1"/>
          <w:sz w:val="28"/>
          <w:szCs w:val="28"/>
          <w:highlight w:val="none"/>
          <w:u w:val="single"/>
          <w14:textFill>
            <w14:solidFill>
              <w14:schemeClr w14:val="tx1"/>
            </w14:solidFill>
          </w14:textFill>
        </w:rPr>
        <w:t xml:space="preserve">　 皖北卫生职业学院  </w:t>
      </w:r>
    </w:p>
    <w:p>
      <w:pPr>
        <w:kinsoku w:val="0"/>
        <w:overflowPunct w:val="0"/>
        <w:autoSpaceDE w:val="0"/>
        <w:autoSpaceDN w:val="0"/>
        <w:adjustRightInd w:val="0"/>
        <w:snapToGrid w:val="0"/>
        <w:spacing w:line="380" w:lineRule="exact"/>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地址：</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pPr>
        <w:kinsoku w:val="0"/>
        <w:overflowPunct w:val="0"/>
        <w:autoSpaceDE w:val="0"/>
        <w:autoSpaceDN w:val="0"/>
        <w:adjustRightInd w:val="0"/>
        <w:snapToGrid w:val="0"/>
        <w:spacing w:line="380" w:lineRule="exact"/>
        <w:ind w:firstLine="560" w:firstLineChars="200"/>
        <w:jc w:val="left"/>
        <w:rPr>
          <w:rFonts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联系方式：</w:t>
      </w:r>
      <w:bookmarkStart w:id="71" w:name="_Toc28359009"/>
      <w:bookmarkStart w:id="72" w:name="_Toc28359086"/>
    </w:p>
    <w:p>
      <w:pPr>
        <w:kinsoku w:val="0"/>
        <w:overflowPunct w:val="0"/>
        <w:autoSpaceDE w:val="0"/>
        <w:autoSpaceDN w:val="0"/>
        <w:adjustRightInd w:val="0"/>
        <w:snapToGrid w:val="0"/>
        <w:spacing w:line="380" w:lineRule="exact"/>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2.采购代理机构信息（如有）</w:t>
      </w:r>
      <w:bookmarkEnd w:id="71"/>
      <w:bookmarkEnd w:id="72"/>
    </w:p>
    <w:p>
      <w:pPr>
        <w:kinsoku w:val="0"/>
        <w:overflowPunct w:val="0"/>
        <w:autoSpaceDE w:val="0"/>
        <w:autoSpaceDN w:val="0"/>
        <w:adjustRightInd w:val="0"/>
        <w:snapToGrid w:val="0"/>
        <w:spacing w:line="38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名 称：</w:t>
      </w:r>
      <w:r>
        <w:rPr>
          <w:rFonts w:hint="eastAsia" w:ascii="仿宋" w:hAnsi="仿宋" w:eastAsia="仿宋" w:cs="仿宋"/>
          <w:color w:val="000000" w:themeColor="text1"/>
          <w:sz w:val="28"/>
          <w:szCs w:val="28"/>
          <w:highlight w:val="none"/>
          <w:u w:val="single"/>
          <w14:textFill>
            <w14:solidFill>
              <w14:schemeClr w14:val="tx1"/>
            </w14:solidFill>
          </w14:textFill>
        </w:rPr>
        <w:t>　管理有限公司</w:t>
      </w:r>
    </w:p>
    <w:p>
      <w:pPr>
        <w:kinsoku w:val="0"/>
        <w:overflowPunct w:val="0"/>
        <w:autoSpaceDE w:val="0"/>
        <w:autoSpaceDN w:val="0"/>
        <w:adjustRightInd w:val="0"/>
        <w:snapToGrid w:val="0"/>
        <w:spacing w:line="38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　址：</w:t>
      </w:r>
      <w:r>
        <w:rPr>
          <w:rFonts w:hint="eastAsia" w:ascii="仿宋" w:hAnsi="仿宋" w:eastAsia="仿宋" w:cs="仿宋"/>
          <w:color w:val="000000" w:themeColor="text1"/>
          <w:sz w:val="28"/>
          <w:szCs w:val="28"/>
          <w:highlight w:val="none"/>
          <w:u w:val="single"/>
          <w14:textFill>
            <w14:solidFill>
              <w14:schemeClr w14:val="tx1"/>
            </w14:solidFill>
          </w14:textFill>
        </w:rPr>
        <w:t>　</w:t>
      </w:r>
    </w:p>
    <w:p>
      <w:pPr>
        <w:kinsoku w:val="0"/>
        <w:overflowPunct w:val="0"/>
        <w:autoSpaceDE w:val="0"/>
        <w:autoSpaceDN w:val="0"/>
        <w:adjustRightInd w:val="0"/>
        <w:snapToGrid w:val="0"/>
        <w:spacing w:line="38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联系方式：</w:t>
      </w:r>
      <w:bookmarkStart w:id="73" w:name="_Toc28359087"/>
      <w:bookmarkStart w:id="74" w:name="_Toc28359010"/>
      <w:r>
        <w:rPr>
          <w:rFonts w:hint="eastAsia" w:ascii="仿宋" w:hAnsi="仿宋" w:eastAsia="仿宋" w:cs="仿宋"/>
          <w:color w:val="000000" w:themeColor="text1"/>
          <w:sz w:val="28"/>
          <w:szCs w:val="28"/>
          <w:highlight w:val="none"/>
          <w:u w:val="single"/>
          <w14:textFill>
            <w14:solidFill>
              <w14:schemeClr w14:val="tx1"/>
            </w14:solidFill>
          </w14:textFill>
        </w:rPr>
        <w:t>　　　</w:t>
      </w:r>
    </w:p>
    <w:p>
      <w:pPr>
        <w:kinsoku w:val="0"/>
        <w:overflowPunct w:val="0"/>
        <w:autoSpaceDE w:val="0"/>
        <w:autoSpaceDN w:val="0"/>
        <w:adjustRightInd w:val="0"/>
        <w:snapToGrid w:val="0"/>
        <w:spacing w:line="380" w:lineRule="exact"/>
        <w:ind w:firstLine="560" w:firstLineChars="200"/>
        <w:rPr>
          <w:rFonts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3.项目联系方式</w:t>
      </w:r>
      <w:bookmarkEnd w:id="73"/>
      <w:bookmarkEnd w:id="74"/>
    </w:p>
    <w:p>
      <w:pPr>
        <w:pStyle w:val="13"/>
        <w:kinsoku w:val="0"/>
        <w:overflowPunct w:val="0"/>
        <w:autoSpaceDE w:val="0"/>
        <w:autoSpaceDN w:val="0"/>
        <w:adjustRightInd w:val="0"/>
        <w:snapToGrid w:val="0"/>
        <w:spacing w:line="380" w:lineRule="exact"/>
        <w:ind w:firstLine="560" w:firstLineChars="200"/>
        <w:rPr>
          <w:rFonts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项目联系人：</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pPr>
        <w:kinsoku w:val="0"/>
        <w:overflowPunct w:val="0"/>
        <w:autoSpaceDE w:val="0"/>
        <w:autoSpaceDN w:val="0"/>
        <w:adjustRightInd w:val="0"/>
        <w:snapToGrid w:val="0"/>
        <w:spacing w:line="380" w:lineRule="exact"/>
        <w:ind w:firstLine="560" w:firstLineChars="200"/>
        <w:rPr>
          <w:rFonts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　话：</w:t>
      </w:r>
      <w:r>
        <w:rPr>
          <w:rFonts w:hint="eastAsia" w:ascii="仿宋" w:hAnsi="仿宋" w:eastAsia="仿宋" w:cs="仿宋"/>
          <w:color w:val="000000" w:themeColor="text1"/>
          <w:sz w:val="28"/>
          <w:szCs w:val="28"/>
          <w:highlight w:val="none"/>
          <w:u w:val="single"/>
          <w14:textFill>
            <w14:solidFill>
              <w14:schemeClr w14:val="tx1"/>
            </w14:solidFill>
          </w14:textFill>
        </w:rPr>
        <w:t>　1　</w:t>
      </w:r>
    </w:p>
    <w:p>
      <w:pPr>
        <w:pStyle w:val="2"/>
        <w:ind w:firstLine="640"/>
        <w:rPr>
          <w:color w:val="000000" w:themeColor="text1"/>
          <w:highlight w:val="none"/>
          <w14:textFill>
            <w14:solidFill>
              <w14:schemeClr w14:val="tx1"/>
            </w14:solidFill>
          </w14:textFill>
        </w:rPr>
      </w:pPr>
    </w:p>
    <w:p>
      <w:pPr>
        <w:pStyle w:val="7"/>
        <w:kinsoku w:val="0"/>
        <w:wordWrap/>
        <w:autoSpaceDE w:val="0"/>
        <w:autoSpaceDN w:val="0"/>
        <w:adjustRightInd w:val="0"/>
        <w:snapToGrid w:val="0"/>
        <w:spacing w:line="420" w:lineRule="exact"/>
        <w:rPr>
          <w:rFonts w:hint="eastAsia"/>
          <w:snapToGrid w:val="0"/>
          <w:color w:val="000000" w:themeColor="text1"/>
          <w:kern w:val="0"/>
          <w:highlight w:val="none"/>
          <w14:textFill>
            <w14:solidFill>
              <w14:schemeClr w14:val="tx1"/>
            </w14:solidFill>
          </w14:textFill>
        </w:rPr>
      </w:pPr>
      <w:bookmarkStart w:id="75" w:name="_Toc3349"/>
    </w:p>
    <w:p>
      <w:pPr>
        <w:pStyle w:val="7"/>
        <w:kinsoku w:val="0"/>
        <w:wordWrap/>
        <w:autoSpaceDE w:val="0"/>
        <w:autoSpaceDN w:val="0"/>
        <w:adjustRightInd w:val="0"/>
        <w:snapToGrid w:val="0"/>
        <w:spacing w:line="420" w:lineRule="exact"/>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第二章 投标人须知前附表</w:t>
      </w:r>
      <w:bookmarkEnd w:id="67"/>
      <w:bookmarkEnd w:id="68"/>
      <w:bookmarkEnd w:id="69"/>
      <w:bookmarkEnd w:id="70"/>
      <w:bookmarkEnd w:id="75"/>
    </w:p>
    <w:tbl>
      <w:tblPr>
        <w:tblStyle w:val="18"/>
        <w:tblW w:w="4987"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2425"/>
        <w:gridCol w:w="772"/>
        <w:gridCol w:w="5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b/>
                <w:snapToGrid w:val="0"/>
                <w:color w:val="000000" w:themeColor="text1"/>
                <w:kern w:val="0"/>
                <w:sz w:val="22"/>
                <w:highlight w:val="none"/>
                <w14:textFill>
                  <w14:solidFill>
                    <w14:schemeClr w14:val="tx1"/>
                  </w14:solidFill>
                </w14:textFill>
              </w:rPr>
            </w:pPr>
            <w:r>
              <w:rPr>
                <w:rFonts w:hint="eastAsia" w:ascii="宋体" w:hAnsi="宋体" w:cs="宋体"/>
                <w:b/>
                <w:snapToGrid w:val="0"/>
                <w:color w:val="000000" w:themeColor="text1"/>
                <w:kern w:val="0"/>
                <w:sz w:val="22"/>
                <w:highlight w:val="none"/>
                <w14:textFill>
                  <w14:solidFill>
                    <w14:schemeClr w14:val="tx1"/>
                  </w14:solidFill>
                </w14:textFill>
              </w:rPr>
              <w:t>序号</w:t>
            </w:r>
          </w:p>
        </w:tc>
        <w:tc>
          <w:tcPr>
            <w:tcW w:w="4624" w:type="pct"/>
            <w:gridSpan w:val="3"/>
            <w:vAlign w:val="center"/>
          </w:tcPr>
          <w:p>
            <w:pPr>
              <w:kinsoku w:val="0"/>
              <w:autoSpaceDE w:val="0"/>
              <w:autoSpaceDN w:val="0"/>
              <w:adjustRightInd w:val="0"/>
              <w:snapToGrid w:val="0"/>
              <w:spacing w:line="420" w:lineRule="exact"/>
              <w:jc w:val="center"/>
              <w:rPr>
                <w:rFonts w:ascii="宋体" w:hAnsi="宋体" w:cs="宋体"/>
                <w:b/>
                <w:snapToGrid w:val="0"/>
                <w:color w:val="000000" w:themeColor="text1"/>
                <w:kern w:val="0"/>
                <w:sz w:val="22"/>
                <w:highlight w:val="none"/>
                <w14:textFill>
                  <w14:solidFill>
                    <w14:schemeClr w14:val="tx1"/>
                  </w14:solidFill>
                </w14:textFill>
              </w:rPr>
            </w:pPr>
            <w:r>
              <w:rPr>
                <w:rFonts w:hint="eastAsia" w:ascii="宋体" w:hAnsi="宋体" w:cs="宋体"/>
                <w:b/>
                <w:snapToGrid w:val="0"/>
                <w:color w:val="000000" w:themeColor="text1"/>
                <w:kern w:val="0"/>
                <w:sz w:val="22"/>
                <w:highlight w:val="none"/>
                <w14:textFill>
                  <w14:solidFill>
                    <w14:schemeClr w14:val="tx1"/>
                  </w14:solidFill>
                </w14:textFill>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1</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项目名称</w:t>
            </w: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皖北卫生职业学院</w:t>
            </w:r>
            <w:r>
              <w:rPr>
                <w:rFonts w:hint="eastAsia" w:ascii="宋体" w:hAnsi="宋体" w:cs="宋体"/>
                <w:snapToGrid w:val="0"/>
                <w:color w:val="000000" w:themeColor="text1"/>
                <w:kern w:val="0"/>
                <w:sz w:val="22"/>
                <w:highlight w:val="none"/>
                <w:lang w:eastAsia="zh-CN"/>
                <w14:textFill>
                  <w14:solidFill>
                    <w14:schemeClr w14:val="tx1"/>
                  </w14:solidFill>
                </w14:textFill>
              </w:rPr>
              <w:t>第一食堂</w:t>
            </w:r>
            <w:r>
              <w:rPr>
                <w:rFonts w:hint="eastAsia" w:ascii="宋体" w:hAnsi="宋体" w:cs="宋体"/>
                <w:snapToGrid w:val="0"/>
                <w:color w:val="000000" w:themeColor="text1"/>
                <w:kern w:val="0"/>
                <w:sz w:val="22"/>
                <w:highlight w:val="none"/>
                <w14:textFill>
                  <w14:solidFill>
                    <w14:schemeClr w14:val="tx1"/>
                  </w14:solidFill>
                </w14:textFill>
              </w:rPr>
              <w:t>经营服务项目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2</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项目编号</w:t>
            </w: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u w:val="singl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3</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采购人</w:t>
            </w: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名 称：皖北卫生职业学院  　</w:t>
            </w:r>
          </w:p>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 xml:space="preserve">地址： 皖北卫生职业学院   </w:t>
            </w:r>
          </w:p>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 xml:space="preserve">联系方式：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4</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代理机构</w:t>
            </w: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名称：</w:t>
            </w:r>
          </w:p>
          <w:p>
            <w:pPr>
              <w:kinsoku w:val="0"/>
              <w:autoSpaceDE w:val="0"/>
              <w:autoSpaceDN w:val="0"/>
              <w:adjustRightInd w:val="0"/>
              <w:snapToGrid w:val="0"/>
              <w:spacing w:line="420" w:lineRule="exact"/>
              <w:ind w:firstLine="440" w:firstLineChars="200"/>
              <w:rPr>
                <w:rFonts w:hint="eastAsia"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地址：</w:t>
            </w:r>
          </w:p>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联系人：</w:t>
            </w:r>
          </w:p>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联系方式：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5</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采购内容和预算</w:t>
            </w: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Merge w:val="restar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6</w:t>
            </w:r>
          </w:p>
        </w:tc>
        <w:tc>
          <w:tcPr>
            <w:tcW w:w="1345" w:type="pct"/>
            <w:vMerge w:val="restar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项目类别</w:t>
            </w:r>
          </w:p>
        </w:tc>
        <w:tc>
          <w:tcPr>
            <w:tcW w:w="428" w:type="pct"/>
            <w:vMerge w:val="restar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□货物类</w:t>
            </w:r>
          </w:p>
        </w:tc>
        <w:tc>
          <w:tcPr>
            <w:tcW w:w="2850" w:type="pct"/>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□单一产品采购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Merge w:val="continue"/>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p>
        </w:tc>
        <w:tc>
          <w:tcPr>
            <w:tcW w:w="1345" w:type="pct"/>
            <w:vMerge w:val="continue"/>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p>
        </w:tc>
        <w:tc>
          <w:tcPr>
            <w:tcW w:w="428" w:type="pct"/>
            <w:vMerge w:val="continue"/>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p>
        </w:tc>
        <w:tc>
          <w:tcPr>
            <w:tcW w:w="2850" w:type="pct"/>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□非单一产品采购，其中标符号的为核心产品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Merge w:val="continue"/>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p>
        </w:tc>
        <w:tc>
          <w:tcPr>
            <w:tcW w:w="1345" w:type="pct"/>
            <w:vMerge w:val="continue"/>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☑服务类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7</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评审办法</w:t>
            </w: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☑综合评分法□有效最低价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8</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中标人个数</w:t>
            </w:r>
          </w:p>
        </w:tc>
        <w:tc>
          <w:tcPr>
            <w:tcW w:w="3279" w:type="pct"/>
            <w:gridSpan w:val="2"/>
            <w:vAlign w:val="center"/>
          </w:tcPr>
          <w:p>
            <w:pPr>
              <w:spacing w:line="500" w:lineRule="exact"/>
              <w:ind w:firstLine="468"/>
              <w:rPr>
                <w:rFonts w:hint="default" w:ascii="宋体" w:hAnsi="宋体" w:eastAsia="宋体" w:cs="宋体"/>
                <w:b/>
                <w:bCs/>
                <w:snapToGrid w:val="0"/>
                <w:color w:val="000000" w:themeColor="text1"/>
                <w:kern w:val="0"/>
                <w:sz w:val="24"/>
                <w:szCs w:val="24"/>
                <w:highlight w:val="none"/>
                <w:lang w:val="en-US" w:eastAsia="zh-CN"/>
                <w14:textFill>
                  <w14:solidFill>
                    <w14:schemeClr w14:val="tx1"/>
                  </w14:solidFill>
                </w14:textFill>
              </w:rPr>
            </w:pPr>
            <w:r>
              <w:rPr>
                <w:rFonts w:hint="eastAsia" w:ascii="宋体" w:hAnsi="宋体" w:cs="宋体"/>
                <w:b/>
                <w:bCs/>
                <w:snapToGrid w:val="0"/>
                <w:color w:val="000000" w:themeColor="text1"/>
                <w:kern w:val="0"/>
                <w:sz w:val="22"/>
                <w:highlight w:val="none"/>
                <w14:textFill>
                  <w14:solidFill>
                    <w14:schemeClr w14:val="tx1"/>
                  </w14:solidFill>
                </w14:textFill>
              </w:rPr>
              <w:t>推荐1名中标候选人。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9</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招标文件的澄清和修改</w:t>
            </w: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lang w:bidi="he-IL"/>
                <w14:textFill>
                  <w14:solidFill>
                    <w14:schemeClr w14:val="tx1"/>
                  </w14:solidFill>
                </w14:textFill>
              </w:rPr>
            </w:pPr>
            <w:r>
              <w:rPr>
                <w:rFonts w:hint="eastAsia" w:ascii="宋体" w:hAnsi="宋体" w:cs="宋体"/>
                <w:snapToGrid w:val="0"/>
                <w:color w:val="000000" w:themeColor="text1"/>
                <w:kern w:val="0"/>
                <w:sz w:val="22"/>
                <w:highlight w:val="none"/>
                <w:lang w:bidi="he-IL"/>
                <w14:textFill>
                  <w14:solidFill>
                    <w14:schemeClr w14:val="tx1"/>
                  </w14:solidFill>
                </w14:textFill>
              </w:rPr>
              <w:t>详见“第五章11、招标文件的澄清和修改”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10</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招标文件的质疑和答复</w:t>
            </w: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lang w:bidi="he-IL"/>
                <w14:textFill>
                  <w14:solidFill>
                    <w14:schemeClr w14:val="tx1"/>
                  </w14:solidFill>
                </w14:textFill>
              </w:rPr>
            </w:pPr>
            <w:r>
              <w:rPr>
                <w:rFonts w:hint="eastAsia" w:ascii="宋体" w:hAnsi="宋体" w:cs="宋体"/>
                <w:snapToGrid w:val="0"/>
                <w:color w:val="000000" w:themeColor="text1"/>
                <w:kern w:val="0"/>
                <w:sz w:val="22"/>
                <w:highlight w:val="none"/>
                <w:lang w:bidi="he-IL"/>
                <w14:textFill>
                  <w14:solidFill>
                    <w14:schemeClr w14:val="tx1"/>
                  </w14:solidFill>
                </w14:textFill>
              </w:rPr>
              <w:t>详见“第五章12、招标文件的质疑和答复”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11</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12</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u w:val="singl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投标保证金</w:t>
            </w: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本项目不收取投标保证金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13</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投标保证金到账截止时间</w:t>
            </w: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本项目无需缴纳。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14</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投标文件份数</w:t>
            </w: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邮箱提交的电子投标文件。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15</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投标文件格式</w:t>
            </w: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详见第七章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16</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服务期限</w:t>
            </w:r>
          </w:p>
        </w:tc>
        <w:tc>
          <w:tcPr>
            <w:tcW w:w="3279" w:type="pct"/>
            <w:gridSpan w:val="2"/>
            <w:vAlign w:val="center"/>
          </w:tcPr>
          <w:p>
            <w:pPr>
              <w:kinsoku w:val="0"/>
              <w:autoSpaceDE w:val="0"/>
              <w:autoSpaceDN w:val="0"/>
              <w:adjustRightInd w:val="0"/>
              <w:snapToGrid w:val="0"/>
              <w:spacing w:line="420" w:lineRule="exact"/>
              <w:ind w:firstLine="468"/>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服务期限：</w:t>
            </w:r>
            <w:r>
              <w:rPr>
                <w:rFonts w:hint="eastAsia" w:ascii="宋体" w:hAnsi="宋体" w:cs="宋体"/>
                <w:b/>
                <w:bCs/>
                <w:color w:val="000000" w:themeColor="text1"/>
                <w:sz w:val="22"/>
                <w:highlight w:val="none"/>
                <w14:textFill>
                  <w14:solidFill>
                    <w14:schemeClr w14:val="tx1"/>
                  </w14:solidFill>
                </w14:textFill>
              </w:rPr>
              <w:t>3年（2+1），</w:t>
            </w:r>
            <w:r>
              <w:rPr>
                <w:rFonts w:hint="eastAsia" w:ascii="宋体" w:hAnsi="宋体" w:cs="宋体"/>
                <w:color w:val="000000" w:themeColor="text1"/>
                <w:sz w:val="22"/>
                <w:highlight w:val="none"/>
                <w14:textFill>
                  <w14:solidFill>
                    <w14:schemeClr w14:val="tx1"/>
                  </w14:solidFill>
                </w14:textFill>
              </w:rPr>
              <w:t>中标后先签订2年经营服务合同，经营期间每年由学校总务处等相关部门进行师生满意度考核，对综合满意度达到80%以上（含80%），且无重大食品安全事件，</w:t>
            </w:r>
            <w:r>
              <w:rPr>
                <w:rFonts w:hint="eastAsia" w:ascii="宋体" w:hAnsi="宋体" w:cs="宋体"/>
                <w:color w:val="000000" w:themeColor="text1"/>
                <w:sz w:val="22"/>
                <w:highlight w:val="none"/>
                <w14:textFill>
                  <w14:solidFill>
                    <w14:schemeClr w14:val="tx1"/>
                  </w14:solidFill>
                </w14:textFill>
              </w:rPr>
              <w:t>前2年</w:t>
            </w:r>
            <w:r>
              <w:rPr>
                <w:rFonts w:hint="eastAsia" w:asciiTheme="minorEastAsia" w:hAnsiTheme="minorEastAsia" w:eastAsiaTheme="minorEastAsia" w:cstheme="minorEastAsia"/>
                <w:snapToGrid w:val="0"/>
                <w:color w:val="000000" w:themeColor="text1"/>
                <w:kern w:val="0"/>
                <w:sz w:val="22"/>
                <w:highlight w:val="none"/>
                <w14:textFill>
                  <w14:solidFill>
                    <w14:schemeClr w14:val="tx1"/>
                  </w14:solidFill>
                </w14:textFill>
              </w:rPr>
              <w:t>合同期内被校方</w:t>
            </w:r>
            <w:r>
              <w:rPr>
                <w:rFonts w:hint="eastAsia" w:asciiTheme="minorEastAsia" w:hAnsiTheme="minorEastAsia" w:eastAsiaTheme="minorEastAsia" w:cstheme="minorEastAsia"/>
                <w:snapToGrid w:val="0"/>
                <w:color w:val="000000" w:themeColor="text1"/>
                <w:kern w:val="0"/>
                <w:sz w:val="22"/>
                <w:highlight w:val="none"/>
                <w14:textFill>
                  <w14:solidFill>
                    <w14:schemeClr w14:val="tx1"/>
                  </w14:solidFill>
                </w14:textFill>
              </w:rPr>
              <w:t>因食品安全</w:t>
            </w:r>
            <w:r>
              <w:rPr>
                <w:rFonts w:hint="eastAsia" w:asciiTheme="minorEastAsia" w:hAnsiTheme="minorEastAsia" w:eastAsiaTheme="minorEastAsia" w:cstheme="minorEastAsia"/>
                <w:snapToGrid w:val="0"/>
                <w:color w:val="000000" w:themeColor="text1"/>
                <w:kern w:val="0"/>
                <w:sz w:val="22"/>
                <w:highlight w:val="none"/>
                <w14:textFill>
                  <w14:solidFill>
                    <w14:schemeClr w14:val="tx1"/>
                  </w14:solidFill>
                </w14:textFill>
              </w:rPr>
              <w:t>负面</w:t>
            </w:r>
            <w:r>
              <w:rPr>
                <w:rFonts w:hint="eastAsia" w:asciiTheme="minorEastAsia" w:hAnsiTheme="minorEastAsia" w:eastAsiaTheme="minorEastAsia" w:cstheme="minorEastAsia"/>
                <w:snapToGrid w:val="0"/>
                <w:color w:val="000000" w:themeColor="text1"/>
                <w:kern w:val="0"/>
                <w:sz w:val="22"/>
                <w:highlight w:val="none"/>
                <w14:textFill>
                  <w14:solidFill>
                    <w14:schemeClr w14:val="tx1"/>
                  </w14:solidFill>
                </w14:textFill>
              </w:rPr>
              <w:t>问题书面</w:t>
            </w:r>
            <w:r>
              <w:rPr>
                <w:rFonts w:hint="eastAsia" w:asciiTheme="minorEastAsia" w:hAnsiTheme="minorEastAsia" w:eastAsiaTheme="minorEastAsia" w:cstheme="minorEastAsia"/>
                <w:snapToGrid w:val="0"/>
                <w:color w:val="000000" w:themeColor="text1"/>
                <w:kern w:val="0"/>
                <w:sz w:val="22"/>
                <w:highlight w:val="none"/>
                <w14:textFill>
                  <w14:solidFill>
                    <w14:schemeClr w14:val="tx1"/>
                  </w14:solidFill>
                </w14:textFill>
              </w:rPr>
              <w:t>约谈</w:t>
            </w:r>
            <w:r>
              <w:rPr>
                <w:rFonts w:hint="eastAsia" w:asciiTheme="minorEastAsia" w:hAnsiTheme="minorEastAsia" w:eastAsiaTheme="minorEastAsia" w:cstheme="minorEastAsia"/>
                <w:snapToGrid w:val="0"/>
                <w:color w:val="000000" w:themeColor="text1"/>
                <w:kern w:val="0"/>
                <w:sz w:val="22"/>
                <w:highlight w:val="none"/>
                <w14:textFill>
                  <w14:solidFill>
                    <w14:schemeClr w14:val="tx1"/>
                  </w14:solidFill>
                </w14:textFill>
              </w:rPr>
              <w:t>整改</w:t>
            </w:r>
            <w:r>
              <w:rPr>
                <w:rFonts w:hint="eastAsia" w:asciiTheme="minorEastAsia" w:hAnsiTheme="minorEastAsia" w:eastAsiaTheme="minorEastAsia" w:cstheme="minorEastAsia"/>
                <w:snapToGrid w:val="0"/>
                <w:color w:val="000000" w:themeColor="text1"/>
                <w:kern w:val="0"/>
                <w:sz w:val="22"/>
                <w:highlight w:val="none"/>
                <w:lang w:eastAsia="zh-CN"/>
                <w14:textFill>
                  <w14:solidFill>
                    <w14:schemeClr w14:val="tx1"/>
                  </w14:solidFill>
                </w14:textFill>
              </w:rPr>
              <w:t>不多于</w:t>
            </w:r>
            <w:r>
              <w:rPr>
                <w:rFonts w:hint="eastAsia" w:asciiTheme="minorEastAsia" w:hAnsiTheme="minorEastAsia" w:eastAsiaTheme="minorEastAsia" w:cstheme="minorEastAsia"/>
                <w:snapToGrid w:val="0"/>
                <w:color w:val="000000" w:themeColor="text1"/>
                <w:kern w:val="0"/>
                <w:sz w:val="22"/>
                <w:highlight w:val="none"/>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2"/>
                <w:highlight w:val="none"/>
                <w14:textFill>
                  <w14:solidFill>
                    <w14:schemeClr w14:val="tx1"/>
                  </w14:solidFill>
                </w14:textFill>
              </w:rPr>
              <w:t>次</w:t>
            </w:r>
            <w:r>
              <w:rPr>
                <w:rFonts w:hint="eastAsia" w:asciiTheme="minorEastAsia" w:hAnsiTheme="minorEastAsia" w:eastAsiaTheme="minorEastAsia" w:cstheme="minorEastAsia"/>
                <w:snapToGrid w:val="0"/>
                <w:color w:val="000000" w:themeColor="text1"/>
                <w:kern w:val="0"/>
                <w:sz w:val="22"/>
                <w:highlight w:val="none"/>
                <w14:textFill>
                  <w14:solidFill>
                    <w14:schemeClr w14:val="tx1"/>
                  </w14:solidFill>
                </w14:textFill>
              </w:rPr>
              <w:t>；被省、市、区市场监管等部门立案查处不多于1次且及时整改落实的，</w:t>
            </w:r>
            <w:r>
              <w:rPr>
                <w:rFonts w:hint="eastAsia" w:asciiTheme="minorEastAsia" w:hAnsiTheme="minorEastAsia" w:eastAsiaTheme="minorEastAsia" w:cstheme="minorEastAsia"/>
                <w:color w:val="000000" w:themeColor="text1"/>
                <w:sz w:val="22"/>
                <w:highlight w:val="none"/>
                <w14:textFill>
                  <w14:solidFill>
                    <w14:schemeClr w14:val="tx1"/>
                  </w14:solidFill>
                </w14:textFill>
              </w:rPr>
              <w:t>经学校研究同意可以续签第3年合同。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17</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投标截止时间和开标时间</w:t>
            </w: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18</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投标文件提交地点</w:t>
            </w: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19</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投标有效期</w:t>
            </w: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开标后60天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20</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公告公示媒介</w:t>
            </w:r>
          </w:p>
        </w:tc>
        <w:tc>
          <w:tcPr>
            <w:tcW w:w="3279" w:type="pct"/>
            <w:gridSpan w:val="2"/>
            <w:vAlign w:val="center"/>
          </w:tcPr>
          <w:p>
            <w:pPr>
              <w:kinsoku w:val="0"/>
              <w:autoSpaceDE w:val="0"/>
              <w:autoSpaceDN w:val="0"/>
              <w:adjustRightInd w:val="0"/>
              <w:snapToGrid w:val="0"/>
              <w:spacing w:line="420" w:lineRule="exact"/>
              <w:ind w:firstLine="440" w:firstLineChars="200"/>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宿州市公共资源交易中心门户网（网址：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"http://ggzyjy.ahsz.gov.cn/"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kern w:val="0"/>
                <w:sz w:val="22"/>
                <w:highlight w:val="none"/>
                <w14:textFill>
                  <w14:solidFill>
                    <w14:schemeClr w14:val="tx1"/>
                  </w14:solidFill>
                </w14:textFill>
              </w:rPr>
              <w:t>http://ggzyjy.ahsz.gov.cn/</w:t>
            </w:r>
            <w:r>
              <w:rPr>
                <w:rFonts w:hint="eastAsia" w:ascii="宋体" w:hAnsi="宋体" w:cs="宋体"/>
                <w:snapToGrid w:val="0"/>
                <w:color w:val="000000" w:themeColor="text1"/>
                <w:kern w:val="0"/>
                <w:sz w:val="22"/>
                <w:highlight w:val="none"/>
                <w14:textFill>
                  <w14:solidFill>
                    <w14:schemeClr w14:val="tx1"/>
                  </w14:solidFill>
                </w14:textFill>
              </w:rPr>
              <w:fldChar w:fldCharType="end"/>
            </w:r>
            <w:r>
              <w:rPr>
                <w:rFonts w:hint="eastAsia" w:ascii="宋体" w:hAnsi="宋体" w:cs="宋体"/>
                <w:snapToGrid w:val="0"/>
                <w:color w:val="000000" w:themeColor="text1"/>
                <w:kern w:val="0"/>
                <w:sz w:val="22"/>
                <w:highlight w:val="none"/>
                <w14:textFill>
                  <w14:solidFill>
                    <w14:schemeClr w14:val="tx1"/>
                  </w14:solidFill>
                </w14:textFill>
              </w:rPr>
              <w:t>）和本项目交易平台所在地交易中心门户网（</w:t>
            </w:r>
            <w:r>
              <w:rPr>
                <w:rFonts w:hint="eastAsia" w:ascii="宋体" w:hAnsi="宋体" w:cs="宋体"/>
                <w:snapToGrid w:val="0"/>
                <w:color w:val="000000" w:themeColor="text1"/>
                <w:kern w:val="0"/>
                <w:sz w:val="22"/>
                <w:highlight w:val="none"/>
                <w:u w:val="single"/>
                <w14:textFill>
                  <w14:solidFill>
                    <w14:schemeClr w14:val="tx1"/>
                  </w14:solidFill>
                </w14:textFill>
              </w:rPr>
              <w:t>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"http://ggzyjy.ahsz.gov.cn/"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kern w:val="0"/>
                <w:sz w:val="22"/>
                <w:highlight w:val="none"/>
                <w:u w:val="single"/>
                <w14:textFill>
                  <w14:solidFill>
                    <w14:schemeClr w14:val="tx1"/>
                  </w14:solidFill>
                </w14:textFill>
              </w:rPr>
              <w:t>http://ggzyjy.ahsz.gov.cn/</w:t>
            </w:r>
            <w:r>
              <w:rPr>
                <w:rFonts w:hint="eastAsia" w:ascii="宋体" w:hAnsi="宋体" w:cs="宋体"/>
                <w:snapToGrid w:val="0"/>
                <w:color w:val="000000" w:themeColor="text1"/>
                <w:kern w:val="0"/>
                <w:sz w:val="22"/>
                <w:highlight w:val="none"/>
                <w:u w:val="single"/>
                <w14:textFill>
                  <w14:solidFill>
                    <w14:schemeClr w14:val="tx1"/>
                  </w14:solidFill>
                </w14:textFill>
              </w:rPr>
              <w:fldChar w:fldCharType="end"/>
            </w:r>
            <w:r>
              <w:rPr>
                <w:rFonts w:hint="eastAsia" w:ascii="宋体" w:hAnsi="宋体" w:cs="宋体"/>
                <w:snapToGrid w:val="0"/>
                <w:color w:val="000000" w:themeColor="text1"/>
                <w:kern w:val="0"/>
                <w:sz w:val="22"/>
                <w:highlight w:val="none"/>
                <w14:textFill>
                  <w14:solidFill>
                    <w14:schemeClr w14:val="tx1"/>
                  </w14:solidFill>
                </w14:textFill>
              </w:rPr>
              <w:t>），并同时在安徽省公共资源交易监管网、安徽省政府采购网发布。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21</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b/>
                <w:bCs/>
                <w:snapToGrid w:val="0"/>
                <w:color w:val="000000" w:themeColor="text1"/>
                <w:kern w:val="0"/>
                <w:sz w:val="22"/>
                <w:highlight w:val="none"/>
                <w14:textFill>
                  <w14:solidFill>
                    <w14:schemeClr w14:val="tx1"/>
                  </w14:solidFill>
                </w14:textFill>
              </w:rPr>
              <w:t>电子投标文件制作注意事项（重要）</w:t>
            </w:r>
          </w:p>
        </w:tc>
        <w:tc>
          <w:tcPr>
            <w:tcW w:w="3279" w:type="pct"/>
            <w:gridSpan w:val="2"/>
            <w:vAlign w:val="center"/>
          </w:tcPr>
          <w:p>
            <w:pPr>
              <w:pStyle w:val="27"/>
              <w:kinsoku w:val="0"/>
              <w:autoSpaceDE w:val="0"/>
              <w:autoSpaceDN w:val="0"/>
              <w:adjustRightInd w:val="0"/>
              <w:snapToGrid w:val="0"/>
              <w:spacing w:line="420" w:lineRule="exact"/>
              <w:ind w:firstLine="0" w:firstLineChars="0"/>
              <w:rPr>
                <w:rFonts w:ascii="宋体" w:hAnsi="宋体"/>
                <w:b/>
                <w:color w:val="000000" w:themeColor="text1"/>
                <w:sz w:val="22"/>
                <w:szCs w:val="22"/>
                <w:highlight w:val="none"/>
                <w14:textFill>
                  <w14:solidFill>
                    <w14:schemeClr w14:val="tx1"/>
                  </w14:solidFill>
                </w14:textFill>
              </w:rPr>
            </w:pPr>
            <w:r>
              <w:rPr>
                <w:rFonts w:hint="eastAsia"/>
                <w:color w:val="000000" w:themeColor="text1"/>
                <w:sz w:val="22"/>
                <w:szCs w:val="22"/>
                <w:highlight w:val="none"/>
                <w:lang w:val="en-US"/>
                <w14:textFill>
                  <w14:solidFill>
                    <w14:schemeClr w14:val="tx1"/>
                  </w14:solidFill>
                </w14:textFill>
              </w:rPr>
              <w:t>1、</w:t>
            </w:r>
            <w:r>
              <w:rPr>
                <w:rFonts w:hint="eastAsia"/>
                <w:color w:val="000000" w:themeColor="text1"/>
                <w:sz w:val="22"/>
                <w:szCs w:val="22"/>
                <w:highlight w:val="none"/>
                <w14:textFill>
                  <w14:solidFill>
                    <w14:schemeClr w14:val="tx1"/>
                  </w14:solidFill>
                </w14:textFill>
              </w:rPr>
              <w:t>本项目投标文件组成中另外设置以下节点供投标人上传对应资料，不能对应的，可上传至资格证明文件</w:t>
            </w:r>
            <w:r>
              <w:rPr>
                <w:rFonts w:hint="eastAsia"/>
                <w:color w:val="000000" w:themeColor="text1"/>
                <w:sz w:val="22"/>
                <w:szCs w:val="22"/>
                <w:highlight w:val="none"/>
                <w:lang w:val="en-US"/>
                <w14:textFill>
                  <w14:solidFill>
                    <w14:schemeClr w14:val="tx1"/>
                  </w14:solidFill>
                </w14:textFill>
              </w:rPr>
              <w:t>中“招标文件规定的其他材料”</w:t>
            </w:r>
            <w:r>
              <w:rPr>
                <w:rFonts w:hint="eastAsia"/>
                <w:color w:val="000000" w:themeColor="text1"/>
                <w:sz w:val="22"/>
                <w:szCs w:val="22"/>
                <w:highlight w:val="none"/>
                <w14:textFill>
                  <w14:solidFill>
                    <w14:schemeClr w14:val="tx1"/>
                  </w14:solidFill>
                </w14:textFill>
              </w:rPr>
              <w:t>节点</w:t>
            </w:r>
            <w:r>
              <w:rPr>
                <w:rFonts w:hint="eastAsia" w:ascii="宋体" w:hAnsi="宋体"/>
                <w:b/>
                <w:color w:val="000000" w:themeColor="text1"/>
                <w:sz w:val="22"/>
                <w:szCs w:val="22"/>
                <w:highlight w:val="none"/>
                <w14:textFill>
                  <w14:solidFill>
                    <w14:schemeClr w14:val="tx1"/>
                  </w14:solidFill>
                </w14:textFill>
              </w:rPr>
              <w:t>：</w:t>
            </w:r>
          </w:p>
          <w:p>
            <w:pPr>
              <w:kinsoku w:val="0"/>
              <w:autoSpaceDE w:val="0"/>
              <w:autoSpaceDN w:val="0"/>
              <w:adjustRightInd w:val="0"/>
              <w:snapToGrid w:val="0"/>
              <w:spacing w:line="420" w:lineRule="exact"/>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Arial"/>
                <w:color w:val="000000" w:themeColor="text1"/>
                <w:sz w:val="22"/>
                <w:highlight w:val="none"/>
                <w14:textFill>
                  <w14:solidFill>
                    <w14:schemeClr w14:val="tx1"/>
                  </w14:solidFill>
                </w14:textFill>
              </w:rPr>
              <w:t>2、</w:t>
            </w:r>
            <w:r>
              <w:rPr>
                <w:rFonts w:hint="eastAsia"/>
                <w:color w:val="000000" w:themeColor="text1"/>
                <w:sz w:val="22"/>
                <w:highlight w:val="none"/>
                <w:lang w:val="zh-CN"/>
                <w14:textFill>
                  <w14:solidFill>
                    <w14:schemeClr w14:val="tx1"/>
                  </w14:solidFill>
                </w14:textFill>
              </w:rPr>
              <w:t>投标人制作完成投标文件PDF格式后请进行预览，仔细检查投标文件的清晰度，保证招标文件要求的扫描件清晰显示，如因 材料模糊不清，导致评标委员会无法辨认的，一切后果由供应商自行承担。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22</w:t>
            </w:r>
          </w:p>
        </w:tc>
        <w:tc>
          <w:tcPr>
            <w:tcW w:w="1345" w:type="pct"/>
            <w:vAlign w:val="center"/>
          </w:tcPr>
          <w:p>
            <w:pPr>
              <w:pStyle w:val="27"/>
              <w:kinsoku w:val="0"/>
              <w:autoSpaceDE w:val="0"/>
              <w:autoSpaceDN w:val="0"/>
              <w:adjustRightInd w:val="0"/>
              <w:snapToGrid w:val="0"/>
              <w:spacing w:line="420" w:lineRule="exact"/>
              <w:ind w:firstLine="0" w:firstLineChars="0"/>
              <w:rPr>
                <w:rFonts w:ascii="宋体" w:hAnsi="宋体" w:cs="宋体"/>
                <w:snapToGrid w:val="0"/>
                <w:color w:val="000000" w:themeColor="text1"/>
                <w:kern w:val="0"/>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电子招投标具体要求</w:t>
            </w:r>
          </w:p>
        </w:tc>
        <w:tc>
          <w:tcPr>
            <w:tcW w:w="3279" w:type="pct"/>
            <w:gridSpan w:val="2"/>
            <w:vAlign w:val="center"/>
          </w:tcPr>
          <w:p>
            <w:pPr>
              <w:pStyle w:val="27"/>
              <w:kinsoku w:val="0"/>
              <w:autoSpaceDE w:val="0"/>
              <w:autoSpaceDN w:val="0"/>
              <w:adjustRightInd w:val="0"/>
              <w:snapToGrid w:val="0"/>
              <w:spacing w:line="420" w:lineRule="exact"/>
              <w:ind w:firstLine="0" w:firstLineChars="0"/>
              <w:rPr>
                <w:color w:val="000000" w:themeColor="text1"/>
                <w:sz w:val="22"/>
                <w:szCs w:val="22"/>
                <w:highlight w:val="none"/>
                <w:lang w:val="en-US"/>
                <w14:textFill>
                  <w14:solidFill>
                    <w14:schemeClr w14:val="tx1"/>
                  </w14:solidFill>
                </w14:textFill>
              </w:rPr>
            </w:pPr>
            <w:r>
              <w:rPr>
                <w:rFonts w:hint="eastAsia"/>
                <w:color w:val="000000" w:themeColor="text1"/>
                <w:sz w:val="22"/>
                <w:szCs w:val="22"/>
                <w:highlight w:val="none"/>
                <w:lang w:val="en-US"/>
                <w14:textFill>
                  <w14:solidFill>
                    <w14:schemeClr w14:val="tx1"/>
                  </w14:solidFill>
                </w14:textFill>
              </w:rPr>
              <w:t>本工程采用全流程网上招投标。</w:t>
            </w:r>
          </w:p>
          <w:p>
            <w:pPr>
              <w:pStyle w:val="27"/>
              <w:kinsoku w:val="0"/>
              <w:autoSpaceDE w:val="0"/>
              <w:autoSpaceDN w:val="0"/>
              <w:adjustRightInd w:val="0"/>
              <w:snapToGrid w:val="0"/>
              <w:spacing w:line="420" w:lineRule="exact"/>
              <w:ind w:firstLine="0" w:firstLineChars="0"/>
              <w:rPr>
                <w:color w:val="000000" w:themeColor="text1"/>
                <w:sz w:val="22"/>
                <w:szCs w:val="22"/>
                <w:highlight w:val="none"/>
                <w:lang w:val="en-US"/>
                <w14:textFill>
                  <w14:solidFill>
                    <w14:schemeClr w14:val="tx1"/>
                  </w14:solidFill>
                </w14:textFill>
              </w:rPr>
            </w:pPr>
            <w:r>
              <w:rPr>
                <w:rFonts w:hint="eastAsia"/>
                <w:color w:val="000000" w:themeColor="text1"/>
                <w:sz w:val="22"/>
                <w:szCs w:val="22"/>
                <w:highlight w:val="none"/>
                <w:lang w:val="en-US"/>
                <w14:textFill>
                  <w14:solidFill>
                    <w14:schemeClr w14:val="tx1"/>
                  </w14:solidFill>
                </w14:textFill>
              </w:rPr>
              <w:t>（1）投标人提交的投标文件应当全部使用招标文件所要求的投标文件格式，生成的电子加密PDF投标文件。</w:t>
            </w:r>
          </w:p>
          <w:p>
            <w:pPr>
              <w:pStyle w:val="27"/>
              <w:kinsoku w:val="0"/>
              <w:autoSpaceDE w:val="0"/>
              <w:autoSpaceDN w:val="0"/>
              <w:adjustRightInd w:val="0"/>
              <w:snapToGrid w:val="0"/>
              <w:spacing w:line="420" w:lineRule="exact"/>
              <w:ind w:firstLine="0" w:firstLineChars="0"/>
              <w:rPr>
                <w:color w:val="000000" w:themeColor="text1"/>
                <w:sz w:val="22"/>
                <w:szCs w:val="22"/>
                <w:highlight w:val="none"/>
                <w:lang w:val="en-US"/>
                <w14:textFill>
                  <w14:solidFill>
                    <w14:schemeClr w14:val="tx1"/>
                  </w14:solidFill>
                </w14:textFill>
              </w:rPr>
            </w:pPr>
            <w:r>
              <w:rPr>
                <w:rFonts w:hint="eastAsia"/>
                <w:color w:val="000000" w:themeColor="text1"/>
                <w:sz w:val="22"/>
                <w:szCs w:val="22"/>
                <w:highlight w:val="none"/>
                <w:lang w:val="en-US"/>
                <w14:textFill>
                  <w14:solidFill>
                    <w14:schemeClr w14:val="tx1"/>
                  </w14:solidFill>
                </w14:textFill>
              </w:rPr>
              <w:t>（2）在编制投标文件时，以最后发出的电子招标文件为准进行投标文件编制。</w:t>
            </w:r>
          </w:p>
          <w:p>
            <w:pPr>
              <w:pStyle w:val="27"/>
              <w:kinsoku w:val="0"/>
              <w:autoSpaceDE w:val="0"/>
              <w:autoSpaceDN w:val="0"/>
              <w:adjustRightInd w:val="0"/>
              <w:snapToGrid w:val="0"/>
              <w:spacing w:line="420" w:lineRule="exact"/>
              <w:ind w:firstLine="0" w:firstLineChars="0"/>
              <w:rPr>
                <w:color w:val="000000" w:themeColor="text1"/>
                <w:sz w:val="22"/>
                <w:szCs w:val="22"/>
                <w:highlight w:val="none"/>
                <w:lang w:val="en-US"/>
                <w14:textFill>
                  <w14:solidFill>
                    <w14:schemeClr w14:val="tx1"/>
                  </w14:solidFill>
                </w14:textFill>
              </w:rPr>
            </w:pPr>
            <w:r>
              <w:rPr>
                <w:rFonts w:hint="eastAsia"/>
                <w:color w:val="000000" w:themeColor="text1"/>
                <w:sz w:val="22"/>
                <w:szCs w:val="22"/>
                <w:highlight w:val="none"/>
                <w:lang w:val="en-US"/>
                <w14:textFill>
                  <w14:solidFill>
                    <w14:schemeClr w14:val="tx1"/>
                  </w14:solidFill>
                </w14:textFill>
              </w:rPr>
              <w:t>（3）投标人必须通过邮箱发送投标文件电子版至指定的邮箱。</w:t>
            </w:r>
          </w:p>
          <w:p>
            <w:pPr>
              <w:pStyle w:val="27"/>
              <w:kinsoku w:val="0"/>
              <w:autoSpaceDE w:val="0"/>
              <w:autoSpaceDN w:val="0"/>
              <w:adjustRightInd w:val="0"/>
              <w:snapToGrid w:val="0"/>
              <w:spacing w:line="420" w:lineRule="exact"/>
              <w:ind w:firstLine="0" w:firstLineChars="0"/>
              <w:rPr>
                <w:rFonts w:ascii="宋体" w:hAnsi="宋体" w:cs="宋体"/>
                <w:snapToGrid w:val="0"/>
                <w:color w:val="000000" w:themeColor="text1"/>
                <w:kern w:val="0"/>
                <w:sz w:val="22"/>
                <w:szCs w:val="22"/>
                <w:highlight w:val="none"/>
                <w14:textFill>
                  <w14:solidFill>
                    <w14:schemeClr w14:val="tx1"/>
                  </w14:solidFill>
                </w14:textFill>
              </w:rPr>
            </w:pPr>
            <w:r>
              <w:rPr>
                <w:rFonts w:hint="eastAsia"/>
                <w:color w:val="000000" w:themeColor="text1"/>
                <w:sz w:val="22"/>
                <w:szCs w:val="22"/>
                <w:highlight w:val="none"/>
                <w:lang w:val="en-US"/>
                <w14:textFill>
                  <w14:solidFill>
                    <w14:schemeClr w14:val="tx1"/>
                  </w14:solidFill>
                </w14:textFill>
              </w:rPr>
              <w:t>不符合以上三项内容中任意一项要求，经评委会评审可以按无效标处理。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23</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b/>
                <w:bCs/>
                <w:snapToGrid w:val="0"/>
                <w:color w:val="000000" w:themeColor="text1"/>
                <w:kern w:val="0"/>
                <w:sz w:val="22"/>
                <w:highlight w:val="none"/>
                <w14:textFill>
                  <w14:solidFill>
                    <w14:schemeClr w14:val="tx1"/>
                  </w14:solidFill>
                </w14:textFill>
              </w:rPr>
              <w:t>注意事项</w:t>
            </w:r>
          </w:p>
        </w:tc>
        <w:tc>
          <w:tcPr>
            <w:tcW w:w="3279" w:type="pct"/>
            <w:gridSpan w:val="2"/>
            <w:vAlign w:val="center"/>
          </w:tcPr>
          <w:p>
            <w:pPr>
              <w:pStyle w:val="27"/>
              <w:kinsoku w:val="0"/>
              <w:autoSpaceDE w:val="0"/>
              <w:autoSpaceDN w:val="0"/>
              <w:adjustRightInd w:val="0"/>
              <w:snapToGrid w:val="0"/>
              <w:spacing w:line="420" w:lineRule="exact"/>
              <w:ind w:firstLine="0" w:firstLineChars="0"/>
              <w:rPr>
                <w:color w:val="000000" w:themeColor="text1"/>
                <w:sz w:val="22"/>
                <w:szCs w:val="22"/>
                <w:highlight w:val="none"/>
                <w:lang w:val="en-US"/>
                <w14:textFill>
                  <w14:solidFill>
                    <w14:schemeClr w14:val="tx1"/>
                  </w14:solidFill>
                </w14:textFill>
              </w:rPr>
            </w:pPr>
            <w:r>
              <w:rPr>
                <w:rFonts w:hint="eastAsia"/>
                <w:color w:val="000000" w:themeColor="text1"/>
                <w:sz w:val="22"/>
                <w:szCs w:val="22"/>
                <w:highlight w:val="none"/>
                <w:lang w:val="en-US"/>
                <w14:textFill>
                  <w14:solidFill>
                    <w14:schemeClr w14:val="tx1"/>
                  </w14:solidFill>
                </w14:textFill>
              </w:rPr>
              <w:t>开标方式：</w:t>
            </w:r>
          </w:p>
          <w:p>
            <w:pPr>
              <w:pStyle w:val="27"/>
              <w:kinsoku w:val="0"/>
              <w:autoSpaceDE w:val="0"/>
              <w:autoSpaceDN w:val="0"/>
              <w:adjustRightInd w:val="0"/>
              <w:snapToGrid w:val="0"/>
              <w:spacing w:line="420" w:lineRule="exact"/>
              <w:ind w:left="440" w:hanging="440" w:hangingChars="200"/>
              <w:rPr>
                <w:rFonts w:hint="eastAsia"/>
                <w:color w:val="000000" w:themeColor="text1"/>
                <w:sz w:val="22"/>
                <w:szCs w:val="22"/>
                <w:highlight w:val="none"/>
                <w:lang w:val="en-US"/>
                <w14:textFill>
                  <w14:solidFill>
                    <w14:schemeClr w14:val="tx1"/>
                  </w14:solidFill>
                </w14:textFill>
              </w:rPr>
            </w:pPr>
            <w:r>
              <w:rPr>
                <w:rFonts w:hint="eastAsia"/>
                <w:color w:val="000000" w:themeColor="text1"/>
                <w:sz w:val="22"/>
                <w:szCs w:val="22"/>
                <w:highlight w:val="none"/>
                <w:lang w:val="en-US"/>
                <w14:textFill>
                  <w14:solidFill>
                    <w14:schemeClr w14:val="tx1"/>
                  </w14:solidFill>
                </w14:textFill>
              </w:rPr>
              <w:t>1、本项目不要求投标人到达开标现场，本次招标采用邮箱</w:t>
            </w:r>
          </w:p>
          <w:p>
            <w:pPr>
              <w:pStyle w:val="27"/>
              <w:kinsoku w:val="0"/>
              <w:autoSpaceDE w:val="0"/>
              <w:autoSpaceDN w:val="0"/>
              <w:adjustRightInd w:val="0"/>
              <w:snapToGrid w:val="0"/>
              <w:spacing w:line="420" w:lineRule="exact"/>
              <w:ind w:left="440" w:hanging="440" w:hangingChars="200"/>
              <w:rPr>
                <w:rFonts w:hint="eastAsia"/>
                <w:color w:val="000000" w:themeColor="text1"/>
                <w:sz w:val="22"/>
                <w:szCs w:val="22"/>
                <w:highlight w:val="none"/>
                <w:lang w:val="en-US"/>
                <w14:textFill>
                  <w14:solidFill>
                    <w14:schemeClr w14:val="tx1"/>
                  </w14:solidFill>
                </w14:textFill>
              </w:rPr>
            </w:pPr>
            <w:r>
              <w:rPr>
                <w:rFonts w:hint="eastAsia"/>
                <w:color w:val="000000" w:themeColor="text1"/>
                <w:sz w:val="22"/>
                <w:szCs w:val="22"/>
                <w:highlight w:val="none"/>
                <w:lang w:val="en-US"/>
                <w14:textFill>
                  <w14:solidFill>
                    <w14:schemeClr w14:val="tx1"/>
                  </w14:solidFill>
                </w14:textFill>
              </w:rPr>
              <w:t>递交投标文件。投标人的投标文件须按招标文件要求进行编</w:t>
            </w:r>
          </w:p>
          <w:p>
            <w:pPr>
              <w:pStyle w:val="27"/>
              <w:kinsoku w:val="0"/>
              <w:autoSpaceDE w:val="0"/>
              <w:autoSpaceDN w:val="0"/>
              <w:adjustRightInd w:val="0"/>
              <w:snapToGrid w:val="0"/>
              <w:spacing w:line="420" w:lineRule="exact"/>
              <w:ind w:left="440" w:hanging="440" w:hangingChars="200"/>
              <w:rPr>
                <w:rFonts w:hint="eastAsia"/>
                <w:color w:val="000000" w:themeColor="text1"/>
                <w:sz w:val="22"/>
                <w:szCs w:val="22"/>
                <w:highlight w:val="none"/>
                <w:lang w:val="en-US"/>
                <w14:textFill>
                  <w14:solidFill>
                    <w14:schemeClr w14:val="tx1"/>
                  </w14:solidFill>
                </w14:textFill>
              </w:rPr>
            </w:pPr>
            <w:r>
              <w:rPr>
                <w:rFonts w:hint="eastAsia"/>
                <w:color w:val="000000" w:themeColor="text1"/>
                <w:sz w:val="22"/>
                <w:szCs w:val="22"/>
                <w:highlight w:val="none"/>
                <w:lang w:val="en-US"/>
                <w14:textFill>
                  <w14:solidFill>
                    <w14:schemeClr w14:val="tx1"/>
                  </w14:solidFill>
                </w14:textFill>
              </w:rPr>
              <w:t>制并签字盖章，将签字盖章后的投标文件彩色扫描生成一个</w:t>
            </w:r>
          </w:p>
          <w:p>
            <w:pPr>
              <w:pStyle w:val="27"/>
              <w:kinsoku w:val="0"/>
              <w:autoSpaceDE w:val="0"/>
              <w:autoSpaceDN w:val="0"/>
              <w:adjustRightInd w:val="0"/>
              <w:snapToGrid w:val="0"/>
              <w:spacing w:line="420" w:lineRule="exact"/>
              <w:ind w:left="440" w:hanging="440" w:hangingChars="200"/>
              <w:rPr>
                <w:rFonts w:hint="eastAsia"/>
                <w:color w:val="000000" w:themeColor="text1"/>
                <w:sz w:val="22"/>
                <w:szCs w:val="22"/>
                <w:highlight w:val="none"/>
                <w:lang w:val="en-US"/>
                <w14:textFill>
                  <w14:solidFill>
                    <w14:schemeClr w14:val="tx1"/>
                  </w14:solidFill>
                </w14:textFill>
              </w:rPr>
            </w:pPr>
            <w:r>
              <w:rPr>
                <w:rFonts w:hint="eastAsia"/>
                <w:color w:val="000000" w:themeColor="text1"/>
                <w:sz w:val="22"/>
                <w:szCs w:val="22"/>
                <w:highlight w:val="none"/>
                <w:lang w:val="en-US"/>
                <w14:textFill>
                  <w14:solidFill>
                    <w14:schemeClr w14:val="tx1"/>
                  </w14:solidFill>
                </w14:textFill>
              </w:rPr>
              <w:t>加密PDF文档，投标文件提交截止时间前发送至邮箱</w:t>
            </w:r>
          </w:p>
          <w:p>
            <w:pPr>
              <w:pStyle w:val="27"/>
              <w:kinsoku w:val="0"/>
              <w:autoSpaceDE w:val="0"/>
              <w:autoSpaceDN w:val="0"/>
              <w:adjustRightInd w:val="0"/>
              <w:snapToGrid w:val="0"/>
              <w:spacing w:line="420" w:lineRule="exact"/>
              <w:ind w:left="440" w:hanging="440" w:hangingChars="200"/>
              <w:rPr>
                <w:color w:val="000000" w:themeColor="text1"/>
                <w:sz w:val="22"/>
                <w:szCs w:val="22"/>
                <w:highlight w:val="none"/>
                <w:lang w:val="en-US"/>
                <w14:textFill>
                  <w14:solidFill>
                    <w14:schemeClr w14:val="tx1"/>
                  </w14:solidFill>
                </w14:textFill>
              </w:rPr>
            </w:pPr>
            <w:r>
              <w:rPr>
                <w:rFonts w:hint="eastAsia"/>
                <w:color w:val="000000" w:themeColor="text1"/>
                <w:sz w:val="22"/>
                <w:szCs w:val="22"/>
                <w:highlight w:val="none"/>
                <w:lang w:val="en-US"/>
                <w14:textFill>
                  <w14:solidFill>
                    <w14:schemeClr w14:val="tx1"/>
                  </w14:solidFill>
                </w14:textFill>
              </w:rPr>
              <w:t>@qq.com。</w:t>
            </w:r>
          </w:p>
          <w:p>
            <w:pPr>
              <w:pStyle w:val="27"/>
              <w:kinsoku w:val="0"/>
              <w:autoSpaceDE w:val="0"/>
              <w:autoSpaceDN w:val="0"/>
              <w:adjustRightInd w:val="0"/>
              <w:snapToGrid w:val="0"/>
              <w:spacing w:line="420" w:lineRule="exact"/>
              <w:ind w:firstLine="0" w:firstLineChars="0"/>
              <w:rPr>
                <w:color w:val="000000" w:themeColor="text1"/>
                <w:sz w:val="22"/>
                <w:szCs w:val="22"/>
                <w:highlight w:val="none"/>
                <w:lang w:val="en-US"/>
                <w14:textFill>
                  <w14:solidFill>
                    <w14:schemeClr w14:val="tx1"/>
                  </w14:solidFill>
                </w14:textFill>
              </w:rPr>
            </w:pPr>
            <w:r>
              <w:rPr>
                <w:rFonts w:hint="eastAsia"/>
                <w:color w:val="000000" w:themeColor="text1"/>
                <w:sz w:val="22"/>
                <w:szCs w:val="22"/>
                <w:highlight w:val="none"/>
                <w:lang w:val="en-US"/>
                <w14:textFill>
                  <w14:solidFill>
                    <w14:schemeClr w14:val="tx1"/>
                  </w14:solidFill>
                </w14:textFill>
              </w:rPr>
              <w:t>2、本次招标签到以在线验证方式进行。于202</w:t>
            </w:r>
            <w:r>
              <w:rPr>
                <w:rFonts w:hint="eastAsia"/>
                <w:color w:val="000000" w:themeColor="text1"/>
                <w:sz w:val="22"/>
                <w:szCs w:val="22"/>
                <w:highlight w:val="none"/>
                <w:lang w:val="en-US" w:eastAsia="zh-CN"/>
                <w14:textFill>
                  <w14:solidFill>
                    <w14:schemeClr w14:val="tx1"/>
                  </w14:solidFill>
                </w14:textFill>
              </w:rPr>
              <w:t>4</w:t>
            </w:r>
            <w:r>
              <w:rPr>
                <w:rFonts w:hint="eastAsia"/>
                <w:color w:val="000000" w:themeColor="text1"/>
                <w:sz w:val="22"/>
                <w:szCs w:val="22"/>
                <w:highlight w:val="none"/>
                <w:lang w:val="en-US"/>
                <w14:textFill>
                  <w14:solidFill>
                    <w14:schemeClr w14:val="tx1"/>
                  </w14:solidFill>
                </w14:textFill>
              </w:rPr>
              <w:t>年</w:t>
            </w:r>
            <w:r>
              <w:rPr>
                <w:rFonts w:hint="eastAsia"/>
                <w:color w:val="000000" w:themeColor="text1"/>
                <w:sz w:val="22"/>
                <w:szCs w:val="22"/>
                <w:highlight w:val="none"/>
                <w:lang w:val="en-US" w:eastAsia="zh-CN"/>
                <w14:textFill>
                  <w14:solidFill>
                    <w14:schemeClr w14:val="tx1"/>
                  </w14:solidFill>
                </w14:textFill>
              </w:rPr>
              <w:t xml:space="preserve"> </w:t>
            </w:r>
            <w:r>
              <w:rPr>
                <w:rFonts w:hint="eastAsia"/>
                <w:color w:val="000000" w:themeColor="text1"/>
                <w:sz w:val="22"/>
                <w:szCs w:val="22"/>
                <w:highlight w:val="none"/>
                <w:lang w:val="en-US"/>
                <w14:textFill>
                  <w14:solidFill>
                    <w14:schemeClr w14:val="tx1"/>
                  </w14:solidFill>
                </w14:textFill>
              </w:rPr>
              <w:t>月</w:t>
            </w:r>
            <w:r>
              <w:rPr>
                <w:rFonts w:hint="eastAsia"/>
                <w:color w:val="000000" w:themeColor="text1"/>
                <w:sz w:val="22"/>
                <w:szCs w:val="22"/>
                <w:highlight w:val="none"/>
                <w:lang w:val="en-US" w:eastAsia="zh-CN"/>
                <w14:textFill>
                  <w14:solidFill>
                    <w14:schemeClr w14:val="tx1"/>
                  </w14:solidFill>
                </w14:textFill>
              </w:rPr>
              <w:t xml:space="preserve"> </w:t>
            </w:r>
            <w:r>
              <w:rPr>
                <w:rFonts w:hint="eastAsia"/>
                <w:color w:val="000000" w:themeColor="text1"/>
                <w:sz w:val="22"/>
                <w:szCs w:val="22"/>
                <w:highlight w:val="none"/>
                <w:lang w:val="en-US"/>
                <w14:textFill>
                  <w14:solidFill>
                    <w14:schemeClr w14:val="tx1"/>
                  </w14:solidFill>
                </w14:textFill>
              </w:rPr>
              <w:t>日08时50分开始申请加入QQ群,加入群时备注“公司名称+法定代表人或其委托代理人姓名+联系电话”。</w:t>
            </w:r>
          </w:p>
          <w:p>
            <w:pPr>
              <w:pStyle w:val="27"/>
              <w:kinsoku w:val="0"/>
              <w:autoSpaceDE w:val="0"/>
              <w:autoSpaceDN w:val="0"/>
              <w:adjustRightInd w:val="0"/>
              <w:snapToGrid w:val="0"/>
              <w:spacing w:line="420" w:lineRule="exact"/>
              <w:ind w:firstLine="0" w:firstLineChars="0"/>
              <w:rPr>
                <w:color w:val="000000" w:themeColor="text1"/>
                <w:sz w:val="22"/>
                <w:szCs w:val="22"/>
                <w:highlight w:val="none"/>
                <w:lang w:val="en-US"/>
                <w14:textFill>
                  <w14:solidFill>
                    <w14:schemeClr w14:val="tx1"/>
                  </w14:solidFill>
                </w14:textFill>
              </w:rPr>
            </w:pPr>
            <w:r>
              <w:rPr>
                <w:rFonts w:hint="eastAsia"/>
                <w:color w:val="000000" w:themeColor="text1"/>
                <w:sz w:val="22"/>
                <w:szCs w:val="22"/>
                <w:highlight w:val="none"/>
                <w:lang w:val="en-US"/>
                <w14:textFill>
                  <w14:solidFill>
                    <w14:schemeClr w14:val="tx1"/>
                  </w14:solidFill>
                </w14:textFill>
              </w:rPr>
              <w:t>3、202</w:t>
            </w:r>
            <w:r>
              <w:rPr>
                <w:rFonts w:hint="eastAsia"/>
                <w:color w:val="000000" w:themeColor="text1"/>
                <w:sz w:val="22"/>
                <w:szCs w:val="22"/>
                <w:highlight w:val="none"/>
                <w:lang w:val="en-US" w:eastAsia="zh-CN"/>
                <w14:textFill>
                  <w14:solidFill>
                    <w14:schemeClr w14:val="tx1"/>
                  </w14:solidFill>
                </w14:textFill>
              </w:rPr>
              <w:t>4</w:t>
            </w:r>
            <w:r>
              <w:rPr>
                <w:rFonts w:hint="eastAsia"/>
                <w:color w:val="000000" w:themeColor="text1"/>
                <w:sz w:val="22"/>
                <w:szCs w:val="22"/>
                <w:highlight w:val="none"/>
                <w:lang w:val="en-US"/>
                <w14:textFill>
                  <w14:solidFill>
                    <w14:schemeClr w14:val="tx1"/>
                  </w14:solidFill>
                </w14:textFill>
              </w:rPr>
              <w:t>年月日09时00分开启视频直播并开标。</w:t>
            </w:r>
          </w:p>
          <w:p>
            <w:pPr>
              <w:pStyle w:val="27"/>
              <w:kinsoku w:val="0"/>
              <w:autoSpaceDE w:val="0"/>
              <w:autoSpaceDN w:val="0"/>
              <w:adjustRightInd w:val="0"/>
              <w:snapToGrid w:val="0"/>
              <w:spacing w:line="420" w:lineRule="exact"/>
              <w:ind w:firstLine="0" w:firstLineChars="0"/>
              <w:rPr>
                <w:color w:val="000000" w:themeColor="text1"/>
                <w:sz w:val="22"/>
                <w:szCs w:val="22"/>
                <w:highlight w:val="none"/>
                <w:lang w:val="en-US"/>
                <w14:textFill>
                  <w14:solidFill>
                    <w14:schemeClr w14:val="tx1"/>
                  </w14:solidFill>
                </w14:textFill>
              </w:rPr>
            </w:pPr>
            <w:r>
              <w:rPr>
                <w:rFonts w:hint="eastAsia"/>
                <w:color w:val="000000" w:themeColor="text1"/>
                <w:sz w:val="22"/>
                <w:szCs w:val="22"/>
                <w:highlight w:val="none"/>
                <w:lang w:val="en-US"/>
                <w14:textFill>
                  <w14:solidFill>
                    <w14:schemeClr w14:val="tx1"/>
                  </w14:solidFill>
                </w14:textFill>
              </w:rPr>
              <w:t>4、在宣布发送解密密码后30分钟内将解密密码（并注明单位名称+联系人姓名+手机号码）发送至邮箱：</w:t>
            </w:r>
            <w:r>
              <w:rPr>
                <w:rFonts w:hint="eastAsia"/>
                <w:color w:val="000000" w:themeColor="text1"/>
                <w:sz w:val="22"/>
                <w:szCs w:val="22"/>
                <w:highlight w:val="none"/>
                <w:u w:val="single"/>
                <w:lang w:val="en-US" w:eastAsia="zh-CN"/>
                <w14:textFill>
                  <w14:solidFill>
                    <w14:schemeClr w14:val="tx1"/>
                  </w14:solidFill>
                </w14:textFill>
              </w:rPr>
              <w:t xml:space="preserve">   </w:t>
            </w:r>
            <w:r>
              <w:rPr>
                <w:rFonts w:hint="eastAsia"/>
                <w:color w:val="000000" w:themeColor="text1"/>
                <w:sz w:val="22"/>
                <w:szCs w:val="22"/>
                <w:highlight w:val="none"/>
                <w:lang w:val="en-US"/>
                <w14:textFill>
                  <w14:solidFill>
                    <w14:schemeClr w14:val="tx1"/>
                  </w14:solidFill>
                </w14:textFill>
              </w:rPr>
              <w:t>@qq.com。（未能及时发送“密码”的或密码错误的无法进行解密的，按无效标处理）。</w:t>
            </w:r>
          </w:p>
          <w:p>
            <w:pPr>
              <w:pStyle w:val="27"/>
              <w:kinsoku w:val="0"/>
              <w:autoSpaceDE w:val="0"/>
              <w:autoSpaceDN w:val="0"/>
              <w:adjustRightInd w:val="0"/>
              <w:snapToGrid w:val="0"/>
              <w:spacing w:line="420" w:lineRule="exact"/>
              <w:ind w:firstLine="0" w:firstLineChars="0"/>
              <w:rPr>
                <w:color w:val="000000" w:themeColor="text1"/>
                <w:sz w:val="22"/>
                <w:szCs w:val="22"/>
                <w:highlight w:val="none"/>
                <w:lang w:val="en-US"/>
                <w14:textFill>
                  <w14:solidFill>
                    <w14:schemeClr w14:val="tx1"/>
                  </w14:solidFill>
                </w14:textFill>
              </w:rPr>
            </w:pPr>
            <w:r>
              <w:rPr>
                <w:rFonts w:hint="eastAsia"/>
                <w:color w:val="000000" w:themeColor="text1"/>
                <w:sz w:val="22"/>
                <w:szCs w:val="22"/>
                <w:highlight w:val="none"/>
                <w:lang w:val="en-US"/>
                <w14:textFill>
                  <w14:solidFill>
                    <w14:schemeClr w14:val="tx1"/>
                  </w14:solidFill>
                </w14:textFill>
              </w:rPr>
              <w:t>5、本项目开评标过程中的询标、澄清等程序均采用邮箱发送方式进行，开标会议结束后，请各投标人及时查看邮箱（投标文件递交时邮箱），询标、澄清等响应时间</w:t>
            </w:r>
            <w:r>
              <w:rPr>
                <w:rFonts w:hint="eastAsia"/>
                <w:color w:val="000000" w:themeColor="text1"/>
                <w:sz w:val="22"/>
                <w:szCs w:val="22"/>
                <w:highlight w:val="none"/>
                <w:lang w:val="en-US" w:eastAsia="zh-CN"/>
                <w14:textFill>
                  <w14:solidFill>
                    <w14:schemeClr w14:val="tx1"/>
                  </w14:solidFill>
                </w14:textFill>
              </w:rPr>
              <w:t>不多于</w:t>
            </w:r>
            <w:r>
              <w:rPr>
                <w:rFonts w:hint="eastAsia"/>
                <w:color w:val="000000" w:themeColor="text1"/>
                <w:sz w:val="22"/>
                <w:szCs w:val="22"/>
                <w:highlight w:val="none"/>
                <w:lang w:val="en-US"/>
                <w14:textFill>
                  <w14:solidFill>
                    <w14:schemeClr w14:val="tx1"/>
                  </w14:solidFill>
                </w14:textFill>
              </w:rPr>
              <w:t>询标、澄清等发起后15分钟，若超过15分钟，视为放弃解释权力，评标小组按不利于投标人解释处理。</w:t>
            </w:r>
          </w:p>
          <w:p>
            <w:pPr>
              <w:tabs>
                <w:tab w:val="left" w:pos="2213"/>
              </w:tabs>
              <w:kinsoku w:val="0"/>
              <w:autoSpaceDE w:val="0"/>
              <w:autoSpaceDN w:val="0"/>
              <w:adjustRightInd w:val="0"/>
              <w:snapToGrid w:val="0"/>
              <w:spacing w:line="420" w:lineRule="exact"/>
              <w:rPr>
                <w:rFonts w:ascii="宋体" w:hAnsi="宋体" w:cs="宋体"/>
                <w:bCs/>
                <w:snapToGrid w:val="0"/>
                <w:color w:val="000000" w:themeColor="text1"/>
                <w:kern w:val="0"/>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6、投标人自身原因导致解密失败，风险由投标人自行承担。因投标人没有及时登录直播间、密码发送、询标、澄清等等环节导致的一切后果，由投标人自行承担。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24</w:t>
            </w:r>
          </w:p>
        </w:tc>
        <w:tc>
          <w:tcPr>
            <w:tcW w:w="134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其它</w:t>
            </w:r>
          </w:p>
        </w:tc>
        <w:tc>
          <w:tcPr>
            <w:tcW w:w="3279" w:type="pct"/>
            <w:gridSpan w:val="2"/>
            <w:vAlign w:val="center"/>
          </w:tcPr>
          <w:p>
            <w:pPr>
              <w:kinsoku w:val="0"/>
              <w:autoSpaceDE w:val="0"/>
              <w:autoSpaceDN w:val="0"/>
              <w:adjustRightInd w:val="0"/>
              <w:snapToGrid w:val="0"/>
              <w:spacing w:line="420" w:lineRule="exact"/>
              <w:jc w:val="left"/>
              <w:rPr>
                <w:rFonts w:ascii="宋体" w:hAnsi="宋体"/>
                <w:b/>
                <w:color w:val="000000" w:themeColor="text1"/>
                <w:kern w:val="0"/>
                <w:sz w:val="22"/>
                <w:highlight w:val="none"/>
                <w14:textFill>
                  <w14:solidFill>
                    <w14:schemeClr w14:val="tx1"/>
                  </w14:solidFill>
                </w14:textFill>
              </w:rPr>
            </w:pPr>
            <w:r>
              <w:rPr>
                <w:rFonts w:hint="eastAsia" w:ascii="宋体" w:hAnsi="宋体"/>
                <w:b/>
                <w:color w:val="000000" w:themeColor="text1"/>
                <w:kern w:val="0"/>
                <w:sz w:val="22"/>
                <w:highlight w:val="none"/>
                <w14:textFill>
                  <w14:solidFill>
                    <w14:schemeClr w14:val="tx1"/>
                  </w14:solidFill>
                </w14:textFill>
              </w:rPr>
              <w:t>（一）招标代理费：</w:t>
            </w:r>
          </w:p>
          <w:p>
            <w:pPr>
              <w:kinsoku w:val="0"/>
              <w:autoSpaceDE w:val="0"/>
              <w:autoSpaceDN w:val="0"/>
              <w:adjustRightInd w:val="0"/>
              <w:snapToGrid w:val="0"/>
              <w:spacing w:line="420" w:lineRule="exact"/>
              <w:ind w:firstLine="442" w:firstLineChars="200"/>
              <w:rPr>
                <w:rFonts w:ascii="宋体" w:hAnsi="宋体" w:cs="宋体"/>
                <w:b/>
                <w:bCs/>
                <w:color w:val="000000" w:themeColor="text1"/>
                <w:sz w:val="22"/>
                <w:highlight w:val="none"/>
                <w14:textFill>
                  <w14:solidFill>
                    <w14:schemeClr w14:val="tx1"/>
                  </w14:solidFill>
                </w14:textFill>
              </w:rPr>
            </w:pPr>
            <w:r>
              <w:rPr>
                <w:rFonts w:hint="eastAsia" w:ascii="宋体" w:hAnsi="宋体" w:cs="宋体"/>
                <w:b/>
                <w:bCs/>
                <w:color w:val="000000" w:themeColor="text1"/>
                <w:sz w:val="22"/>
                <w:highlight w:val="none"/>
                <w14:textFill>
                  <w14:solidFill>
                    <w14:schemeClr w14:val="tx1"/>
                  </w14:solidFill>
                </w14:textFill>
              </w:rPr>
              <w:t>招标代理费：中标人以中标的水资源管理费、污水处理费、垃圾清运及垃圾处理费等费用金额为取费依据，参照原国家计委计价﹝2002﹞1980号文件的</w:t>
            </w:r>
            <w:r>
              <w:rPr>
                <w:rFonts w:hint="eastAsia" w:ascii="宋体" w:hAnsi="宋体" w:cs="宋体"/>
                <w:b/>
                <w:bCs/>
                <w:color w:val="000000" w:themeColor="text1"/>
                <w:sz w:val="22"/>
                <w:highlight w:val="none"/>
                <w14:textFill>
                  <w14:solidFill>
                    <w14:schemeClr w14:val="tx1"/>
                  </w14:solidFill>
                </w14:textFill>
              </w:rPr>
              <w:t>60%</w:t>
            </w:r>
            <w:r>
              <w:rPr>
                <w:rFonts w:hint="eastAsia" w:ascii="宋体" w:hAnsi="宋体" w:cs="宋体"/>
                <w:b/>
                <w:bCs/>
                <w:color w:val="000000" w:themeColor="text1"/>
                <w:sz w:val="22"/>
                <w:highlight w:val="none"/>
                <w14:textFill>
                  <w14:solidFill>
                    <w14:schemeClr w14:val="tx1"/>
                  </w14:solidFill>
                </w14:textFill>
              </w:rPr>
              <w:t>收取。</w:t>
            </w:r>
          </w:p>
          <w:p>
            <w:pPr>
              <w:kinsoku w:val="0"/>
              <w:autoSpaceDE w:val="0"/>
              <w:autoSpaceDN w:val="0"/>
              <w:adjustRightInd w:val="0"/>
              <w:snapToGrid w:val="0"/>
              <w:spacing w:line="420" w:lineRule="exact"/>
              <w:ind w:firstLine="442" w:firstLineChars="200"/>
              <w:rPr>
                <w:color w:val="000000" w:themeColor="text1"/>
                <w:sz w:val="22"/>
                <w:highlight w:val="none"/>
                <w14:textFill>
                  <w14:solidFill>
                    <w14:schemeClr w14:val="tx1"/>
                  </w14:solidFill>
                </w14:textFill>
              </w:rPr>
            </w:pPr>
            <w:r>
              <w:rPr>
                <w:rFonts w:hint="eastAsia" w:ascii="宋体" w:hAnsi="宋体" w:cs="宋体"/>
                <w:b/>
                <w:bCs/>
                <w:color w:val="000000" w:themeColor="text1"/>
                <w:sz w:val="22"/>
                <w:highlight w:val="none"/>
                <w14:textFill>
                  <w14:solidFill>
                    <w14:schemeClr w14:val="tx1"/>
                  </w14:solidFill>
                </w14:textFill>
              </w:rPr>
              <w:t>以上费用，不单独列出，投标人自行考虑，在领取中标通知书前支付给招标代理机构。</w:t>
            </w:r>
          </w:p>
          <w:p>
            <w:pPr>
              <w:tabs>
                <w:tab w:val="left" w:pos="2213"/>
              </w:tabs>
              <w:kinsoku w:val="0"/>
              <w:autoSpaceDE w:val="0"/>
              <w:autoSpaceDN w:val="0"/>
              <w:adjustRightInd w:val="0"/>
              <w:snapToGrid w:val="0"/>
              <w:spacing w:line="420" w:lineRule="exact"/>
              <w:ind w:firstLine="440" w:firstLineChars="200"/>
              <w:rPr>
                <w:rFonts w:ascii="宋体" w:hAnsi="宋体" w:cs="宋体"/>
                <w:bCs/>
                <w:snapToGrid w:val="0"/>
                <w:color w:val="000000" w:themeColor="text1"/>
                <w:kern w:val="0"/>
                <w:sz w:val="22"/>
                <w:highlight w:val="none"/>
                <w14:textFill>
                  <w14:solidFill>
                    <w14:schemeClr w14:val="tx1"/>
                  </w14:solidFill>
                </w14:textFill>
              </w:rPr>
            </w:pPr>
            <w:r>
              <w:rPr>
                <w:rFonts w:hint="eastAsia" w:ascii="宋体" w:hAnsi="宋体" w:cs="宋体"/>
                <w:bCs/>
                <w:snapToGrid w:val="0"/>
                <w:color w:val="000000" w:themeColor="text1"/>
                <w:kern w:val="0"/>
                <w:sz w:val="22"/>
                <w:highlight w:val="none"/>
                <w14:textFill>
                  <w14:solidFill>
                    <w14:schemeClr w14:val="tx1"/>
                  </w14:solidFill>
                </w14:textFill>
              </w:rPr>
              <w:t>3、中标供应商在办理中标通知书时，需提供彩色打印五份纸质投标文件（文件内容与投标电子文件一致）。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kinsoku w:val="0"/>
              <w:autoSpaceDE w:val="0"/>
              <w:autoSpaceDN w:val="0"/>
              <w:adjustRightInd w:val="0"/>
              <w:snapToGrid w:val="0"/>
              <w:spacing w:line="420" w:lineRule="exact"/>
              <w:jc w:val="center"/>
              <w:rPr>
                <w:rFonts w:ascii="宋体" w:hAnsi="宋体" w:cs="宋体"/>
                <w:snapToGrid w:val="0"/>
                <w:color w:val="000000" w:themeColor="text1"/>
                <w:kern w:val="0"/>
                <w:sz w:val="22"/>
                <w:highlight w:val="none"/>
                <w14:textFill>
                  <w14:solidFill>
                    <w14:schemeClr w14:val="tx1"/>
                  </w14:solidFill>
                </w14:textFill>
              </w:rPr>
            </w:pPr>
            <w:r>
              <w:rPr>
                <w:rFonts w:hint="eastAsia" w:ascii="宋体" w:hAnsi="宋体" w:cs="宋体"/>
                <w:snapToGrid w:val="0"/>
                <w:color w:val="000000" w:themeColor="text1"/>
                <w:kern w:val="0"/>
                <w:sz w:val="22"/>
                <w:highlight w:val="none"/>
                <w14:textFill>
                  <w14:solidFill>
                    <w14:schemeClr w14:val="tx1"/>
                  </w14:solidFill>
                </w14:textFill>
              </w:rPr>
              <w:t>25</w:t>
            </w:r>
          </w:p>
        </w:tc>
        <w:tc>
          <w:tcPr>
            <w:tcW w:w="4624" w:type="pct"/>
            <w:gridSpan w:val="3"/>
            <w:vAlign w:val="center"/>
          </w:tcPr>
          <w:p>
            <w:pPr>
              <w:tabs>
                <w:tab w:val="left" w:pos="2213"/>
              </w:tabs>
              <w:kinsoku w:val="0"/>
              <w:autoSpaceDE w:val="0"/>
              <w:autoSpaceDN w:val="0"/>
              <w:adjustRightInd w:val="0"/>
              <w:snapToGrid w:val="0"/>
              <w:spacing w:line="420" w:lineRule="exact"/>
              <w:rPr>
                <w:rFonts w:ascii="宋体" w:hAnsi="宋体" w:cs="宋体"/>
                <w:bCs/>
                <w:snapToGrid w:val="0"/>
                <w:color w:val="000000" w:themeColor="text1"/>
                <w:kern w:val="0"/>
                <w:sz w:val="22"/>
                <w:highlight w:val="none"/>
                <w14:textFill>
                  <w14:solidFill>
                    <w14:schemeClr w14:val="tx1"/>
                  </w14:solidFill>
                </w14:textFill>
              </w:rPr>
            </w:pPr>
          </w:p>
        </w:tc>
      </w:tr>
    </w:tbl>
    <w:p>
      <w:pPr>
        <w:pStyle w:val="7"/>
        <w:rPr>
          <w:snapToGrid w:val="0"/>
          <w:color w:val="000000" w:themeColor="text1"/>
          <w:kern w:val="0"/>
          <w:highlight w:val="none"/>
          <w14:textFill>
            <w14:solidFill>
              <w14:schemeClr w14:val="tx1"/>
            </w14:solidFill>
          </w14:textFill>
        </w:rPr>
      </w:pPr>
      <w:r>
        <w:rPr>
          <w:rFonts w:hint="eastAsia"/>
          <w:snapToGrid w:val="0"/>
          <w:color w:val="000000" w:themeColor="text1"/>
          <w:kern w:val="0"/>
          <w:sz w:val="28"/>
          <w:highlight w:val="none"/>
          <w14:textFill>
            <w14:solidFill>
              <w14:schemeClr w14:val="tx1"/>
            </w14:solidFill>
          </w14:textFill>
        </w:rPr>
        <w:br w:type="page"/>
      </w:r>
      <w:bookmarkStart w:id="76" w:name="_Hlt516969057"/>
      <w:bookmarkEnd w:id="76"/>
      <w:bookmarkStart w:id="77" w:name="_Toc31402"/>
      <w:bookmarkStart w:id="78" w:name="_Toc16866"/>
      <w:bookmarkStart w:id="79" w:name="_Toc482084457"/>
      <w:bookmarkStart w:id="80" w:name="_Toc220232390"/>
      <w:bookmarkStart w:id="81" w:name="_Toc14416"/>
      <w:bookmarkStart w:id="82" w:name="_Toc19096"/>
      <w:r>
        <w:rPr>
          <w:rFonts w:hint="eastAsia"/>
          <w:snapToGrid w:val="0"/>
          <w:color w:val="000000" w:themeColor="text1"/>
          <w:kern w:val="0"/>
          <w:highlight w:val="none"/>
          <w14:textFill>
            <w14:solidFill>
              <w14:schemeClr w14:val="tx1"/>
            </w14:solidFill>
          </w14:textFill>
        </w:rPr>
        <w:t>第三章 货物服务需求一览表</w:t>
      </w:r>
      <w:bookmarkEnd w:id="77"/>
      <w:bookmarkEnd w:id="78"/>
      <w:bookmarkEnd w:id="79"/>
      <w:bookmarkEnd w:id="80"/>
      <w:bookmarkEnd w:id="81"/>
      <w:bookmarkEnd w:id="82"/>
    </w:p>
    <w:p>
      <w:pPr>
        <w:pStyle w:val="8"/>
        <w:ind w:firstLine="0" w:firstLineChars="0"/>
        <w:jc w:val="center"/>
        <w:rPr>
          <w:color w:val="000000" w:themeColor="text1"/>
          <w:kern w:val="0"/>
          <w:highlight w:val="none"/>
          <w14:textFill>
            <w14:solidFill>
              <w14:schemeClr w14:val="tx1"/>
            </w14:solidFill>
          </w14:textFill>
        </w:rPr>
      </w:pPr>
      <w:bookmarkStart w:id="83" w:name="_Toc14943"/>
      <w:bookmarkStart w:id="84" w:name="_Toc26212"/>
      <w:bookmarkStart w:id="85" w:name="_Toc27229"/>
      <w:bookmarkStart w:id="86" w:name="_Toc23845"/>
      <w:bookmarkStart w:id="87" w:name="_Toc30135"/>
      <w:bookmarkStart w:id="88" w:name="_Toc482084459"/>
      <w:bookmarkStart w:id="89" w:name="_Toc462234312"/>
      <w:bookmarkStart w:id="90" w:name="_Toc28940"/>
      <w:r>
        <w:rPr>
          <w:rFonts w:hint="eastAsia"/>
          <w:color w:val="000000" w:themeColor="text1"/>
          <w:kern w:val="0"/>
          <w:highlight w:val="none"/>
          <w14:textFill>
            <w14:solidFill>
              <w14:schemeClr w14:val="tx1"/>
            </w14:solidFill>
          </w14:textFill>
        </w:rPr>
        <w:t>一、服务需求</w:t>
      </w:r>
      <w:bookmarkEnd w:id="83"/>
      <w:bookmarkEnd w:id="84"/>
      <w:bookmarkEnd w:id="85"/>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一、项目简介</w:t>
      </w:r>
      <w:r>
        <w:rPr>
          <w:rFonts w:hint="eastAsia" w:ascii="宋体" w:hAnsi="宋体" w:cs="宋体"/>
          <w:color w:val="000000" w:themeColor="text1"/>
          <w:sz w:val="24"/>
          <w:highlight w:val="none"/>
          <w14:textFill>
            <w14:solidFill>
              <w14:schemeClr w14:val="tx1"/>
            </w14:solidFill>
          </w14:textFill>
        </w:rPr>
        <w:t>：</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皖北卫生职业学院现有在校生约9970余人，教职工440余人（人数仅供参考）。目前校内</w:t>
      </w:r>
      <w:r>
        <w:rPr>
          <w:rFonts w:hint="eastAsia" w:ascii="宋体" w:hAnsi="宋体" w:cs="宋体"/>
          <w:color w:val="000000" w:themeColor="text1"/>
          <w:sz w:val="24"/>
          <w:highlight w:val="none"/>
          <w:lang w:val="en-US" w:eastAsia="zh-CN"/>
          <w14:textFill>
            <w14:solidFill>
              <w14:schemeClr w14:val="tx1"/>
            </w14:solidFill>
          </w14:textFill>
        </w:rPr>
        <w:t>已</w:t>
      </w:r>
      <w:r>
        <w:rPr>
          <w:rFonts w:hint="eastAsia" w:ascii="宋体" w:hAnsi="宋体" w:cs="宋体"/>
          <w:color w:val="000000" w:themeColor="text1"/>
          <w:sz w:val="24"/>
          <w:highlight w:val="none"/>
          <w14:textFill>
            <w14:solidFill>
              <w14:schemeClr w14:val="tx1"/>
            </w14:solidFill>
          </w14:textFill>
        </w:rPr>
        <w:t>有</w:t>
      </w:r>
      <w:r>
        <w:rPr>
          <w:rFonts w:hint="eastAsia" w:ascii="宋体" w:hAnsi="宋体" w:cs="宋体"/>
          <w:color w:val="000000" w:themeColor="text1"/>
          <w:sz w:val="24"/>
          <w:highlight w:val="none"/>
          <w:lang w:val="en-US" w:eastAsia="zh-CN"/>
          <w14:textFill>
            <w14:solidFill>
              <w14:schemeClr w14:val="tx1"/>
            </w14:solidFill>
          </w14:textFill>
        </w:rPr>
        <w:t>两</w:t>
      </w:r>
      <w:r>
        <w:rPr>
          <w:rFonts w:hint="eastAsia" w:ascii="宋体" w:hAnsi="宋体" w:cs="宋体"/>
          <w:color w:val="000000" w:themeColor="text1"/>
          <w:sz w:val="24"/>
          <w:highlight w:val="none"/>
          <w14:textFill>
            <w14:solidFill>
              <w14:schemeClr w14:val="tx1"/>
            </w14:solidFill>
          </w14:textFill>
        </w:rPr>
        <w:t>家</w:t>
      </w:r>
      <w:r>
        <w:rPr>
          <w:rFonts w:hint="eastAsia" w:ascii="宋体" w:hAnsi="宋体" w:cs="宋体"/>
          <w:color w:val="000000" w:themeColor="text1"/>
          <w:sz w:val="24"/>
          <w:highlight w:val="none"/>
          <w14:textFill>
            <w14:solidFill>
              <w14:schemeClr w14:val="tx1"/>
            </w14:solidFill>
          </w14:textFill>
        </w:rPr>
        <w:t>食堂。为进一步提高学校餐饮管理水平和服务质量，经学院研究，根据《高等学校引入社会餐饮企业承办食堂管理规范》，结合学校实际情况，决定将学院</w:t>
      </w:r>
      <w:r>
        <w:rPr>
          <w:rFonts w:hint="eastAsia" w:ascii="宋体" w:hAnsi="宋体" w:cs="宋体"/>
          <w:color w:val="000000" w:themeColor="text1"/>
          <w:sz w:val="24"/>
          <w:highlight w:val="none"/>
          <w:lang w:val="en-US" w:eastAsia="zh-CN"/>
          <w14:textFill>
            <w14:solidFill>
              <w14:schemeClr w14:val="tx1"/>
            </w14:solidFill>
          </w14:textFill>
        </w:rPr>
        <w:t>礼堂下方第一</w:t>
      </w:r>
      <w:r>
        <w:rPr>
          <w:rFonts w:hint="eastAsia" w:ascii="宋体" w:hAnsi="宋体" w:cs="宋体"/>
          <w:color w:val="000000" w:themeColor="text1"/>
          <w:sz w:val="24"/>
          <w:highlight w:val="none"/>
          <w14:textFill>
            <w14:solidFill>
              <w14:schemeClr w14:val="tx1"/>
            </w14:solidFill>
          </w14:textFill>
        </w:rPr>
        <w:t>学生食堂（以下均简称</w:t>
      </w:r>
      <w:r>
        <w:rPr>
          <w:rFonts w:hint="eastAsia" w:ascii="宋体" w:hAnsi="宋体" w:cs="宋体"/>
          <w:color w:val="000000" w:themeColor="text1"/>
          <w:sz w:val="24"/>
          <w:highlight w:val="none"/>
          <w:lang w:eastAsia="zh-CN"/>
          <w14:textFill>
            <w14:solidFill>
              <w14:schemeClr w14:val="tx1"/>
            </w14:solidFill>
          </w14:textFill>
        </w:rPr>
        <w:t>第一食堂</w:t>
      </w:r>
      <w:r>
        <w:rPr>
          <w:rFonts w:hint="eastAsia" w:ascii="宋体" w:hAnsi="宋体" w:cs="宋体"/>
          <w:color w:val="000000" w:themeColor="text1"/>
          <w:sz w:val="24"/>
          <w:highlight w:val="none"/>
          <w14:textFill>
            <w14:solidFill>
              <w14:schemeClr w14:val="tx1"/>
            </w14:solidFill>
          </w14:textFill>
        </w:rPr>
        <w:t>）餐饮服务通过公开招标方式委托第三方经营。</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第一</w:t>
      </w:r>
      <w:r>
        <w:rPr>
          <w:rFonts w:hint="eastAsia" w:ascii="宋体" w:hAnsi="宋体" w:cs="宋体"/>
          <w:color w:val="000000" w:themeColor="text1"/>
          <w:kern w:val="0"/>
          <w:sz w:val="24"/>
          <w:highlight w:val="none"/>
          <w14:textFill>
            <w14:solidFill>
              <w14:schemeClr w14:val="tx1"/>
            </w14:solidFill>
          </w14:textFill>
        </w:rPr>
        <w:t>食堂所在主体工程</w:t>
      </w:r>
      <w:r>
        <w:rPr>
          <w:rFonts w:hint="eastAsia" w:ascii="宋体" w:hAnsi="宋体" w:cs="宋体"/>
          <w:color w:val="000000" w:themeColor="text1"/>
          <w:kern w:val="0"/>
          <w:sz w:val="24"/>
          <w:highlight w:val="none"/>
          <w:lang w:val="en-US" w:eastAsia="zh-CN"/>
          <w14:textFill>
            <w14:solidFill>
              <w14:schemeClr w14:val="tx1"/>
            </w14:solidFill>
          </w14:textFill>
        </w:rPr>
        <w:t>一层</w:t>
      </w:r>
      <w:r>
        <w:rPr>
          <w:rFonts w:hint="eastAsia" w:ascii="宋体" w:hAnsi="宋体" w:cs="宋体"/>
          <w:color w:val="000000" w:themeColor="text1"/>
          <w:sz w:val="24"/>
          <w:highlight w:val="none"/>
          <w14:textFill>
            <w14:solidFill>
              <w14:schemeClr w14:val="tx1"/>
            </w14:solidFill>
          </w14:textFill>
        </w:rPr>
        <w:t>总建筑面积约</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000 </w:t>
      </w:r>
      <w:r>
        <w:rPr>
          <w:rFonts w:hint="eastAsia" w:ascii="宋体" w:hAnsi="宋体" w:cs="宋体"/>
          <w:color w:val="000000" w:themeColor="text1"/>
          <w:sz w:val="24"/>
          <w:highlight w:val="none"/>
          <w14:textFill>
            <w14:solidFill>
              <w14:schemeClr w14:val="tx1"/>
            </w14:solidFill>
          </w14:textFill>
        </w:rPr>
        <w:t>平方米（以实际勘查为准），其中</w:t>
      </w:r>
      <w:r>
        <w:rPr>
          <w:rFonts w:hint="eastAsia" w:ascii="宋体" w:hAnsi="宋体" w:cs="宋体"/>
          <w:color w:val="000000" w:themeColor="text1"/>
          <w:sz w:val="24"/>
          <w:highlight w:val="none"/>
          <w:lang w:val="en-US" w:eastAsia="zh-CN"/>
          <w14:textFill>
            <w14:solidFill>
              <w14:schemeClr w14:val="tx1"/>
            </w14:solidFill>
          </w14:textFill>
        </w:rPr>
        <w:t>二层为礼堂。</w:t>
      </w:r>
      <w:r>
        <w:rPr>
          <w:rFonts w:hint="eastAsia" w:ascii="宋体" w:hAnsi="宋体" w:cs="宋体"/>
          <w:color w:val="000000" w:themeColor="text1"/>
          <w:sz w:val="24"/>
          <w:highlight w:val="none"/>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必须依据《中华人民共和国食品安全法》（2021年修订本）、《学校食品安全与营养健康管理规定》《高等学校引入社会餐饮企业承办食堂管理规范》、《安徽省高等学校标准化学生食堂指标体系》、《安徽省高校文化餐厅建设指南》等文件要求，按照基本大伙，兼特色餐饮和文化餐厅进行装饰装修，</w:t>
      </w:r>
      <w:r>
        <w:rPr>
          <w:rFonts w:hint="eastAsia" w:ascii="宋体" w:hAnsi="宋体" w:cs="宋体"/>
          <w:color w:val="000000" w:themeColor="text1"/>
          <w:sz w:val="24"/>
          <w:highlight w:val="none"/>
          <w:lang w:val="en-US" w:eastAsia="zh-CN"/>
          <w14:textFill>
            <w14:solidFill>
              <w14:schemeClr w14:val="tx1"/>
            </w14:solidFill>
          </w14:textFill>
        </w:rPr>
        <w:t>装修前图纸必须通过宿州市和埇桥区市场监督管理局审核通过，</w:t>
      </w:r>
      <w:r>
        <w:rPr>
          <w:rFonts w:hint="eastAsia" w:ascii="宋体" w:hAnsi="宋体" w:cs="宋体"/>
          <w:color w:val="000000" w:themeColor="text1"/>
          <w:sz w:val="24"/>
          <w:highlight w:val="none"/>
          <w14:textFill>
            <w14:solidFill>
              <w14:schemeClr w14:val="tx1"/>
            </w14:solidFill>
          </w14:textFill>
        </w:rPr>
        <w:t>添置货架、水池、餐桌椅、工作台、自动洗碗机、智慧食堂及其它餐厨加工储藏、人员办公等设备，自主经营，自负盈亏。此处简介为概况，数据仅供参考，投标方应充分考虑到前述现状实情可能存在的误差与将来可能出现的变化，同时，提醒各投标单位认真察看学院周边情况，具体情况投标方可联系</w:t>
      </w:r>
      <w:r>
        <w:rPr>
          <w:rFonts w:hint="eastAsia" w:ascii="宋体" w:hAnsi="宋体" w:cs="宋体"/>
          <w:color w:val="000000" w:themeColor="text1"/>
          <w:sz w:val="24"/>
          <w:highlight w:val="none"/>
          <w14:textFill>
            <w14:solidFill>
              <w14:schemeClr w14:val="tx1"/>
            </w14:solidFill>
          </w14:textFill>
        </w:rPr>
        <w:t>学校</w:t>
      </w:r>
      <w:r>
        <w:rPr>
          <w:rFonts w:hint="eastAsia" w:ascii="宋体" w:hAnsi="宋体" w:cs="宋体"/>
          <w:color w:val="000000" w:themeColor="text1"/>
          <w:sz w:val="24"/>
          <w:highlight w:val="none"/>
          <w14:textFill>
            <w14:solidFill>
              <w14:schemeClr w14:val="tx1"/>
            </w14:solidFill>
          </w14:textFill>
        </w:rPr>
        <w:t>总务处到现场察看。</w:t>
      </w:r>
    </w:p>
    <w:p>
      <w:pPr>
        <w:spacing w:line="500" w:lineRule="exact"/>
        <w:ind w:firstLine="482" w:firstLineChars="200"/>
        <w:rPr>
          <w:color w:val="000000" w:themeColor="text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各投标人务必于202</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年</w:t>
      </w:r>
      <w:r>
        <w:rPr>
          <w:rFonts w:hint="eastAsia" w:ascii="宋体" w:hAnsi="宋体" w:cs="宋体"/>
          <w:b/>
          <w:color w:val="000000" w:themeColor="text1"/>
          <w:sz w:val="24"/>
          <w:highlight w:val="none"/>
          <w:lang w:val="en-US" w:eastAsia="zh-CN"/>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月</w:t>
      </w:r>
      <w:r>
        <w:rPr>
          <w:rFonts w:hint="eastAsia" w:ascii="宋体" w:hAnsi="宋体" w:cs="宋体"/>
          <w:b/>
          <w:color w:val="000000" w:themeColor="text1"/>
          <w:sz w:val="24"/>
          <w:highlight w:val="none"/>
          <w:lang w:val="en-US" w:eastAsia="zh-CN"/>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日</w:t>
      </w:r>
      <w:r>
        <w:rPr>
          <w:rFonts w:hint="eastAsia" w:ascii="宋体" w:hAnsi="宋体" w:cs="宋体"/>
          <w:b/>
          <w:color w:val="000000" w:themeColor="text1"/>
          <w:sz w:val="24"/>
          <w:highlight w:val="none"/>
          <w:lang w:val="en-US" w:eastAsia="zh-CN"/>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时</w:t>
      </w:r>
      <w:r>
        <w:rPr>
          <w:rFonts w:hint="eastAsia" w:ascii="宋体" w:hAnsi="宋体" w:cs="宋体"/>
          <w:b/>
          <w:color w:val="000000" w:themeColor="text1"/>
          <w:sz w:val="24"/>
          <w:highlight w:val="none"/>
          <w14:textFill>
            <w14:solidFill>
              <w14:schemeClr w14:val="tx1"/>
            </w14:solidFill>
          </w14:textFill>
        </w:rPr>
        <w:t>前到我校现场勘察，逾期概不接待。</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w:t>
      </w:r>
    </w:p>
    <w:p>
      <w:pPr>
        <w:spacing w:line="500" w:lineRule="exact"/>
        <w:ind w:firstLine="468"/>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皖北卫生职业学院</w:t>
      </w:r>
      <w:r>
        <w:rPr>
          <w:rFonts w:hint="eastAsia" w:ascii="宋体" w:hAnsi="宋体" w:cs="宋体"/>
          <w:color w:val="000000" w:themeColor="text1"/>
          <w:kern w:val="0"/>
          <w:sz w:val="24"/>
          <w:highlight w:val="none"/>
          <w:lang w:eastAsia="zh-CN"/>
          <w14:textFill>
            <w14:solidFill>
              <w14:schemeClr w14:val="tx1"/>
            </w14:solidFill>
          </w14:textFill>
        </w:rPr>
        <w:t>第一食堂</w:t>
      </w:r>
      <w:r>
        <w:rPr>
          <w:rFonts w:hint="eastAsia" w:ascii="宋体" w:hAnsi="宋体" w:cs="宋体"/>
          <w:bCs/>
          <w:color w:val="000000" w:themeColor="text1"/>
          <w:kern w:val="0"/>
          <w:sz w:val="24"/>
          <w:highlight w:val="none"/>
          <w14:textFill>
            <w14:solidFill>
              <w14:schemeClr w14:val="tx1"/>
            </w14:solidFill>
          </w14:textFill>
        </w:rPr>
        <w:t>经营服务项目。</w:t>
      </w:r>
    </w:p>
    <w:p>
      <w:pPr>
        <w:keepNext w:val="0"/>
        <w:keepLines w:val="0"/>
        <w:pageBreakBefore w:val="0"/>
        <w:kinsoku/>
        <w:wordWrap/>
        <w:overflowPunct/>
        <w:topLinePunct w:val="0"/>
        <w:autoSpaceDE/>
        <w:autoSpaceDN/>
        <w:bidi w:val="0"/>
        <w:adjustRightInd/>
        <w:snapToGrid/>
        <w:spacing w:line="500" w:lineRule="exact"/>
        <w:ind w:firstLine="468"/>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经营服务期限：3年（2+1），</w:t>
      </w:r>
      <w:r>
        <w:rPr>
          <w:rFonts w:hint="eastAsia" w:ascii="宋体" w:hAnsi="宋体" w:cs="宋体"/>
          <w:color w:val="000000" w:themeColor="text1"/>
          <w:sz w:val="24"/>
          <w:highlight w:val="none"/>
          <w14:textFill>
            <w14:solidFill>
              <w14:schemeClr w14:val="tx1"/>
            </w14:solidFill>
          </w14:textFill>
        </w:rPr>
        <w:t>中标后先签订2年经营服务合同，经营期间每年由学校总务处等相关部门进行师生满意度考核，对综合满意度达到80%以上（含80%），</w:t>
      </w:r>
      <w:r>
        <w:rPr>
          <w:rFonts w:hint="eastAsia" w:ascii="宋体" w:hAnsi="宋体" w:cs="宋体"/>
          <w:color w:val="000000" w:themeColor="text1"/>
          <w:sz w:val="24"/>
          <w:szCs w:val="24"/>
          <w:highlight w:val="none"/>
          <w14:textFill>
            <w14:solidFill>
              <w14:schemeClr w14:val="tx1"/>
            </w14:solidFill>
          </w14:textFill>
        </w:rPr>
        <w:t>且前2年合同期内无重大食品安全事件；</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被校方</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因食品安全</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负面</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问题书面</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约谈</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整改</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不多于</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次</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；被省、市、区市场监管等部门立案查处不多于1次且及时整改落实的，</w:t>
      </w:r>
      <w:r>
        <w:rPr>
          <w:rFonts w:hint="eastAsia" w:ascii="宋体" w:hAnsi="宋体" w:cs="宋体"/>
          <w:color w:val="000000" w:themeColor="text1"/>
          <w:sz w:val="24"/>
          <w:highlight w:val="none"/>
          <w14:textFill>
            <w14:solidFill>
              <w14:schemeClr w14:val="tx1"/>
            </w14:solidFill>
          </w14:textFill>
        </w:rPr>
        <w:t>经学校研究同意可以续签第3年合同。</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b/>
          <w:color w:val="000000" w:themeColor="text1"/>
          <w:kern w:val="0"/>
          <w:sz w:val="24"/>
          <w:highlight w:val="none"/>
          <w:lang w:eastAsia="zh-CN"/>
          <w14:textFill>
            <w14:solidFill>
              <w14:schemeClr w14:val="tx1"/>
            </w14:solidFill>
          </w14:textFill>
        </w:rPr>
      </w:pPr>
      <w:r>
        <w:rPr>
          <w:rFonts w:hint="eastAsia" w:ascii="宋体" w:hAnsi="宋体" w:cs="宋体"/>
          <w:b/>
          <w:color w:val="000000" w:themeColor="text1"/>
          <w:kern w:val="0"/>
          <w:sz w:val="24"/>
          <w:highlight w:val="none"/>
          <w:lang w:val="en-US" w:eastAsia="zh-CN"/>
          <w14:textFill>
            <w14:solidFill>
              <w14:schemeClr w14:val="tx1"/>
            </w14:solidFill>
          </w14:textFill>
        </w:rPr>
        <w:t>三、</w:t>
      </w:r>
      <w:r>
        <w:rPr>
          <w:rFonts w:hint="eastAsia" w:ascii="宋体" w:hAnsi="宋体" w:cs="宋体"/>
          <w:b/>
          <w:color w:val="000000" w:themeColor="text1"/>
          <w:kern w:val="0"/>
          <w:sz w:val="24"/>
          <w:highlight w:val="none"/>
          <w14:textFill>
            <w14:solidFill>
              <w14:schemeClr w14:val="tx1"/>
            </w14:solidFill>
          </w14:textFill>
        </w:rPr>
        <w:t>项目管理要求</w:t>
      </w:r>
      <w:r>
        <w:rPr>
          <w:rFonts w:hint="eastAsia" w:ascii="宋体" w:hAnsi="宋体" w:cs="宋体"/>
          <w:b/>
          <w:color w:val="000000" w:themeColor="text1"/>
          <w:kern w:val="0"/>
          <w:sz w:val="2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宋体" w:hAnsi="宋体" w:cs="宋体"/>
          <w:b/>
          <w:color w:val="000000" w:themeColor="text1"/>
          <w:sz w:val="24"/>
          <w:highlight w:val="none"/>
          <w14:textFill>
            <w14:solidFill>
              <w14:schemeClr w14:val="tx1"/>
            </w14:solidFill>
          </w14:textFill>
        </w:rPr>
      </w:pPr>
      <w:bookmarkStart w:id="91" w:name="_Hlt509716920"/>
      <w:bookmarkEnd w:id="91"/>
      <w:r>
        <w:rPr>
          <w:rFonts w:hint="eastAsia" w:ascii="宋体" w:hAnsi="宋体" w:cs="宋体"/>
          <w:b/>
          <w:color w:val="000000" w:themeColor="text1"/>
          <w:sz w:val="24"/>
          <w:highlight w:val="none"/>
          <w14:textFill>
            <w14:solidFill>
              <w14:schemeClr w14:val="tx1"/>
            </w14:solidFill>
          </w14:textFill>
        </w:rPr>
        <w:t>1.装饰装修与设备管理要求</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（1）投</w:t>
      </w:r>
      <w:r>
        <w:rPr>
          <w:rFonts w:hint="eastAsia" w:ascii="宋体" w:hAnsi="宋体" w:cs="宋体"/>
          <w:b/>
          <w:color w:val="000000" w:themeColor="text1"/>
          <w:sz w:val="24"/>
          <w:szCs w:val="24"/>
          <w:highlight w:val="none"/>
          <w14:textFill>
            <w14:solidFill>
              <w14:schemeClr w14:val="tx1"/>
            </w14:solidFill>
          </w14:textFill>
        </w:rPr>
        <w:t>标人投标文件中</w:t>
      </w:r>
      <w:r>
        <w:rPr>
          <w:rFonts w:hint="eastAsia" w:ascii="宋体" w:hAnsi="宋体" w:cs="宋体"/>
          <w:b/>
          <w:color w:val="000000" w:themeColor="text1"/>
          <w:sz w:val="24"/>
          <w:szCs w:val="24"/>
          <w:highlight w:val="none"/>
          <w:lang w:val="en-US" w:eastAsia="zh-CN"/>
          <w14:textFill>
            <w14:solidFill>
              <w14:schemeClr w14:val="tx1"/>
            </w14:solidFill>
          </w14:textFill>
        </w:rPr>
        <w:t>“安徽省高等学校标准化学生食堂指标体系”</w:t>
      </w:r>
      <w:r>
        <w:rPr>
          <w:rFonts w:hint="eastAsia" w:ascii="宋体" w:hAnsi="宋体" w:cs="宋体"/>
          <w:b/>
          <w:color w:val="000000" w:themeColor="text1"/>
          <w:sz w:val="24"/>
          <w:szCs w:val="24"/>
          <w:highlight w:val="none"/>
          <w14:textFill>
            <w14:solidFill>
              <w14:schemeClr w14:val="tx1"/>
            </w14:solidFill>
          </w14:textFill>
        </w:rPr>
        <w:t>要提供具体详实的设计方案（至少包含装饰装修图纸、设计图、彩色效果图和工程量清单）</w:t>
      </w:r>
      <w:r>
        <w:rPr>
          <w:rFonts w:hint="eastAsia" w:ascii="宋体" w:hAnsi="宋体" w:cs="宋体"/>
          <w:b/>
          <w:color w:val="000000" w:themeColor="text1"/>
          <w:sz w:val="24"/>
          <w:szCs w:val="24"/>
          <w:highlight w:val="none"/>
          <w:lang w:val="en-US" w:eastAsia="zh-CN"/>
          <w14:textFill>
            <w14:solidFill>
              <w14:schemeClr w14:val="tx1"/>
            </w14:solidFill>
          </w14:textFill>
        </w:rPr>
        <w:t>，装修要求简约不奢华、节能环保、健康绿色、融入学校元素、彰显历史文化、打造校园文化美食餐厅，装饰装修水电费一并计入本食堂经营用水电费。</w:t>
      </w:r>
      <w:r>
        <w:rPr>
          <w:rFonts w:hint="eastAsia" w:ascii="宋体" w:hAnsi="宋体" w:cs="宋体"/>
          <w:b/>
          <w:color w:val="000000" w:themeColor="text1"/>
          <w:sz w:val="24"/>
          <w:szCs w:val="24"/>
          <w:highlight w:val="none"/>
          <w:lang w:val="en-US" w:eastAsia="zh-CN"/>
          <w14:textFill>
            <w14:solidFill>
              <w14:schemeClr w14:val="tx1"/>
            </w14:solidFill>
          </w14:textFill>
        </w:rPr>
        <w:t xml:space="preserve"> 装修改造过程中涉及一卡通设备和线路的拆除，要进行恢复。</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用于对食堂特别是加工与售卖分离、后堂、烟道等进行规范改造、装饰、空调设备添置等。</w:t>
      </w:r>
      <w:r>
        <w:rPr>
          <w:rFonts w:hint="eastAsia" w:ascii="宋体" w:hAnsi="宋体" w:cs="宋体"/>
          <w:b/>
          <w:color w:val="000000" w:themeColor="text1"/>
          <w:sz w:val="24"/>
          <w:highlight w:val="none"/>
          <w14:textFill>
            <w14:solidFill>
              <w14:schemeClr w14:val="tx1"/>
            </w14:solidFill>
          </w14:textFill>
        </w:rPr>
        <w:t>中标人必须配备智慧食堂、自动洗碗机等智能设备设施。其规划设置的食堂窗口的装修风格、售卖食材种类、档口设置等必须上报学院总务处审核批准，经总务处同意后方可实施；不得拆分档口违规分包转包，</w:t>
      </w:r>
      <w:r>
        <w:rPr>
          <w:rFonts w:hint="eastAsia" w:ascii="宋体" w:hAnsi="宋体" w:cs="宋体"/>
          <w:b/>
          <w:color w:val="000000" w:themeColor="text1"/>
          <w:sz w:val="24"/>
          <w:highlight w:val="none"/>
          <w:lang w:val="en-US" w:eastAsia="zh-CN"/>
          <w14:textFill>
            <w14:solidFill>
              <w14:schemeClr w14:val="tx1"/>
            </w14:solidFill>
          </w14:textFill>
        </w:rPr>
        <w:t>必须</w:t>
      </w:r>
      <w:r>
        <w:rPr>
          <w:rFonts w:hint="eastAsia" w:ascii="宋体" w:hAnsi="宋体" w:cs="宋体"/>
          <w:b/>
          <w:color w:val="000000" w:themeColor="text1"/>
          <w:sz w:val="24"/>
          <w:highlight w:val="none"/>
          <w14:textFill>
            <w14:solidFill>
              <w14:schemeClr w14:val="tx1"/>
            </w14:solidFill>
          </w14:textFill>
        </w:rPr>
        <w:t>按制售分离等要求改造加工场所，不</w:t>
      </w:r>
      <w:r>
        <w:rPr>
          <w:rFonts w:hint="eastAsia" w:ascii="宋体" w:hAnsi="宋体" w:cs="宋体"/>
          <w:b/>
          <w:color w:val="000000" w:themeColor="text1"/>
          <w:sz w:val="24"/>
          <w:highlight w:val="none"/>
          <w:lang w:val="en-US" w:eastAsia="zh-CN"/>
          <w14:textFill>
            <w14:solidFill>
              <w14:schemeClr w14:val="tx1"/>
            </w14:solidFill>
          </w14:textFill>
        </w:rPr>
        <w:t>得</w:t>
      </w:r>
      <w:r>
        <w:rPr>
          <w:rFonts w:hint="eastAsia" w:ascii="宋体" w:hAnsi="宋体" w:cs="宋体"/>
          <w:b/>
          <w:color w:val="000000" w:themeColor="text1"/>
          <w:sz w:val="24"/>
          <w:highlight w:val="none"/>
          <w14:textFill>
            <w14:solidFill>
              <w14:schemeClr w14:val="tx1"/>
            </w14:solidFill>
          </w14:textFill>
        </w:rPr>
        <w:t>进行超范围经营等。</w:t>
      </w:r>
      <w:r>
        <w:rPr>
          <w:rFonts w:hint="eastAsia" w:ascii="宋体" w:hAnsi="宋体" w:cs="宋体"/>
          <w:bCs/>
          <w:color w:val="000000" w:themeColor="text1"/>
          <w:sz w:val="24"/>
          <w:highlight w:val="none"/>
          <w14:textFill>
            <w14:solidFill>
              <w14:schemeClr w14:val="tx1"/>
            </w14:solidFill>
          </w14:textFill>
        </w:rPr>
        <w:t>同时中标人需积极配合学院完成明厨亮灶工程建设。</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第一食堂</w:t>
      </w:r>
      <w:r>
        <w:rPr>
          <w:rFonts w:hint="eastAsia" w:ascii="宋体" w:hAnsi="宋体" w:cs="宋体"/>
          <w:b/>
          <w:color w:val="000000" w:themeColor="text1"/>
          <w:sz w:val="24"/>
          <w:highlight w:val="none"/>
          <w14:textFill>
            <w14:solidFill>
              <w14:schemeClr w14:val="tx1"/>
            </w14:solidFill>
          </w14:textFill>
        </w:rPr>
        <w:t>投资装饰装修与设备费用最低不少于100万，</w:t>
      </w:r>
      <w:r>
        <w:rPr>
          <w:rFonts w:hint="eastAsia" w:ascii="宋体" w:hAnsi="宋体" w:cs="宋体"/>
          <w:b/>
          <w:color w:val="000000" w:themeColor="text1"/>
          <w:sz w:val="24"/>
          <w:highlight w:val="none"/>
          <w:lang w:val="en-US" w:eastAsia="zh-CN"/>
          <w14:textFill>
            <w14:solidFill>
              <w14:schemeClr w14:val="tx1"/>
            </w14:solidFill>
          </w14:textFill>
        </w:rPr>
        <w:t>中标方签订合同前把升级改造资金打入学校指定的专门账户并接受采购人的监管，升级改造费用支出须经采购人同意后方能从专门账户支出。</w:t>
      </w:r>
      <w:r>
        <w:rPr>
          <w:rFonts w:hint="eastAsia" w:ascii="宋体" w:hAnsi="宋体" w:cs="宋体"/>
          <w:b/>
          <w:color w:val="000000" w:themeColor="text1"/>
          <w:sz w:val="24"/>
          <w:highlight w:val="none"/>
          <w14:textFill>
            <w14:solidFill>
              <w14:schemeClr w14:val="tx1"/>
            </w14:solidFill>
          </w14:textFill>
        </w:rPr>
        <w:t>具体费用以中标单位最终上浮报价为准，装修、投入完成后</w:t>
      </w:r>
      <w:r>
        <w:rPr>
          <w:rFonts w:hint="eastAsia" w:ascii="宋体" w:hAnsi="宋体" w:cs="宋体"/>
          <w:b/>
          <w:color w:val="000000" w:themeColor="text1"/>
          <w:sz w:val="24"/>
          <w:highlight w:val="none"/>
          <w14:textFill>
            <w14:solidFill>
              <w14:schemeClr w14:val="tx1"/>
            </w14:solidFill>
          </w14:textFill>
        </w:rPr>
        <w:t>由</w:t>
      </w:r>
      <w:r>
        <w:rPr>
          <w:rFonts w:hint="eastAsia" w:ascii="宋体" w:hAnsi="宋体" w:cs="宋体"/>
          <w:b/>
          <w:color w:val="000000" w:themeColor="text1"/>
          <w:sz w:val="24"/>
          <w:highlight w:val="none"/>
          <w14:textFill>
            <w14:solidFill>
              <w14:schemeClr w14:val="tx1"/>
            </w14:solidFill>
          </w14:textFill>
        </w:rPr>
        <w:t>学校抽取的第三方公司进行审计，低于最终报价的则视为违约，学校有权终止合同或要求中标单位按投标承诺进行投入费用差额部分补足，或从履约保证金中扣除</w:t>
      </w:r>
      <w:r>
        <w:rPr>
          <w:rFonts w:hint="eastAsia" w:ascii="宋体" w:hAnsi="宋体" w:cs="宋体"/>
          <w:b/>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人装饰装修需按照最新的《食品安全法》、《消防法》、《安徽省高等学校标准化学生食堂指标体系》、《安徽省高校文化餐厅建设指南》等文件进行图纸设计和编制工程量清单，按时完成。装饰装修水电费一并计入本食堂经营用水电费，装饰装修水费按照每吨2.35元、电费按照每度0.7元收取。</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人经营期间内，负责维修食堂内的水电、空调、桌椅等，确保周边下水道通畅（根据校方要求进行改造和维护、维修）。天气炎热或者寒冷时确保空调正常运转，营造适宜就餐环境。投标企业服务经营活动过程中不得私自改变食堂布局结构</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经营方在合同期内不得将经营的场所、设备、设施以任何形式分包、转包、转租、转让、分租。如发现有任何分包、转包、转租、转让、分租的形式，学校将立即停止相应窗口的营业并处以2000元罚款，学校有权终止合同，在经营期满后不再考虑继续经营，经营方将被列入学校招投标工作中的黑名单。</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合同期满或因经营方的责任而导致合同终止后，经营方自备物资（指库存物资、自行添置的设备等）由经营方自行处理，学校不承担任何处理的义务。学校所提供或投入的设施、设备等固定资产存放地点如需调整须征得总务处同意并报学校备案。经营方经营期满必须确保院方所投入的设施、设备正常、完好，保质保量如数交回学校，如有缺损或丢失照价赔偿。</w:t>
      </w:r>
    </w:p>
    <w:p>
      <w:pPr>
        <w:spacing w:line="500" w:lineRule="exact"/>
        <w:ind w:firstLine="465"/>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（4）餐厅、各操作间、室内外楼梯等环境卫生清洁、承包区域周围10米内均属于经营方的管理范围。经营过程中</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学校的房屋建筑的维修工作及维修费用，由学校负责；原有学校提供的设备（含明厨亮灶设施设备）、设施维修工作及维修费用，由经营方负责，确因设备设施老化非人为因素造成的损耗及损坏，经总务处确认，维修及更换费用由学校负责。经营方自备的餐具设备、设施维修及更换费用由经营方自行承担。经营方必须每学期至少一次对厨房油烟设备及其管道的清洗，确保厨房油烟设备及其管道畅通，无消防隐患，并提供对其设备清洗的协议和验收报告，费用由经营方自行承担。</w:t>
      </w:r>
    </w:p>
    <w:p>
      <w:pPr>
        <w:spacing w:line="500" w:lineRule="exact"/>
        <w:ind w:firstLine="465"/>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2.安全</w:t>
      </w:r>
      <w:r>
        <w:rPr>
          <w:rFonts w:hint="eastAsia" w:ascii="宋体" w:hAnsi="宋体" w:cs="宋体"/>
          <w:b/>
          <w:color w:val="000000" w:themeColor="text1"/>
          <w:sz w:val="24"/>
          <w:highlight w:val="none"/>
          <w14:textFill>
            <w14:solidFill>
              <w14:schemeClr w14:val="tx1"/>
            </w14:solidFill>
          </w14:textFill>
        </w:rPr>
        <w:t>管理要求</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中标人为食品安全、防火、防盗等直接责任人，对相应工作负有直接管理义务。</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严格执行《食品安全法》（2021年修订）、《学校食品安全与营养健康管理规定》、《消防法》及其他国家、省市和皖北卫生职业学院相关文件和管理制度，所有员工都要经过培训、办理健康证才能上岗；严格执行清洁消毒规定，有防鼠、灭蝇、防虫、防毒等措施；及时办理餐饮服务许可证或食品经营许可证的年检手续，接受卫生、市场监管部门的检查。其体检、检查和年检等费用自理。</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（2）中标人必须自行做好安全、防盗、防火和食品卫生等工作，如发生失窃、火灾、食物中毒等事故，造成的一切损失均由中标人自行负责。</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（3）严格控制各种食品的进货渠道，规范食品及原料采购管理制度，所有原料供应必须证照齐全，建立索票索证制度，并将所有资料上报学校总务处。</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（4）负责落实食堂托管范围内及学校指定区域的卫生工作，建立和健全一整套生产管理、卫生管理和消防及安全管理制度。</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（5）中标人必须接受学校和上级</w:t>
      </w:r>
      <w:r>
        <w:rPr>
          <w:rFonts w:hint="eastAsia" w:ascii="宋体" w:hAnsi="宋体" w:cs="宋体"/>
          <w:color w:val="000000" w:themeColor="text1"/>
          <w:sz w:val="24"/>
          <w:highlight w:val="none"/>
          <w14:textFill>
            <w14:solidFill>
              <w14:schemeClr w14:val="tx1"/>
            </w14:solidFill>
          </w14:textFill>
        </w:rPr>
        <w:t>有关部门</w:t>
      </w:r>
      <w:r>
        <w:rPr>
          <w:rFonts w:hint="eastAsia" w:ascii="宋体" w:hAnsi="宋体" w:cs="宋体"/>
          <w:color w:val="000000" w:themeColor="text1"/>
          <w:sz w:val="24"/>
          <w:highlight w:val="none"/>
          <w14:textFill>
            <w14:solidFill>
              <w14:schemeClr w14:val="tx1"/>
            </w14:solidFill>
          </w14:textFill>
        </w:rPr>
        <w:t>的监督与管理，自觉接受对财务管理、食品采购、生产流程、卫生消毒、供应价格、服务规范等方面的全方位监控。</w:t>
      </w:r>
    </w:p>
    <w:p>
      <w:pPr>
        <w:spacing w:line="5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4.用工管理要求</w:t>
      </w:r>
    </w:p>
    <w:p>
      <w:pPr>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由中标人自行招聘和管理员工，依法用工，用工责任和风险由中标人自负。学校有权对食堂用工情况进行监督和检查。</w:t>
      </w:r>
    </w:p>
    <w:p>
      <w:pPr>
        <w:spacing w:line="500" w:lineRule="exact"/>
        <w:ind w:firstLine="480" w:firstLineChars="200"/>
        <w:rPr>
          <w:rFonts w:ascii="宋体" w:hAnsi="宋体" w:cs="宋体"/>
          <w:color w:val="000000" w:themeColor="text1"/>
          <w:spacing w:val="8"/>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（1）中标人要科学合理地配备餐饮操作和餐厅服务人员，要选聘高水平的厨师及服务团队。</w:t>
      </w:r>
      <w:r>
        <w:rPr>
          <w:rFonts w:hint="eastAsia" w:ascii="宋体" w:hAnsi="宋体" w:cs="宋体"/>
          <w:color w:val="000000" w:themeColor="text1"/>
          <w:sz w:val="24"/>
          <w:highlight w:val="none"/>
          <w:lang w:val="en-US" w:eastAsia="zh-CN"/>
          <w14:textFill>
            <w14:solidFill>
              <w14:schemeClr w14:val="tx1"/>
            </w14:solidFill>
          </w14:textFill>
        </w:rPr>
        <w:t>项目经理必须相对固定，且每月出勤率不低于22天，并提供近12个月及以上社保部门出具的本单位为其缴纳社保的证明，如每学年度出现3个月及以上达不到考勤要求的，甲方有权终止合同。</w:t>
      </w:r>
      <w:r>
        <w:rPr>
          <w:rFonts w:hint="eastAsia" w:ascii="宋体" w:hAnsi="宋体" w:cs="宋体"/>
          <w:color w:val="000000" w:themeColor="text1"/>
          <w:sz w:val="24"/>
          <w:highlight w:val="none"/>
          <w14:textFill>
            <w14:solidFill>
              <w14:schemeClr w14:val="tx1"/>
            </w14:solidFill>
          </w14:textFill>
        </w:rPr>
        <w:t>项目经理必须相对固定，如需调整项目经理必须经学校认可且新项目经理的资质、条件不得低于</w:t>
      </w:r>
      <w:r>
        <w:rPr>
          <w:rFonts w:hint="eastAsia" w:ascii="宋体" w:hAnsi="宋体" w:cs="宋体"/>
          <w:color w:val="000000" w:themeColor="text1"/>
          <w:spacing w:val="8"/>
          <w:sz w:val="24"/>
          <w:highlight w:val="none"/>
          <w14:textFill>
            <w14:solidFill>
              <w14:schemeClr w14:val="tx1"/>
            </w14:solidFill>
          </w14:textFill>
        </w:rPr>
        <w:t>投标时承诺的条件。如中途随意调整一次，学校有权扣除履约保证金</w:t>
      </w:r>
      <w:r>
        <w:rPr>
          <w:rFonts w:hint="eastAsia" w:ascii="宋体" w:hAnsi="宋体" w:cs="宋体"/>
          <w:b/>
          <w:bCs/>
          <w:color w:val="000000" w:themeColor="text1"/>
          <w:spacing w:val="8"/>
          <w:sz w:val="24"/>
          <w:highlight w:val="none"/>
          <w:lang w:val="en-US" w:eastAsia="zh-CN"/>
          <w14:textFill>
            <w14:solidFill>
              <w14:schemeClr w14:val="tx1"/>
            </w14:solidFill>
          </w14:textFill>
        </w:rPr>
        <w:t>5000</w:t>
      </w:r>
      <w:r>
        <w:rPr>
          <w:rFonts w:hint="eastAsia" w:ascii="宋体" w:hAnsi="宋体" w:cs="宋体"/>
          <w:color w:val="000000" w:themeColor="text1"/>
          <w:spacing w:val="8"/>
          <w:sz w:val="24"/>
          <w:highlight w:val="none"/>
          <w14:textFill>
            <w14:solidFill>
              <w14:schemeClr w14:val="tx1"/>
            </w14:solidFill>
          </w14:textFill>
        </w:rPr>
        <w:t>元。因经营管理不善，学校要求经营方调整项目经理的，经营方应无条件安排，并在5个工作日内完成调整。逾期则按每人每天</w:t>
      </w:r>
      <w:r>
        <w:rPr>
          <w:rFonts w:hint="eastAsia" w:ascii="宋体" w:hAnsi="宋体" w:cs="宋体"/>
          <w:b/>
          <w:bCs/>
          <w:color w:val="000000" w:themeColor="text1"/>
          <w:spacing w:val="8"/>
          <w:sz w:val="24"/>
          <w:highlight w:val="none"/>
          <w14:textFill>
            <w14:solidFill>
              <w14:schemeClr w14:val="tx1"/>
            </w14:solidFill>
          </w14:textFill>
        </w:rPr>
        <w:t>500</w:t>
      </w:r>
      <w:r>
        <w:rPr>
          <w:rFonts w:hint="eastAsia" w:ascii="宋体" w:hAnsi="宋体" w:cs="宋体"/>
          <w:color w:val="000000" w:themeColor="text1"/>
          <w:spacing w:val="8"/>
          <w:sz w:val="24"/>
          <w:highlight w:val="none"/>
          <w14:textFill>
            <w14:solidFill>
              <w14:schemeClr w14:val="tx1"/>
            </w14:solidFill>
          </w14:textFill>
        </w:rPr>
        <w:t>元从履约保证金中扣除。</w:t>
      </w:r>
    </w:p>
    <w:p>
      <w:pPr>
        <w:spacing w:line="500" w:lineRule="exact"/>
        <w:ind w:firstLine="51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8"/>
          <w:sz w:val="24"/>
          <w:highlight w:val="none"/>
          <w14:textFill>
            <w14:solidFill>
              <w14:schemeClr w14:val="tx1"/>
            </w14:solidFill>
          </w14:textFill>
        </w:rPr>
        <w:t>（2）经营方须严格按照国家《劳动法》、《劳动合同》等规定合法用工，经营方的员工，与学校不存在任何雇佣、委托等劳动关系，同时经营方员工在工作过程中非学校直接原因造成的事故，安全责任由经营方负责。经营过程中，食堂所有员工必须持有合法、有效的健康证，办证费用由经营方自行承担。</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（3）中标人要对食堂员工的思想道德、业务素质、安全健康等进行全面管理，所有人员应规范服务操作程序，做到文明用语、礼貌服务。</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（4）按照国家《工会法》等相关文件依法成立相关组织并举办相应活动。</w:t>
      </w:r>
    </w:p>
    <w:p>
      <w:pPr>
        <w:spacing w:line="50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bCs/>
          <w:color w:val="000000" w:themeColor="text1"/>
          <w:sz w:val="24"/>
          <w:highlight w:val="none"/>
          <w14:textFill>
            <w14:solidFill>
              <w14:schemeClr w14:val="tx1"/>
            </w14:solidFill>
          </w14:textFill>
        </w:rPr>
        <w:t>经营方在经营期间自觉接受学校和市场监督管理局及相关政府部门的监督检查，学校将定期对经营食堂的服务、价格等情况进行综合测评，若经营期间发生食物中毒事故或其它重大事故，学校可对经营方作出相应处理直至终止经营合同，没收合同履约保证金及菜品质量、价格控制、优质服务保证金。由此造成的一切损失均由经营方承担，学校不承担任何赔偿义务或其他附加责任。</w:t>
      </w:r>
    </w:p>
    <w:p>
      <w:pPr>
        <w:spacing w:line="5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5.日常经营管理</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（1）投标人必须合法自主经营，严格执行《食品卫生法》及国家、地方政府制订的有关餐饮服务的法律、法规、规程、标准，遵守学校的相关制度，服从学校的管理和监督</w:t>
      </w:r>
      <w:r>
        <w:rPr>
          <w:rFonts w:hint="eastAsia" w:ascii="宋体" w:hAnsi="宋体" w:cs="宋体"/>
          <w:color w:val="000000" w:themeColor="text1"/>
          <w:sz w:val="24"/>
          <w:highlight w:val="none"/>
          <w14:textFill>
            <w14:solidFill>
              <w14:schemeClr w14:val="tx1"/>
            </w14:solidFill>
          </w14:textFill>
        </w:rPr>
        <w:t>（如服从学校安排在节假日、寒暑假保质保量向师生提供服务等）</w:t>
      </w:r>
      <w:r>
        <w:rPr>
          <w:rFonts w:hint="eastAsia" w:ascii="宋体" w:hAnsi="宋体" w:cs="宋体"/>
          <w:color w:val="000000" w:themeColor="text1"/>
          <w:sz w:val="24"/>
          <w:highlight w:val="none"/>
          <w14:textFill>
            <w14:solidFill>
              <w14:schemeClr w14:val="tx1"/>
            </w14:solidFill>
          </w14:textFill>
        </w:rPr>
        <w:t>。</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（2）创造文明就餐的食堂文化氛围，食堂就餐秩序良好。定期主动了解师生的</w:t>
      </w:r>
      <w:r>
        <w:rPr>
          <w:rFonts w:hint="eastAsia" w:ascii="宋体" w:hAnsi="宋体" w:cs="宋体"/>
          <w:color w:val="000000" w:themeColor="text1"/>
          <w:sz w:val="24"/>
          <w:highlight w:val="none"/>
          <w:lang w:val="en-US" w:eastAsia="zh-CN"/>
          <w14:textFill>
            <w14:solidFill>
              <w14:schemeClr w14:val="tx1"/>
            </w14:solidFill>
          </w14:textFill>
        </w:rPr>
        <w:t>就餐</w:t>
      </w:r>
      <w:r>
        <w:rPr>
          <w:rFonts w:hint="eastAsia" w:ascii="宋体" w:hAnsi="宋体" w:cs="宋体"/>
          <w:color w:val="000000" w:themeColor="text1"/>
          <w:sz w:val="24"/>
          <w:highlight w:val="none"/>
          <w14:textFill>
            <w14:solidFill>
              <w14:schemeClr w14:val="tx1"/>
            </w14:solidFill>
          </w14:textFill>
        </w:rPr>
        <w:t>要求，调查就餐人员满意度，对检查、测评、提出的意见和建议进行整改。</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保证一日三餐正点，饭菜</w:t>
      </w:r>
      <w:r>
        <w:rPr>
          <w:rFonts w:hint="eastAsia" w:ascii="宋体" w:hAnsi="宋体" w:cs="宋体"/>
          <w:color w:val="000000" w:themeColor="text1"/>
          <w:sz w:val="24"/>
          <w:highlight w:val="none"/>
          <w14:textFill>
            <w14:solidFill>
              <w14:schemeClr w14:val="tx1"/>
            </w14:solidFill>
          </w14:textFill>
        </w:rPr>
        <w:t>销售明码标价，基本大伙要以相对稳定</w:t>
      </w:r>
      <w:r>
        <w:rPr>
          <w:rFonts w:hint="eastAsia" w:ascii="宋体" w:hAnsi="宋体" w:cs="宋体"/>
          <w:b/>
          <w:bCs/>
          <w:color w:val="000000" w:themeColor="text1"/>
          <w:sz w:val="24"/>
          <w:highlight w:val="none"/>
          <w14:textFill>
            <w14:solidFill>
              <w14:schemeClr w14:val="tx1"/>
            </w14:solidFill>
          </w14:textFill>
        </w:rPr>
        <w:t>且较为低廉</w:t>
      </w:r>
      <w:r>
        <w:rPr>
          <w:rFonts w:hint="eastAsia" w:ascii="宋体" w:hAnsi="宋体" w:cs="宋体"/>
          <w:color w:val="000000" w:themeColor="text1"/>
          <w:sz w:val="24"/>
          <w:highlight w:val="none"/>
          <w14:textFill>
            <w14:solidFill>
              <w14:schemeClr w14:val="tx1"/>
            </w14:solidFill>
          </w14:textFill>
        </w:rPr>
        <w:t>的价格供应米饭、馒头、荤素包子、鸡蛋、白米粥、杂粮粥、豆浆、面条、水饺、鸡蛋汤、各种素菜、荤素混炒、猪肉、鸡肉、鱼肉等家常菜肴，并且保证主副食花色品种不断翻新和多样化。</w:t>
      </w:r>
      <w:r>
        <w:rPr>
          <w:rFonts w:hint="eastAsia" w:ascii="宋体" w:hAnsi="宋体" w:cs="宋体"/>
          <w:bCs/>
          <w:color w:val="000000" w:themeColor="text1"/>
          <w:sz w:val="24"/>
          <w:highlight w:val="none"/>
          <w14:textFill>
            <w14:solidFill>
              <w14:schemeClr w14:val="tx1"/>
            </w14:solidFill>
          </w14:textFill>
        </w:rPr>
        <w:t>为了能适应不同地区、风俗、口味、经济状况的师生就餐，必须承诺履行菜肴品种丰富，价格有高、中、低搭配（比例原则上为2：5：3）；</w:t>
      </w:r>
      <w:r>
        <w:rPr>
          <w:rFonts w:hint="eastAsia" w:ascii="宋体" w:hAnsi="宋体" w:cs="宋体"/>
          <w:b/>
          <w:color w:val="000000" w:themeColor="text1"/>
          <w:sz w:val="24"/>
          <w:highlight w:val="none"/>
          <w14:textFill>
            <w14:solidFill>
              <w14:schemeClr w14:val="tx1"/>
            </w14:solidFill>
          </w14:textFill>
        </w:rPr>
        <w:t>价格为2元及以下菜品普通餐销售窗口每餐不少于2个品种，保证不脱销，中、晚餐</w:t>
      </w:r>
      <w:r>
        <w:rPr>
          <w:rFonts w:hint="eastAsia" w:ascii="宋体" w:hAnsi="宋体" w:cs="宋体"/>
          <w:b/>
          <w:color w:val="000000" w:themeColor="text1"/>
          <w:sz w:val="24"/>
          <w:highlight w:val="none"/>
          <w14:textFill>
            <w14:solidFill>
              <w14:schemeClr w14:val="tx1"/>
            </w14:solidFill>
          </w14:textFill>
        </w:rPr>
        <w:t>师生就餐期间</w:t>
      </w:r>
      <w:r>
        <w:rPr>
          <w:rFonts w:hint="eastAsia" w:ascii="宋体" w:hAnsi="宋体" w:cs="宋体"/>
          <w:b/>
          <w:color w:val="000000" w:themeColor="text1"/>
          <w:sz w:val="24"/>
          <w:highlight w:val="none"/>
          <w14:textFill>
            <w14:solidFill>
              <w14:schemeClr w14:val="tx1"/>
            </w14:solidFill>
          </w14:textFill>
        </w:rPr>
        <w:t>必须有</w:t>
      </w:r>
      <w:r>
        <w:rPr>
          <w:rFonts w:hint="eastAsia" w:ascii="宋体" w:hAnsi="宋体" w:cs="宋体"/>
          <w:b/>
          <w:color w:val="000000" w:themeColor="text1"/>
          <w:sz w:val="24"/>
          <w:highlight w:val="none"/>
          <w14:textFill>
            <w14:solidFill>
              <w14:schemeClr w14:val="tx1"/>
            </w14:solidFill>
          </w14:textFill>
        </w:rPr>
        <w:t>足量</w:t>
      </w:r>
      <w:r>
        <w:rPr>
          <w:rFonts w:hint="eastAsia" w:ascii="宋体" w:hAnsi="宋体" w:cs="宋体"/>
          <w:b/>
          <w:color w:val="000000" w:themeColor="text1"/>
          <w:sz w:val="24"/>
          <w:highlight w:val="none"/>
          <w14:textFill>
            <w14:solidFill>
              <w14:schemeClr w14:val="tx1"/>
            </w14:solidFill>
          </w14:textFill>
        </w:rPr>
        <w:t>免费汤供应，</w:t>
      </w:r>
      <w:r>
        <w:rPr>
          <w:rFonts w:hint="eastAsia" w:ascii="宋体" w:hAnsi="宋体" w:cs="宋体"/>
          <w:b/>
          <w:color w:val="000000" w:themeColor="text1"/>
          <w:sz w:val="24"/>
          <w:highlight w:val="none"/>
          <w14:textFill>
            <w14:solidFill>
              <w14:schemeClr w14:val="tx1"/>
            </w14:solidFill>
          </w14:textFill>
        </w:rPr>
        <w:t>且随季节合理更换汤的种类。</w:t>
      </w:r>
      <w:r>
        <w:rPr>
          <w:rFonts w:hint="eastAsia" w:ascii="宋体" w:hAnsi="宋体" w:cs="宋体"/>
          <w:bCs/>
          <w:color w:val="000000" w:themeColor="text1"/>
          <w:sz w:val="24"/>
          <w:highlight w:val="none"/>
          <w14:textFill>
            <w14:solidFill>
              <w14:schemeClr w14:val="tx1"/>
            </w14:solidFill>
          </w14:textFill>
        </w:rPr>
        <w:t>学生食堂禁止制售国家明令禁止销售的品种和凉菜。不准出售变质、变味、剩饭菜。学校将不定期在师生中调查饭菜质量、数量、价格以及服务情况并将有关信息通知经营者，经营者应虚心听取意见，采取措施及时解决存在的问题。</w:t>
      </w:r>
    </w:p>
    <w:p>
      <w:pPr>
        <w:spacing w:line="5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（4）基本大伙要按投标报价（食堂基本大伙品目参考报价单）为基准，价格相对稳定</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毛利率控制在26%范围内；</w:t>
      </w:r>
      <w:r>
        <w:rPr>
          <w:rFonts w:hint="eastAsia" w:ascii="宋体" w:hAnsi="宋体" w:cs="宋体"/>
          <w:b/>
          <w:bCs/>
          <w:color w:val="000000" w:themeColor="text1"/>
          <w:sz w:val="24"/>
          <w:highlight w:val="none"/>
          <w14:textFill>
            <w14:solidFill>
              <w14:schemeClr w14:val="tx1"/>
            </w14:solidFill>
          </w14:textFill>
        </w:rPr>
        <w:t>且基本大伙售饭档口占比全部档口比例不低于60%；不得未经学校同意，减少大伙档口和饭菜花色品种，改为特色档口，而导致学生就餐困难和饭菜价格隐形增加，否则视为违约，学院有权解除合同并扣除履约保证金作为处罚；</w:t>
      </w:r>
      <w:r>
        <w:rPr>
          <w:rFonts w:hint="eastAsia" w:ascii="宋体" w:hAnsi="宋体" w:cs="宋体"/>
          <w:b/>
          <w:bCs/>
          <w:color w:val="000000" w:themeColor="text1"/>
          <w:sz w:val="24"/>
          <w:highlight w:val="none"/>
          <w14:textFill>
            <w14:solidFill>
              <w14:schemeClr w14:val="tx1"/>
            </w14:solidFill>
          </w14:textFill>
        </w:rPr>
        <w:t>各种特色餐饮，同类情况下，价格要低于当地市场价的10%以上。</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b w:val="0"/>
          <w:bCs w:val="0"/>
          <w:color w:val="000000" w:themeColor="text1"/>
          <w:sz w:val="24"/>
          <w:highlight w:val="none"/>
          <w14:textFill>
            <w14:solidFill>
              <w14:schemeClr w14:val="tx1"/>
            </w14:solidFill>
          </w14:textFill>
        </w:rPr>
        <w:t>学生</w:t>
      </w:r>
      <w:r>
        <w:rPr>
          <w:rFonts w:hint="eastAsia" w:ascii="宋体" w:hAnsi="宋体" w:cs="宋体"/>
          <w:color w:val="000000" w:themeColor="text1"/>
          <w:sz w:val="24"/>
          <w:highlight w:val="none"/>
          <w14:textFill>
            <w14:solidFill>
              <w14:schemeClr w14:val="tx1"/>
            </w14:solidFill>
          </w14:textFill>
        </w:rPr>
        <w:t>餐厅要制定详细的特色经营方案，要聘请高水平的厨师和服务团队，创建安徽省一流的文化餐厅品牌。</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（6）经营方</w:t>
      </w:r>
      <w:r>
        <w:rPr>
          <w:rFonts w:hint="eastAsia" w:ascii="宋体" w:hAnsi="宋体" w:cs="宋体"/>
          <w:bCs/>
          <w:color w:val="000000" w:themeColor="text1"/>
          <w:sz w:val="24"/>
          <w:highlight w:val="none"/>
          <w14:textFill>
            <w14:solidFill>
              <w14:schemeClr w14:val="tx1"/>
            </w14:solidFill>
          </w14:textFill>
        </w:rPr>
        <w:t>从事的经营服务范围只限于餐饮服务，不得从事</w:t>
      </w:r>
      <w:r>
        <w:rPr>
          <w:rFonts w:hint="eastAsia" w:ascii="宋体" w:hAnsi="宋体" w:cs="宋体"/>
          <w:bCs/>
          <w:color w:val="000000" w:themeColor="text1"/>
          <w:sz w:val="24"/>
          <w:highlight w:val="none"/>
          <w14:textFill>
            <w14:solidFill>
              <w14:schemeClr w14:val="tx1"/>
            </w14:solidFill>
          </w14:textFill>
        </w:rPr>
        <w:t>瓶装矿泉水、水果、方便面、袋装零食等校园超市售卖物品类其它非加工制作餐饮品</w:t>
      </w:r>
      <w:r>
        <w:rPr>
          <w:rFonts w:hint="eastAsia" w:ascii="宋体" w:hAnsi="宋体" w:cs="宋体"/>
          <w:bCs/>
          <w:color w:val="000000" w:themeColor="text1"/>
          <w:sz w:val="24"/>
          <w:highlight w:val="none"/>
          <w14:textFill>
            <w14:solidFill>
              <w14:schemeClr w14:val="tx1"/>
            </w14:solidFill>
          </w14:textFill>
        </w:rPr>
        <w:t>项目的</w:t>
      </w:r>
      <w:r>
        <w:rPr>
          <w:rFonts w:hint="eastAsia" w:ascii="宋体" w:hAnsi="宋体" w:cs="宋体"/>
          <w:bCs/>
          <w:color w:val="000000" w:themeColor="text1"/>
          <w:sz w:val="24"/>
          <w:highlight w:val="none"/>
          <w14:textFill>
            <w14:solidFill>
              <w14:schemeClr w14:val="tx1"/>
            </w14:solidFill>
          </w14:textFill>
        </w:rPr>
        <w:t>销售</w:t>
      </w:r>
      <w:r>
        <w:rPr>
          <w:rFonts w:hint="eastAsia" w:ascii="宋体" w:hAnsi="宋体" w:cs="宋体"/>
          <w:bCs/>
          <w:color w:val="000000" w:themeColor="text1"/>
          <w:sz w:val="24"/>
          <w:highlight w:val="none"/>
          <w14:textFill>
            <w14:solidFill>
              <w14:schemeClr w14:val="tx1"/>
            </w14:solidFill>
          </w14:textFill>
        </w:rPr>
        <w:t>服务。</w:t>
      </w:r>
      <w:r>
        <w:rPr>
          <w:rFonts w:hint="eastAsia" w:ascii="宋体" w:hAnsi="宋体" w:cs="宋体"/>
          <w:bCs/>
          <w:color w:val="000000" w:themeColor="text1"/>
          <w:sz w:val="24"/>
          <w:highlight w:val="none"/>
          <w14:textFill>
            <w14:solidFill>
              <w14:schemeClr w14:val="tx1"/>
            </w14:solidFill>
          </w14:textFill>
        </w:rPr>
        <w:t>每发现一次扣除履约金</w:t>
      </w:r>
      <w:r>
        <w:rPr>
          <w:rFonts w:hint="eastAsia" w:ascii="宋体" w:hAnsi="宋体" w:cs="宋体"/>
          <w:b/>
          <w:color w:val="000000" w:themeColor="text1"/>
          <w:sz w:val="24"/>
          <w:highlight w:val="none"/>
          <w14:textFill>
            <w14:solidFill>
              <w14:schemeClr w14:val="tx1"/>
            </w14:solidFill>
          </w14:textFill>
        </w:rPr>
        <w:t>500</w:t>
      </w:r>
      <w:r>
        <w:rPr>
          <w:rFonts w:hint="eastAsia" w:ascii="宋体" w:hAnsi="宋体" w:cs="宋体"/>
          <w:bCs/>
          <w:color w:val="000000" w:themeColor="text1"/>
          <w:sz w:val="24"/>
          <w:highlight w:val="none"/>
          <w14:textFill>
            <w14:solidFill>
              <w14:schemeClr w14:val="tx1"/>
            </w14:solidFill>
          </w14:textFill>
        </w:rPr>
        <w:t>元，情况严重屡犯不改者学校有权解除合同。</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7）经营方负责承包食厨废弃物（泔水）的清运，按相关要求招请有资质的单位专门承担此项任务，所发生的费用由经营方承担。食厨废弃物（泔水）按规定投放专用容器中，严禁混入生活垃圾收集桶内，做到日产日清，清除后的容器应及时清洗消毒。若发现食厨废弃物（泔水）混入生活垃圾收集桶内，每发现一次</w:t>
      </w:r>
      <w:r>
        <w:rPr>
          <w:rFonts w:hint="eastAsia" w:ascii="宋体" w:hAnsi="宋体" w:cs="宋体"/>
          <w:bCs/>
          <w:color w:val="000000" w:themeColor="text1"/>
          <w:sz w:val="24"/>
          <w:highlight w:val="none"/>
          <w14:textFill>
            <w14:solidFill>
              <w14:schemeClr w14:val="tx1"/>
            </w14:solidFill>
          </w14:textFill>
        </w:rPr>
        <w:t>扣除履</w:t>
      </w:r>
      <w:r>
        <w:rPr>
          <w:rFonts w:hint="eastAsia" w:ascii="宋体" w:hAnsi="宋体" w:cs="宋体"/>
          <w:bCs/>
          <w:color w:val="000000" w:themeColor="text1"/>
          <w:sz w:val="24"/>
          <w:highlight w:val="none"/>
          <w14:textFill>
            <w14:solidFill>
              <w14:schemeClr w14:val="tx1"/>
            </w14:solidFill>
          </w14:textFill>
        </w:rPr>
        <w:t>约金</w:t>
      </w:r>
      <w:r>
        <w:rPr>
          <w:rFonts w:hint="eastAsia" w:ascii="宋体" w:hAnsi="宋体" w:cs="宋体"/>
          <w:b/>
          <w:color w:val="000000" w:themeColor="text1"/>
          <w:sz w:val="24"/>
          <w:highlight w:val="none"/>
          <w14:textFill>
            <w14:solidFill>
              <w14:schemeClr w14:val="tx1"/>
            </w14:solidFill>
          </w14:textFill>
        </w:rPr>
        <w:t>500</w:t>
      </w:r>
      <w:r>
        <w:rPr>
          <w:rFonts w:hint="eastAsia" w:ascii="宋体" w:hAnsi="宋体" w:cs="宋体"/>
          <w:bCs/>
          <w:color w:val="000000" w:themeColor="text1"/>
          <w:sz w:val="24"/>
          <w:highlight w:val="none"/>
          <w14:textFill>
            <w14:solidFill>
              <w14:schemeClr w14:val="tx1"/>
            </w14:solidFill>
          </w14:textFill>
        </w:rPr>
        <w:t>元。</w:t>
      </w:r>
    </w:p>
    <w:p>
      <w:pPr>
        <w:spacing w:line="5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6.财务管理要求</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（1）学校严格按照国家文件规定实行“零租赁”。</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“校园一卡通”（浙江正元为一卡通服务方）</w:t>
      </w:r>
      <w:r>
        <w:rPr>
          <w:rFonts w:hint="eastAsia" w:ascii="宋体" w:hAnsi="宋体" w:cs="宋体"/>
          <w:bCs/>
          <w:color w:val="000000" w:themeColor="text1"/>
          <w:sz w:val="24"/>
          <w:highlight w:val="none"/>
          <w14:textFill>
            <w14:solidFill>
              <w14:schemeClr w14:val="tx1"/>
            </w14:solidFill>
          </w14:textFill>
        </w:rPr>
        <w:t>、农行智慧食堂扫脸支付</w:t>
      </w:r>
      <w:r>
        <w:rPr>
          <w:rFonts w:hint="eastAsia" w:ascii="宋体" w:hAnsi="宋体" w:cs="宋体"/>
          <w:bCs/>
          <w:color w:val="000000" w:themeColor="text1"/>
          <w:sz w:val="24"/>
          <w:highlight w:val="none"/>
          <w:lang w:val="en-US" w:eastAsia="zh-CN"/>
          <w14:textFill>
            <w14:solidFill>
              <w14:schemeClr w14:val="tx1"/>
            </w14:solidFill>
          </w14:textFill>
        </w:rPr>
        <w:t>等</w:t>
      </w:r>
      <w:r>
        <w:rPr>
          <w:rFonts w:hint="eastAsia" w:ascii="宋体" w:hAnsi="宋体" w:cs="宋体"/>
          <w:b/>
          <w:bCs/>
          <w:color w:val="000000" w:themeColor="text1"/>
          <w:sz w:val="24"/>
          <w:highlight w:val="none"/>
          <w14:textFill>
            <w14:solidFill>
              <w14:schemeClr w14:val="tx1"/>
            </w14:solidFill>
          </w14:textFill>
        </w:rPr>
        <w:t>为食堂消费的指定支付方式。</w:t>
      </w:r>
      <w:r>
        <w:rPr>
          <w:rFonts w:hint="eastAsia" w:ascii="宋体" w:hAnsi="宋体" w:cs="宋体"/>
          <w:bCs/>
          <w:color w:val="000000" w:themeColor="text1"/>
          <w:sz w:val="24"/>
          <w:highlight w:val="none"/>
          <w14:textFill>
            <w14:solidFill>
              <w14:schemeClr w14:val="tx1"/>
            </w14:solidFill>
          </w14:textFill>
        </w:rPr>
        <w:t>学校</w:t>
      </w:r>
      <w:r>
        <w:rPr>
          <w:rFonts w:hint="eastAsia" w:ascii="宋体" w:hAnsi="宋体" w:cs="宋体"/>
          <w:bCs/>
          <w:color w:val="000000" w:themeColor="text1"/>
          <w:sz w:val="24"/>
          <w:highlight w:val="none"/>
          <w:lang w:val="en-US" w:eastAsia="zh-CN"/>
          <w14:textFill>
            <w14:solidFill>
              <w14:schemeClr w14:val="tx1"/>
            </w14:solidFill>
          </w14:textFill>
        </w:rPr>
        <w:t>已经根据原食堂</w:t>
      </w:r>
      <w:r>
        <w:rPr>
          <w:rFonts w:hint="eastAsia" w:ascii="宋体" w:hAnsi="宋体" w:cs="宋体"/>
          <w:bCs/>
          <w:color w:val="000000" w:themeColor="text1"/>
          <w:sz w:val="24"/>
          <w:highlight w:val="none"/>
          <w14:textFill>
            <w14:solidFill>
              <w14:schemeClr w14:val="tx1"/>
            </w14:solidFill>
          </w14:textFill>
        </w:rPr>
        <w:t>开设售饭窗口数量布设卡机等支付设施，</w:t>
      </w:r>
      <w:r>
        <w:rPr>
          <w:rFonts w:hint="eastAsia" w:ascii="宋体" w:hAnsi="宋体" w:cs="宋体"/>
          <w:bCs/>
          <w:color w:val="000000" w:themeColor="text1"/>
          <w:sz w:val="24"/>
          <w:highlight w:val="none"/>
          <w:lang w:val="en-US" w:eastAsia="zh-CN"/>
          <w14:textFill>
            <w14:solidFill>
              <w14:schemeClr w14:val="tx1"/>
            </w14:solidFill>
          </w14:textFill>
        </w:rPr>
        <w:t>中标方</w:t>
      </w:r>
      <w:r>
        <w:rPr>
          <w:rFonts w:hint="eastAsia" w:ascii="宋体" w:hAnsi="宋体" w:cs="宋体"/>
          <w:b/>
          <w:color w:val="000000" w:themeColor="text1"/>
          <w:sz w:val="24"/>
          <w:szCs w:val="24"/>
          <w:highlight w:val="none"/>
          <w:lang w:val="en-US" w:eastAsia="zh-CN"/>
          <w14:textFill>
            <w14:solidFill>
              <w14:schemeClr w14:val="tx1"/>
            </w14:solidFill>
          </w14:textFill>
        </w:rPr>
        <w:t>在装修改造过程中涉及一卡通设备和线路的拆除，要进行恢复。在合理设置窗口的过程中</w:t>
      </w:r>
      <w:r>
        <w:rPr>
          <w:rFonts w:hint="eastAsia" w:ascii="宋体" w:hAnsi="宋体" w:cs="宋体"/>
          <w:color w:val="000000" w:themeColor="text1"/>
          <w:sz w:val="24"/>
          <w:highlight w:val="none"/>
          <w14:textFill>
            <w14:solidFill>
              <w14:schemeClr w14:val="tx1"/>
            </w14:solidFill>
          </w14:textFill>
        </w:rPr>
        <w:t>如卡机不够，</w:t>
      </w:r>
      <w:r>
        <w:rPr>
          <w:rFonts w:hint="eastAsia" w:ascii="宋体" w:hAnsi="宋体" w:cs="宋体"/>
          <w:color w:val="000000" w:themeColor="text1"/>
          <w:sz w:val="24"/>
          <w:highlight w:val="none"/>
          <w:lang w:val="en-US" w:eastAsia="zh-CN"/>
          <w14:textFill>
            <w14:solidFill>
              <w14:schemeClr w14:val="tx1"/>
            </w14:solidFill>
          </w14:textFill>
        </w:rPr>
        <w:t>中标方应</w:t>
      </w:r>
      <w:r>
        <w:rPr>
          <w:rFonts w:hint="eastAsia" w:ascii="宋体" w:hAnsi="宋体" w:cs="宋体"/>
          <w:bCs/>
          <w:color w:val="000000" w:themeColor="text1"/>
          <w:sz w:val="24"/>
          <w:highlight w:val="none"/>
          <w14:textFill>
            <w14:solidFill>
              <w14:schemeClr w14:val="tx1"/>
            </w14:solidFill>
          </w14:textFill>
        </w:rPr>
        <w:t>提前联系</w:t>
      </w:r>
      <w:r>
        <w:rPr>
          <w:rFonts w:hint="eastAsia" w:ascii="宋体" w:hAnsi="宋体" w:cs="宋体"/>
          <w:bCs/>
          <w:color w:val="000000" w:themeColor="text1"/>
          <w:sz w:val="24"/>
          <w:highlight w:val="none"/>
          <w14:textFill>
            <w14:solidFill>
              <w14:schemeClr w14:val="tx1"/>
            </w14:solidFill>
          </w14:textFill>
        </w:rPr>
        <w:t>校园一卡通</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自行</w:t>
      </w:r>
      <w:r>
        <w:rPr>
          <w:rFonts w:hint="eastAsia" w:ascii="宋体" w:hAnsi="宋体" w:cs="宋体"/>
          <w:color w:val="000000" w:themeColor="text1"/>
          <w:sz w:val="24"/>
          <w:highlight w:val="none"/>
          <w:lang w:val="en-US" w:eastAsia="zh-CN"/>
          <w14:textFill>
            <w14:solidFill>
              <w14:schemeClr w14:val="tx1"/>
            </w14:solidFill>
          </w14:textFill>
        </w:rPr>
        <w:t>铺设线路及</w:t>
      </w:r>
      <w:r>
        <w:rPr>
          <w:rFonts w:hint="eastAsia" w:ascii="宋体" w:hAnsi="宋体" w:cs="宋体"/>
          <w:color w:val="000000" w:themeColor="text1"/>
          <w:sz w:val="24"/>
          <w:highlight w:val="none"/>
          <w14:textFill>
            <w14:solidFill>
              <w14:schemeClr w14:val="tx1"/>
            </w14:solidFill>
          </w14:textFill>
        </w:rPr>
        <w:t>添置卡机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严禁使用微信、支付宝及现金收费，</w:t>
      </w:r>
      <w:r>
        <w:rPr>
          <w:rFonts w:hint="eastAsia" w:ascii="宋体" w:hAnsi="宋体" w:cs="宋体"/>
          <w:color w:val="000000" w:themeColor="text1"/>
          <w:sz w:val="24"/>
          <w:highlight w:val="none"/>
          <w14:textFill>
            <w14:solidFill>
              <w14:schemeClr w14:val="tx1"/>
            </w14:solidFill>
          </w14:textFill>
        </w:rPr>
        <w:t>违反规定每次</w:t>
      </w:r>
      <w:r>
        <w:rPr>
          <w:rFonts w:hint="eastAsia" w:ascii="宋体" w:hAnsi="宋体" w:cs="宋体"/>
          <w:b/>
          <w:bCs/>
          <w:color w:val="000000" w:themeColor="text1"/>
          <w:sz w:val="24"/>
          <w:highlight w:val="none"/>
          <w14:textFill>
            <w14:solidFill>
              <w14:schemeClr w14:val="tx1"/>
            </w14:solidFill>
          </w14:textFill>
        </w:rPr>
        <w:t>每例</w:t>
      </w:r>
      <w:r>
        <w:rPr>
          <w:rFonts w:hint="eastAsia" w:ascii="宋体" w:hAnsi="宋体" w:cs="宋体"/>
          <w:color w:val="000000" w:themeColor="text1"/>
          <w:sz w:val="24"/>
          <w:highlight w:val="none"/>
          <w14:textFill>
            <w14:solidFill>
              <w14:schemeClr w14:val="tx1"/>
            </w14:solidFill>
          </w14:textFill>
        </w:rPr>
        <w:t>扣除履约保证金500元。</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（3）与中标人每月按合同约定结算营业款，水电费按宿州市水电费统一标准收取（目前水按照2.35元/吨、电0.7元/度</w:t>
      </w:r>
      <w:r>
        <w:rPr>
          <w:rFonts w:hint="eastAsia" w:ascii="宋体" w:hAnsi="宋体" w:cs="宋体"/>
          <w:b/>
          <w:bCs/>
          <w:color w:val="000000" w:themeColor="text1"/>
          <w:sz w:val="24"/>
          <w:highlight w:val="none"/>
          <w14:textFill>
            <w14:solidFill>
              <w14:schemeClr w14:val="tx1"/>
            </w14:solidFill>
          </w14:textFill>
        </w:rPr>
        <w:t>，如有政策调整双方再行协商）</w:t>
      </w:r>
      <w:r>
        <w:rPr>
          <w:rFonts w:hint="eastAsia" w:ascii="宋体" w:hAnsi="宋体" w:cs="宋体"/>
          <w:color w:val="000000" w:themeColor="text1"/>
          <w:sz w:val="24"/>
          <w:highlight w:val="none"/>
          <w14:textFill>
            <w14:solidFill>
              <w14:schemeClr w14:val="tx1"/>
            </w14:solidFill>
          </w14:textFill>
        </w:rPr>
        <w:t>实行代缴代扣，每月扣除水电费及履约保证金扣除金额后将剩余经营款打入中标人账户。如开通燃气后，燃气费</w:t>
      </w:r>
      <w:r>
        <w:rPr>
          <w:rFonts w:hint="eastAsia" w:ascii="宋体" w:hAnsi="宋体" w:cs="宋体"/>
          <w:b/>
          <w:bCs/>
          <w:color w:val="000000" w:themeColor="text1"/>
          <w:sz w:val="24"/>
          <w:highlight w:val="none"/>
          <w14:textFill>
            <w14:solidFill>
              <w14:schemeClr w14:val="tx1"/>
            </w14:solidFill>
          </w14:textFill>
        </w:rPr>
        <w:t>由</w:t>
      </w:r>
      <w:r>
        <w:rPr>
          <w:rFonts w:hint="eastAsia" w:ascii="宋体" w:hAnsi="宋体" w:cs="宋体"/>
          <w:color w:val="000000" w:themeColor="text1"/>
          <w:sz w:val="24"/>
          <w:highlight w:val="none"/>
          <w14:textFill>
            <w14:solidFill>
              <w14:schemeClr w14:val="tx1"/>
            </w14:solidFill>
          </w14:textFill>
        </w:rPr>
        <w:t>中标人自行缴纳。</w:t>
      </w:r>
      <w:r>
        <w:rPr>
          <w:rFonts w:hint="eastAsia" w:ascii="宋体" w:hAnsi="宋体" w:cs="宋体"/>
          <w:color w:val="000000" w:themeColor="text1"/>
          <w:sz w:val="24"/>
          <w:highlight w:val="none"/>
          <w14:textFill>
            <w14:solidFill>
              <w14:schemeClr w14:val="tx1"/>
            </w14:solidFill>
          </w14:textFill>
        </w:rPr>
        <w:t>如预留燃气接口不够，中标人自行联系燃气公司按规范添置，费用自理。</w:t>
      </w:r>
    </w:p>
    <w:p>
      <w:pPr>
        <w:spacing w:line="5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中标人签订合同后按半年或年度缴纳投标报价的水资源管理费、污水处理费、垃圾清运及垃圾处理费等费用，由中标单位转账到学校财务处指定账户或从经营款中扣除。</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（4）中标人要注重公益性，建立成本核算机制，严格控制毛利润。</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（5）签订风险责任承诺。</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中标人必须对自身经营风险承担全部的责任，与校方签订《食品与消防安全责任书》并对卫生与安全责任做出明确承诺。</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①中标人要按投标书中的条款和双方签订的合同规定，承担全部的安全、卫生、质量、价格、效益、风险等责任。</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②中标人在经营过程中与外界发生的一切债权、债务等纠纷均与学校无关。</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③中标人不得以任何理由不按时或不充足供应</w:t>
      </w:r>
      <w:r>
        <w:rPr>
          <w:rFonts w:hint="eastAsia" w:ascii="宋体" w:hAnsi="宋体" w:cs="宋体"/>
          <w:b/>
          <w:bCs/>
          <w:color w:val="000000" w:themeColor="text1"/>
          <w:sz w:val="24"/>
          <w:highlight w:val="none"/>
          <w14:textFill>
            <w14:solidFill>
              <w14:schemeClr w14:val="tx1"/>
            </w14:solidFill>
          </w14:textFill>
        </w:rPr>
        <w:t>师生餐饮服务</w:t>
      </w:r>
      <w:r>
        <w:rPr>
          <w:rFonts w:hint="eastAsia" w:ascii="宋体" w:hAnsi="宋体" w:cs="宋体"/>
          <w:color w:val="000000" w:themeColor="text1"/>
          <w:sz w:val="24"/>
          <w:highlight w:val="none"/>
          <w14:textFill>
            <w14:solidFill>
              <w14:schemeClr w14:val="tx1"/>
            </w14:solidFill>
          </w14:textFill>
        </w:rPr>
        <w:t>，否则视为违反合同。</w:t>
      </w:r>
    </w:p>
    <w:p>
      <w:pPr>
        <w:spacing w:line="5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7.日常考核及退出机制</w:t>
      </w:r>
    </w:p>
    <w:p>
      <w:pPr>
        <w:spacing w:line="360" w:lineRule="auto"/>
        <w:ind w:firstLine="48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（1）严格执行《食品安全法》（</w:t>
      </w:r>
      <w:r>
        <w:rPr>
          <w:rFonts w:hint="eastAsia" w:ascii="宋体" w:hAnsi="宋体" w:cs="宋体"/>
          <w:b/>
          <w:bCs/>
          <w:color w:val="000000" w:themeColor="text1"/>
          <w:sz w:val="24"/>
          <w:highlight w:val="none"/>
          <w14:textFill>
            <w14:solidFill>
              <w14:schemeClr w14:val="tx1"/>
            </w14:solidFill>
          </w14:textFill>
        </w:rPr>
        <w:t>2021年修订</w:t>
      </w:r>
      <w:r>
        <w:rPr>
          <w:rFonts w:hint="eastAsia" w:ascii="宋体" w:hAnsi="宋体" w:cs="宋体"/>
          <w:color w:val="000000" w:themeColor="text1"/>
          <w:sz w:val="24"/>
          <w:highlight w:val="none"/>
          <w14:textFill>
            <w14:solidFill>
              <w14:schemeClr w14:val="tx1"/>
            </w14:solidFill>
          </w14:textFill>
        </w:rPr>
        <w:t>）、《学校食品安全与营养健康管理规定》、《消防法》、《皖北卫生职业学院托管食堂管理办法》和其他国家、省厅相关文件、管理制度和A级食堂考核等要求。</w:t>
      </w:r>
      <w:r>
        <w:rPr>
          <w:rFonts w:hint="eastAsia" w:ascii="宋体" w:hAnsi="宋体"/>
          <w:b/>
          <w:bCs/>
          <w:color w:val="000000" w:themeColor="text1"/>
          <w:sz w:val="24"/>
          <w:highlight w:val="none"/>
          <w14:textFill>
            <w14:solidFill>
              <w14:schemeClr w14:val="tx1"/>
            </w14:solidFill>
          </w14:textFill>
        </w:rPr>
        <w:t>合同期内因食堂提档升级或学校发展需要，学校可能会对食堂进行改造，经营方须无条件服从。</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（2）日常考核</w:t>
      </w:r>
    </w:p>
    <w:p>
      <w:pPr>
        <w:spacing w:line="500" w:lineRule="exact"/>
        <w:ind w:firstLine="468"/>
        <w:rPr>
          <w:color w:val="000000" w:themeColor="text1"/>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经营服务期限：3年（2+1），中标后先签订2年经营服务合同，经营期间每年由学校总务处等相关部门进行师生满意度考核，对综合满意度达到80%以上（含80%），</w:t>
      </w:r>
      <w:r>
        <w:rPr>
          <w:rFonts w:hint="eastAsia" w:ascii="宋体" w:hAnsi="宋体" w:cs="宋体"/>
          <w:b/>
          <w:bCs/>
          <w:color w:val="000000" w:themeColor="text1"/>
          <w:sz w:val="24"/>
          <w:szCs w:val="24"/>
          <w:highlight w:val="none"/>
          <w14:textFill>
            <w14:solidFill>
              <w14:schemeClr w14:val="tx1"/>
            </w14:solidFill>
          </w14:textFill>
        </w:rPr>
        <w:t>且前2年合同期内无重大食品安全事件；</w:t>
      </w: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被校方</w:t>
      </w: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因食品安全</w:t>
      </w: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负面</w:t>
      </w: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问题书面</w:t>
      </w: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约谈</w:t>
      </w: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整改</w:t>
      </w:r>
      <w:r>
        <w:rPr>
          <w:rFonts w:hint="eastAsia" w:asciiTheme="minorEastAsia" w:hAnsiTheme="minorEastAsia" w:eastAsiaTheme="minorEastAsia" w:cstheme="minorEastAsia"/>
          <w:b/>
          <w:bCs/>
          <w:snapToGrid w:val="0"/>
          <w:color w:val="000000" w:themeColor="text1"/>
          <w:kern w:val="0"/>
          <w:sz w:val="24"/>
          <w:szCs w:val="24"/>
          <w:highlight w:val="none"/>
          <w:lang w:eastAsia="zh-CN"/>
          <w14:textFill>
            <w14:solidFill>
              <w14:schemeClr w14:val="tx1"/>
            </w14:solidFill>
          </w14:textFill>
        </w:rPr>
        <w:t>不多于</w:t>
      </w: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3</w:t>
      </w: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次</w:t>
      </w: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；被省、市、区市场监管等部门立案查处不多于1次且及时整改落实的，</w:t>
      </w:r>
      <w:r>
        <w:rPr>
          <w:rFonts w:hint="eastAsia" w:ascii="宋体" w:hAnsi="宋体" w:cs="宋体"/>
          <w:b/>
          <w:bCs/>
          <w:color w:val="000000" w:themeColor="text1"/>
          <w:sz w:val="24"/>
          <w:highlight w:val="none"/>
          <w14:textFill>
            <w14:solidFill>
              <w14:schemeClr w14:val="tx1"/>
            </w14:solidFill>
          </w14:textFill>
        </w:rPr>
        <w:t>经学校研究同意可以续签第3年合同。</w:t>
      </w:r>
    </w:p>
    <w:p>
      <w:pPr>
        <w:spacing w:line="500" w:lineRule="exact"/>
        <w:ind w:firstLine="470" w:firstLineChars="195"/>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合同期满，食堂内学校提供设施设备完好无损，同时中标单位已完全承担全部经济与法律责任（如经济、劳工、合约纠纷、赔偿责任等）并妥善处理后，学校无息退还剩余履约保证金。</w:t>
      </w:r>
    </w:p>
    <w:p>
      <w:pPr>
        <w:spacing w:line="500" w:lineRule="exact"/>
        <w:ind w:firstLine="468" w:firstLineChars="195"/>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bCs/>
          <w:color w:val="000000" w:themeColor="text1"/>
          <w:sz w:val="24"/>
          <w:highlight w:val="none"/>
          <w14:textFill>
            <w14:solidFill>
              <w14:schemeClr w14:val="tx1"/>
            </w14:solidFill>
          </w14:textFill>
        </w:rPr>
        <w:t>退出机制</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①正常退出。合同到期自动终止，正常退出。合同到期后，根据合同约定，双方结清相关费用，办理移交手续后，经营者自行退出，合同自动终止。</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②提前退出。出现不可抗拒因素，经营者可提前退出，未尽事宜双方协商解决；因特殊原因经营者无法继续经营，</w:t>
      </w:r>
      <w:r>
        <w:rPr>
          <w:rFonts w:hint="eastAsia" w:ascii="宋体" w:hAnsi="宋体" w:cs="宋体"/>
          <w:b/>
          <w:bCs/>
          <w:color w:val="000000" w:themeColor="text1"/>
          <w:sz w:val="24"/>
          <w:highlight w:val="none"/>
          <w14:textFill>
            <w14:solidFill>
              <w14:schemeClr w14:val="tx1"/>
            </w14:solidFill>
          </w14:textFill>
        </w:rPr>
        <w:t>可提前6个月书面申请，</w:t>
      </w:r>
      <w:r>
        <w:rPr>
          <w:rFonts w:hint="eastAsia" w:ascii="宋体" w:hAnsi="宋体" w:cs="宋体"/>
          <w:color w:val="000000" w:themeColor="text1"/>
          <w:sz w:val="24"/>
          <w:highlight w:val="none"/>
          <w14:textFill>
            <w14:solidFill>
              <w14:schemeClr w14:val="tx1"/>
            </w14:solidFill>
          </w14:textFill>
        </w:rPr>
        <w:t>经学校研究批准后，按协议约定办理相关手续后，终止协议。</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③强制退出</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对引进的中标人，在经营期内出现下列情况之一，学校有权取消其经营资格，责令退出食堂经营，投入的装修、设备等全部归校方所有。</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A.发生食物中毒、火灾及违反规定给学校造成重大不良影响的；</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B.引进的中标人在学校经营过程中违法而受到司法部门处理的；</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C.因擅自提高价格，或因食品卫生安全和服务质量存在问题等引发群体事件影响恶劣的；</w:t>
      </w:r>
    </w:p>
    <w:p>
      <w:pPr>
        <w:spacing w:line="500" w:lineRule="exact"/>
        <w:ind w:firstLine="49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D.考核符合退出条件的；</w:t>
      </w:r>
    </w:p>
    <w:p>
      <w:pPr>
        <w:spacing w:line="500" w:lineRule="exact"/>
        <w:ind w:firstLine="495"/>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w:t>
      </w:r>
      <w:r>
        <w:rPr>
          <w:rFonts w:hint="eastAsia" w:ascii="宋体" w:hAnsi="宋体" w:cs="宋体"/>
          <w:bCs/>
          <w:color w:val="000000" w:themeColor="text1"/>
          <w:sz w:val="24"/>
          <w:highlight w:val="none"/>
          <w14:textFill>
            <w14:solidFill>
              <w14:schemeClr w14:val="tx1"/>
            </w14:solidFill>
          </w14:textFill>
        </w:rPr>
        <w:t>有转包和分包的；</w:t>
      </w:r>
    </w:p>
    <w:p>
      <w:pPr>
        <w:spacing w:line="500" w:lineRule="exact"/>
        <w:ind w:firstLine="495"/>
        <w:rPr>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F.没有认真落实省教育厅下达学校“面向采购”消费帮扶乡村振兴任务的。</w:t>
      </w:r>
    </w:p>
    <w:p>
      <w:pPr>
        <w:pStyle w:val="2"/>
        <w:ind w:firstLine="640"/>
        <w:rPr>
          <w:color w:val="000000" w:themeColor="text1"/>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食堂基本大伙品目参考报价单</w:t>
      </w:r>
    </w:p>
    <w:tbl>
      <w:tblPr>
        <w:tblStyle w:val="1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058"/>
        <w:gridCol w:w="823"/>
        <w:gridCol w:w="1061"/>
        <w:gridCol w:w="4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菜品名称</w:t>
            </w:r>
          </w:p>
        </w:tc>
        <w:tc>
          <w:tcPr>
            <w:tcW w:w="18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份量</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报价</w:t>
            </w:r>
          </w:p>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（元）</w:t>
            </w:r>
          </w:p>
        </w:tc>
        <w:tc>
          <w:tcPr>
            <w:tcW w:w="40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单位</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数量</w:t>
            </w:r>
          </w:p>
        </w:tc>
        <w:tc>
          <w:tcPr>
            <w:tcW w:w="106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白米饭</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精面馒头</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早、中、晚三餐必提供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鲜肉包子</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早、晚餐必提供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素馅包子</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早、晚餐必提供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茶叶蛋</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个</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早餐必提供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白米粥</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碗口直径15cm,早、晚餐必提供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杂粮粥</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碗口直径15cm,早、晚餐必提供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豆浆</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碗口直径15cm, 早餐必提供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素菜面条</w:t>
            </w:r>
          </w:p>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（挂面）</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碗口直径17cm, 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肉丝汤面条</w:t>
            </w:r>
          </w:p>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（挂面）</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１</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碗口直径17cm, 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现冲鸡蛋高汤</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１</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汤质必须为大骨汤或鸡汤类高汤，碗口直径15cm, 早餐必提供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低价素菜</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120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如土豆丝类，中、晚餐必提供，每餐不少于2个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时令叶类素菜</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中、晚餐必提供，所有菜品每餐不少于15个。其中，“荤素混炒”中的荤菜以猪肉丝、肉片报价，荤素比为4:6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时令瓜果类素菜</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荤素混炒</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荤素混烧</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中、晚餐必提供，所有菜品每餐不少于10个。其中，“荤素混烧”中的荤菜以猪肉报价，荤素比为5:5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纯烧猪肉</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纯烧鸡肉</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纯烧鱼肉</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蛋炒饭</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炒面</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免费汤</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中午10:40-12:10</w:t>
            </w:r>
          </w:p>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下午4:50-6:10必提供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饮品</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毫升</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严禁使用添加剂及调色剂等调制，</w:t>
            </w:r>
            <w:r>
              <w:rPr>
                <w:rFonts w:hint="eastAsia" w:ascii="宋体" w:hAnsi="宋体" w:cs="宋体"/>
                <w:b/>
                <w:bCs/>
                <w:color w:val="000000" w:themeColor="text1"/>
                <w:sz w:val="24"/>
                <w:highlight w:val="none"/>
                <w14:textFill>
                  <w14:solidFill>
                    <w14:schemeClr w14:val="tx1"/>
                  </w14:solidFill>
                </w14:textFill>
              </w:rPr>
              <w:t>可用果蔬等制作，中、晚餐必提供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合计报价</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bl>
    <w:p>
      <w:pPr>
        <w:spacing w:line="5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说明：</w:t>
      </w:r>
    </w:p>
    <w:p>
      <w:pPr>
        <w:pStyle w:val="28"/>
        <w:widowControl/>
        <w:spacing w:line="500" w:lineRule="exact"/>
        <w:ind w:firstLine="660" w:firstLineChars="27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1.以上品目为本次评标的参考品目，该报价也作为实际运营时的考核价格，各投标人要注意谨慎合理报价。</w:t>
      </w:r>
    </w:p>
    <w:p>
      <w:pPr>
        <w:pStyle w:val="28"/>
        <w:widowControl/>
        <w:spacing w:line="500" w:lineRule="exact"/>
        <w:ind w:firstLine="660" w:firstLineChars="27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2.实际运营过程中，上述菜品每天在基本大伙中按备注要求必须提供，但不限于上述品种。</w:t>
      </w:r>
    </w:p>
    <w:p>
      <w:pPr>
        <w:pStyle w:val="28"/>
        <w:widowControl/>
        <w:spacing w:line="500" w:lineRule="exact"/>
        <w:ind w:firstLine="660" w:firstLineChars="27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3.实际运营过程中，给学生所盛的份量不得低于上述参考份量，如份量明显高于上述参考份量，可等比例上浮价格。</w:t>
      </w:r>
    </w:p>
    <w:p>
      <w:pPr>
        <w:pStyle w:val="28"/>
        <w:widowControl/>
        <w:spacing w:line="500" w:lineRule="exact"/>
        <w:ind w:firstLine="660" w:firstLineChars="27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4.所有按重量报价的菜品均要以去除汤质的重量为准。</w:t>
      </w:r>
    </w:p>
    <w:p>
      <w:pPr>
        <w:pStyle w:val="28"/>
        <w:widowControl/>
        <w:spacing w:line="500" w:lineRule="exact"/>
        <w:ind w:firstLine="660" w:firstLineChars="27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为保持价格的相对稳定，实际运营过程中，同等质量、同等重量的菜品价格不得高于所报参考价格，并且一般均不予调价。对于由于市场波动幅度明显较大，可报餐饮中心，经学院总务处研究后予以调整，但上浮幅度不得高于原报价的30%。</w:t>
      </w:r>
    </w:p>
    <w:p>
      <w:pPr>
        <w:pStyle w:val="28"/>
        <w:widowControl/>
        <w:spacing w:line="500" w:lineRule="exact"/>
        <w:ind w:firstLine="660" w:firstLineChars="27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6.上述表格中未涉及到的品种参照上表中类似品目进行定价，并报总务处处备案。</w:t>
      </w:r>
    </w:p>
    <w:p>
      <w:pPr>
        <w:pStyle w:val="28"/>
        <w:widowControl/>
        <w:spacing w:line="500" w:lineRule="exact"/>
        <w:ind w:firstLine="419" w:firstLineChars="174"/>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8.其他要求</w:t>
      </w:r>
    </w:p>
    <w:p>
      <w:pPr>
        <w:autoSpaceDE w:val="0"/>
        <w:autoSpaceDN w:val="0"/>
        <w:adjustRightInd w:val="0"/>
        <w:spacing w:line="5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（1）中标人经营过程中出现安全、卫生等重大问题时，学校有权用履约保证金先行支付。</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（2）中标人必须自主经营，严禁任何形式的转包和分包，否则，校方除立即解除合同外，没收全部履约保证金。</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合同终止时，中标人必须保证食堂内设施设备（包含中标人投资）完好无损，以及在已完全承担全部经济与法律责任（如经济、劳工、合约纠纷、赔偿责任等）并妥善处理后，根据日常考核等情况退还履约保证金（不计利息）。</w:t>
      </w:r>
    </w:p>
    <w:p>
      <w:pPr>
        <w:spacing w:line="500" w:lineRule="exact"/>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（4）投标人须在投标文件中承诺：如我公司中标，我公司将在</w:t>
      </w:r>
      <w:r>
        <w:rPr>
          <w:rFonts w:hint="eastAsia" w:ascii="宋体" w:hAnsi="宋体" w:cs="宋体"/>
          <w:b/>
          <w:bCs/>
          <w:color w:val="000000" w:themeColor="text1"/>
          <w:sz w:val="24"/>
          <w:highlight w:val="none"/>
          <w14:textFill>
            <w14:solidFill>
              <w14:schemeClr w14:val="tx1"/>
            </w14:solidFill>
          </w14:textFill>
        </w:rPr>
        <w:t>202</w:t>
      </w: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年</w:t>
      </w:r>
      <w:r>
        <w:rPr>
          <w:rFonts w:hint="eastAsia" w:ascii="宋体" w:hAnsi="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月</w:t>
      </w:r>
      <w:r>
        <w:rPr>
          <w:rFonts w:hint="eastAsia" w:ascii="宋体" w:hAnsi="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日</w:t>
      </w:r>
      <w:r>
        <w:rPr>
          <w:rFonts w:hint="eastAsia" w:ascii="宋体" w:hAnsi="宋体" w:cs="宋体"/>
          <w:b/>
          <w:bCs/>
          <w:color w:val="000000" w:themeColor="text1"/>
          <w:sz w:val="24"/>
          <w:highlight w:val="none"/>
          <w14:textFill>
            <w14:solidFill>
              <w14:schemeClr w14:val="tx1"/>
            </w14:solidFill>
          </w14:textFill>
        </w:rPr>
        <w:t>前完成装饰装修</w:t>
      </w:r>
      <w:r>
        <w:rPr>
          <w:rFonts w:hint="eastAsia" w:ascii="宋体" w:hAnsi="宋体" w:cs="宋体"/>
          <w:b/>
          <w:bCs/>
          <w:color w:val="000000" w:themeColor="text1"/>
          <w:sz w:val="24"/>
          <w:highlight w:val="none"/>
          <w14:textFill>
            <w14:solidFill>
              <w14:schemeClr w14:val="tx1"/>
            </w14:solidFill>
          </w14:textFill>
        </w:rPr>
        <w:t>和设备人员配备，</w:t>
      </w:r>
      <w:r>
        <w:rPr>
          <w:rFonts w:hint="eastAsia" w:ascii="宋体" w:hAnsi="宋体" w:cs="宋体"/>
          <w:b/>
          <w:bCs/>
          <w:color w:val="000000" w:themeColor="text1"/>
          <w:sz w:val="24"/>
          <w:highlight w:val="none"/>
          <w14:textFill>
            <w14:solidFill>
              <w14:schemeClr w14:val="tx1"/>
            </w14:solidFill>
          </w14:textFill>
        </w:rPr>
        <w:t>可以</w:t>
      </w:r>
      <w:r>
        <w:rPr>
          <w:rFonts w:hint="eastAsia" w:ascii="宋体" w:hAnsi="宋体" w:cs="宋体"/>
          <w:b/>
          <w:bCs/>
          <w:color w:val="000000" w:themeColor="text1"/>
          <w:sz w:val="24"/>
          <w:highlight w:val="none"/>
          <w14:textFill>
            <w14:solidFill>
              <w14:schemeClr w14:val="tx1"/>
            </w14:solidFill>
          </w14:textFill>
        </w:rPr>
        <w:t>完全</w:t>
      </w:r>
      <w:r>
        <w:rPr>
          <w:rFonts w:hint="eastAsia" w:ascii="宋体" w:hAnsi="宋体" w:cs="宋体"/>
          <w:b/>
          <w:bCs/>
          <w:color w:val="000000" w:themeColor="text1"/>
          <w:sz w:val="24"/>
          <w:highlight w:val="none"/>
          <w14:textFill>
            <w14:solidFill>
              <w14:schemeClr w14:val="tx1"/>
            </w14:solidFill>
          </w14:textFill>
        </w:rPr>
        <w:t>正常投入经营，如达不到经营条件，招标人可以扣除其10万元经营款作为违约金。</w:t>
      </w:r>
    </w:p>
    <w:p>
      <w:pPr>
        <w:widowControl/>
        <w:spacing w:line="360" w:lineRule="auto"/>
        <w:jc w:val="left"/>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（四）下列情况之一者，投标书无效：</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1.标书未密封或逾期送达；</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2.未加盖本单位公章和法人代表（法人代表委托人）的签章；</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3.投标书书写潦草，字迹模糊难以辨认的；</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4.投标书编制不符合招标文件要求的；</w:t>
      </w:r>
    </w:p>
    <w:p>
      <w:pPr>
        <w:spacing w:line="500" w:lineRule="exact"/>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5.授权委托书中委托人非本人签字或盖章的。</w:t>
      </w:r>
    </w:p>
    <w:p>
      <w:pPr>
        <w:pStyle w:val="8"/>
        <w:ind w:firstLine="0" w:firstLineChars="0"/>
        <w:jc w:val="center"/>
        <w:rPr>
          <w:snapToGrid w:val="0"/>
          <w:color w:val="000000" w:themeColor="text1"/>
          <w:kern w:val="0"/>
          <w:highlight w:val="none"/>
          <w14:textFill>
            <w14:solidFill>
              <w14:schemeClr w14:val="tx1"/>
            </w14:solidFill>
          </w14:textFill>
        </w:rPr>
      </w:pPr>
      <w:bookmarkStart w:id="92" w:name="_Toc1253"/>
    </w:p>
    <w:p>
      <w:pPr>
        <w:pStyle w:val="8"/>
        <w:ind w:firstLine="0" w:firstLineChars="0"/>
        <w:jc w:val="center"/>
        <w:rPr>
          <w:rFonts w:hint="eastAsia"/>
          <w:snapToGrid w:val="0"/>
          <w:color w:val="000000" w:themeColor="text1"/>
          <w:kern w:val="0"/>
          <w:highlight w:val="none"/>
          <w14:textFill>
            <w14:solidFill>
              <w14:schemeClr w14:val="tx1"/>
            </w14:solidFill>
          </w14:textFill>
        </w:rPr>
      </w:pPr>
    </w:p>
    <w:p>
      <w:pPr>
        <w:pStyle w:val="8"/>
        <w:ind w:firstLine="0" w:firstLineChars="0"/>
        <w:jc w:val="center"/>
        <w:rPr>
          <w:rFonts w:hint="eastAsia"/>
          <w:snapToGrid w:val="0"/>
          <w:color w:val="000000" w:themeColor="text1"/>
          <w:kern w:val="0"/>
          <w:highlight w:val="none"/>
          <w14:textFill>
            <w14:solidFill>
              <w14:schemeClr w14:val="tx1"/>
            </w14:solidFill>
          </w14:textFill>
        </w:rPr>
      </w:pPr>
    </w:p>
    <w:p>
      <w:pPr>
        <w:pStyle w:val="8"/>
        <w:ind w:firstLine="0" w:firstLineChars="0"/>
        <w:jc w:val="center"/>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二、商务要求</w:t>
      </w:r>
      <w:bookmarkEnd w:id="86"/>
      <w:bookmarkEnd w:id="87"/>
      <w:bookmarkEnd w:id="88"/>
      <w:bookmarkEnd w:id="89"/>
      <w:bookmarkEnd w:id="90"/>
      <w:bookmarkEnd w:id="92"/>
    </w:p>
    <w:tbl>
      <w:tblPr>
        <w:tblStyle w:val="18"/>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392"/>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62" w:type="pct"/>
            <w:vAlign w:val="center"/>
          </w:tcPr>
          <w:p>
            <w:pPr>
              <w:wordWrap w:val="0"/>
              <w:spacing w:line="36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序号</w:t>
            </w:r>
          </w:p>
        </w:tc>
        <w:tc>
          <w:tcPr>
            <w:tcW w:w="771" w:type="pct"/>
            <w:vAlign w:val="center"/>
          </w:tcPr>
          <w:p>
            <w:pPr>
              <w:wordWrap w:val="0"/>
              <w:spacing w:line="36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内容</w:t>
            </w:r>
          </w:p>
        </w:tc>
        <w:tc>
          <w:tcPr>
            <w:tcW w:w="3865" w:type="pct"/>
            <w:vAlign w:val="center"/>
          </w:tcPr>
          <w:p>
            <w:pPr>
              <w:wordWrap w:val="0"/>
              <w:spacing w:line="36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62" w:type="pct"/>
            <w:vAlign w:val="center"/>
          </w:tcPr>
          <w:p>
            <w:pPr>
              <w:wordWrap w:val="0"/>
              <w:spacing w:line="36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w:t>
            </w:r>
          </w:p>
        </w:tc>
        <w:tc>
          <w:tcPr>
            <w:tcW w:w="771" w:type="pct"/>
            <w:vAlign w:val="center"/>
          </w:tcPr>
          <w:p>
            <w:pPr>
              <w:wordWrap w:val="0"/>
              <w:spacing w:line="36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服务期</w:t>
            </w:r>
          </w:p>
        </w:tc>
        <w:tc>
          <w:tcPr>
            <w:tcW w:w="3865" w:type="pct"/>
            <w:vAlign w:val="center"/>
          </w:tcPr>
          <w:p>
            <w:pPr>
              <w:spacing w:line="500" w:lineRule="exact"/>
              <w:ind w:firstLine="468"/>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经营服务期限：3年（2+1），中标后先签订2年经营服务合同，经营期间每年由学校总务处等相关部门进行师生满意度考核，对综合满意度达到80%以上（含80%），</w:t>
            </w:r>
            <w:r>
              <w:rPr>
                <w:rFonts w:hint="eastAsia" w:ascii="宋体" w:hAnsi="宋体" w:cs="宋体"/>
                <w:b/>
                <w:bCs/>
                <w:color w:val="000000" w:themeColor="text1"/>
                <w:sz w:val="24"/>
                <w:szCs w:val="24"/>
                <w:highlight w:val="none"/>
                <w14:textFill>
                  <w14:solidFill>
                    <w14:schemeClr w14:val="tx1"/>
                  </w14:solidFill>
                </w14:textFill>
              </w:rPr>
              <w:t>且前2年合同期内无重大食品安全事件；</w:t>
            </w: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被校方</w:t>
            </w: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因食品安全</w:t>
            </w: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负面</w:t>
            </w: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问题书面</w:t>
            </w: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约谈</w:t>
            </w: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整改</w:t>
            </w:r>
            <w:r>
              <w:rPr>
                <w:rFonts w:hint="eastAsia" w:asciiTheme="minorEastAsia" w:hAnsiTheme="minorEastAsia" w:eastAsiaTheme="minorEastAsia" w:cstheme="minorEastAsia"/>
                <w:b/>
                <w:bCs/>
                <w:snapToGrid w:val="0"/>
                <w:color w:val="000000" w:themeColor="text1"/>
                <w:kern w:val="0"/>
                <w:sz w:val="24"/>
                <w:szCs w:val="24"/>
                <w:highlight w:val="none"/>
                <w:lang w:val="en-US" w:eastAsia="zh-CN"/>
                <w14:textFill>
                  <w14:solidFill>
                    <w14:schemeClr w14:val="tx1"/>
                  </w14:solidFill>
                </w14:textFill>
              </w:rPr>
              <w:t>不多于</w:t>
            </w: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3</w:t>
            </w: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次</w:t>
            </w: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；被省、市、区市场监管等部门立案查处不多于1次且及时整改落实的，</w:t>
            </w:r>
            <w:r>
              <w:rPr>
                <w:rFonts w:hint="eastAsia" w:ascii="宋体" w:hAnsi="宋体" w:cs="宋体"/>
                <w:b/>
                <w:bCs/>
                <w:color w:val="000000" w:themeColor="text1"/>
                <w:sz w:val="24"/>
                <w:highlight w:val="none"/>
                <w14:textFill>
                  <w14:solidFill>
                    <w14:schemeClr w14:val="tx1"/>
                  </w14:solidFill>
                </w14:textFill>
              </w:rPr>
              <w:t>经学校研究同意可以续签第3年合同。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362" w:type="pct"/>
            <w:vAlign w:val="center"/>
          </w:tcPr>
          <w:p>
            <w:pPr>
              <w:wordWrap w:val="0"/>
              <w:spacing w:line="36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w:t>
            </w:r>
          </w:p>
        </w:tc>
        <w:tc>
          <w:tcPr>
            <w:tcW w:w="771" w:type="pct"/>
            <w:vAlign w:val="center"/>
          </w:tcPr>
          <w:p>
            <w:pPr>
              <w:wordWrap w:val="0"/>
              <w:spacing w:line="36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售后服务</w:t>
            </w:r>
          </w:p>
        </w:tc>
        <w:tc>
          <w:tcPr>
            <w:tcW w:w="3865" w:type="pct"/>
            <w:vAlign w:val="center"/>
          </w:tcPr>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362" w:type="pct"/>
            <w:vAlign w:val="center"/>
          </w:tcPr>
          <w:p>
            <w:pPr>
              <w:wordWrap w:val="0"/>
              <w:spacing w:line="36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w:t>
            </w:r>
          </w:p>
        </w:tc>
        <w:tc>
          <w:tcPr>
            <w:tcW w:w="771" w:type="pct"/>
            <w:vAlign w:val="center"/>
          </w:tcPr>
          <w:p>
            <w:pPr>
              <w:wordWrap w:val="0"/>
              <w:spacing w:line="36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验收</w:t>
            </w:r>
          </w:p>
        </w:tc>
        <w:tc>
          <w:tcPr>
            <w:tcW w:w="3865" w:type="pct"/>
            <w:vAlign w:val="center"/>
          </w:tcPr>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由采购人按照制定的考评办法进行考评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62" w:type="pct"/>
            <w:vAlign w:val="center"/>
          </w:tcPr>
          <w:p>
            <w:pPr>
              <w:wordWrap w:val="0"/>
              <w:spacing w:line="36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4</w:t>
            </w:r>
          </w:p>
        </w:tc>
        <w:tc>
          <w:tcPr>
            <w:tcW w:w="771" w:type="pct"/>
            <w:vAlign w:val="center"/>
          </w:tcPr>
          <w:p>
            <w:pPr>
              <w:wordWrap w:val="0"/>
              <w:spacing w:line="36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付款</w:t>
            </w:r>
          </w:p>
        </w:tc>
        <w:tc>
          <w:tcPr>
            <w:tcW w:w="3865" w:type="pct"/>
            <w:vAlign w:val="center"/>
          </w:tcPr>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付款人</w:t>
            </w:r>
            <w:r>
              <w:rPr>
                <w:rFonts w:hint="eastAsia" w:ascii="宋体" w:hAnsi="宋体" w:cs="宋体"/>
                <w:snapToGrid w:val="0"/>
                <w:color w:val="000000" w:themeColor="text1"/>
                <w:kern w:val="0"/>
                <w:sz w:val="24"/>
                <w:szCs w:val="24"/>
                <w:highlight w:val="none"/>
                <w14:textFill>
                  <w14:solidFill>
                    <w14:schemeClr w14:val="tx1"/>
                  </w14:solidFill>
                </w14:textFill>
              </w:rPr>
              <w:t>：皖北卫生职业学院</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付款（结算）方式：</w:t>
            </w:r>
            <w:r>
              <w:rPr>
                <w:rFonts w:hint="eastAsia" w:ascii="宋体" w:hAnsi="宋体" w:cs="宋体"/>
                <w:color w:val="000000" w:themeColor="text1"/>
                <w:sz w:val="24"/>
                <w:highlight w:val="none"/>
                <w14:textFill>
                  <w14:solidFill>
                    <w14:schemeClr w14:val="tx1"/>
                  </w14:solidFill>
                </w14:textFill>
              </w:rPr>
              <w:t>每月按合同约定结算营业款。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62" w:type="pct"/>
            <w:vAlign w:val="center"/>
          </w:tcPr>
          <w:p>
            <w:pPr>
              <w:wordWrap w:val="0"/>
              <w:spacing w:line="36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5</w:t>
            </w:r>
          </w:p>
        </w:tc>
        <w:tc>
          <w:tcPr>
            <w:tcW w:w="771" w:type="pct"/>
            <w:vAlign w:val="center"/>
          </w:tcPr>
          <w:p>
            <w:pPr>
              <w:wordWrap w:val="0"/>
              <w:spacing w:line="36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履约保证金</w:t>
            </w:r>
          </w:p>
        </w:tc>
        <w:tc>
          <w:tcPr>
            <w:tcW w:w="3865" w:type="pct"/>
            <w:vAlign w:val="center"/>
          </w:tcPr>
          <w:p>
            <w:pPr>
              <w:wordWrap w:val="0"/>
              <w:spacing w:line="360" w:lineRule="auto"/>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履约保证金形式：</w:t>
            </w:r>
            <w:r>
              <w:rPr>
                <w:rFonts w:hint="eastAsia" w:ascii="宋体" w:hAnsi="宋体" w:cs="宋体"/>
                <w:b/>
                <w:bCs/>
                <w:snapToGrid w:val="0"/>
                <w:color w:val="000000" w:themeColor="text1"/>
                <w:kern w:val="0"/>
                <w:sz w:val="24"/>
                <w:szCs w:val="24"/>
                <w:highlight w:val="none"/>
                <w14:textFill>
                  <w14:solidFill>
                    <w14:schemeClr w14:val="tx1"/>
                  </w14:solidFill>
                </w14:textFill>
              </w:rPr>
              <w:t>现金缴纳</w:t>
            </w:r>
            <w:r>
              <w:rPr>
                <w:rFonts w:hint="eastAsia" w:ascii="宋体" w:hAnsi="宋体" w:cs="宋体"/>
                <w:b/>
                <w:bCs/>
                <w:snapToGrid w:val="0"/>
                <w:color w:val="000000" w:themeColor="text1"/>
                <w:kern w:val="0"/>
                <w:sz w:val="24"/>
                <w:szCs w:val="24"/>
                <w:highlight w:val="none"/>
                <w:lang w:val="en-US" w:eastAsia="zh-CN"/>
                <w14:textFill>
                  <w14:solidFill>
                    <w14:schemeClr w14:val="tx1"/>
                  </w14:solidFill>
                </w14:textFill>
              </w:rPr>
              <w:t>44万</w:t>
            </w:r>
            <w:r>
              <w:rPr>
                <w:rFonts w:hint="eastAsia" w:ascii="宋体" w:hAnsi="宋体" w:cs="宋体"/>
                <w:b/>
                <w:bCs/>
                <w:snapToGrid w:val="0"/>
                <w:color w:val="000000" w:themeColor="text1"/>
                <w:kern w:val="0"/>
                <w:sz w:val="24"/>
                <w:szCs w:val="24"/>
                <w:highlight w:val="none"/>
                <w14:textFill>
                  <w14:solidFill>
                    <w14:schemeClr w14:val="tx1"/>
                  </w14:solidFill>
                </w14:textFill>
              </w:rPr>
              <w:t>，</w:t>
            </w:r>
            <w:r>
              <w:rPr>
                <w:rFonts w:hint="eastAsia" w:ascii="宋体" w:hAnsi="宋体" w:cs="宋体"/>
                <w:b/>
                <w:bCs/>
                <w:snapToGrid w:val="0"/>
                <w:color w:val="000000" w:themeColor="text1"/>
                <w:kern w:val="0"/>
                <w:sz w:val="24"/>
                <w:szCs w:val="24"/>
                <w:highlight w:val="none"/>
                <w:lang w:val="en-US" w:eastAsia="zh-CN"/>
                <w14:textFill>
                  <w14:solidFill>
                    <w14:schemeClr w14:val="tx1"/>
                  </w14:solidFill>
                </w14:textFill>
              </w:rPr>
              <w:t>合同签订签缴纳到学校指定的账户</w:t>
            </w:r>
            <w:r>
              <w:rPr>
                <w:rFonts w:hint="eastAsia" w:ascii="宋体" w:hAnsi="宋体" w:cs="宋体"/>
                <w:b/>
                <w:bCs/>
                <w:snapToGrid w:val="0"/>
                <w:color w:val="000000" w:themeColor="text1"/>
                <w:kern w:val="0"/>
                <w:sz w:val="24"/>
                <w:szCs w:val="24"/>
                <w:highlight w:val="none"/>
                <w14:textFill>
                  <w14:solidFill>
                    <w14:schemeClr w14:val="tx1"/>
                  </w14:solidFill>
                </w14:textFill>
              </w:rPr>
              <w:t>。</w:t>
            </w:r>
          </w:p>
          <w:p>
            <w:pPr>
              <w:wordWrap w:val="0"/>
              <w:spacing w:line="360" w:lineRule="auto"/>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履约保证金退还时间：合同到期后15日内，履约保证金无息退还。</w:t>
            </w:r>
          </w:p>
        </w:tc>
      </w:tr>
    </w:tbl>
    <w:p>
      <w:pPr>
        <w:wordWrap w:val="0"/>
        <w:spacing w:line="500" w:lineRule="exact"/>
        <w:rPr>
          <w:rFonts w:ascii="宋体" w:hAnsi="宋体" w:cs="宋体"/>
          <w:snapToGrid w:val="0"/>
          <w:color w:val="000000" w:themeColor="text1"/>
          <w:kern w:val="0"/>
          <w:szCs w:val="21"/>
          <w:highlight w:val="none"/>
          <w14:textFill>
            <w14:solidFill>
              <w14:schemeClr w14:val="tx1"/>
            </w14:solidFill>
          </w14:textFill>
        </w:rPr>
      </w:pPr>
    </w:p>
    <w:p>
      <w:pPr>
        <w:pStyle w:val="7"/>
        <w:rPr>
          <w:snapToGrid w:val="0"/>
          <w:color w:val="000000" w:themeColor="text1"/>
          <w:kern w:val="0"/>
          <w:highlight w:val="none"/>
          <w14:textFill>
            <w14:solidFill>
              <w14:schemeClr w14:val="tx1"/>
            </w14:solidFill>
          </w14:textFill>
        </w:rPr>
      </w:pPr>
      <w:bookmarkStart w:id="93" w:name="_Toc482084460"/>
      <w:r>
        <w:rPr>
          <w:rFonts w:hint="eastAsia"/>
          <w:snapToGrid w:val="0"/>
          <w:color w:val="000000" w:themeColor="text1"/>
          <w:kern w:val="0"/>
          <w:highlight w:val="none"/>
          <w14:textFill>
            <w14:solidFill>
              <w14:schemeClr w14:val="tx1"/>
            </w14:solidFill>
          </w14:textFill>
        </w:rPr>
        <w:br w:type="page"/>
      </w:r>
      <w:bookmarkStart w:id="94" w:name="_Toc5673"/>
      <w:bookmarkStart w:id="95" w:name="_Toc32360"/>
      <w:bookmarkStart w:id="96" w:name="_Toc8327"/>
      <w:bookmarkStart w:id="97" w:name="_Toc24398"/>
      <w:r>
        <w:rPr>
          <w:rFonts w:hint="eastAsia"/>
          <w:snapToGrid w:val="0"/>
          <w:color w:val="000000" w:themeColor="text1"/>
          <w:kern w:val="0"/>
          <w:highlight w:val="none"/>
          <w14:textFill>
            <w14:solidFill>
              <w14:schemeClr w14:val="tx1"/>
            </w14:solidFill>
          </w14:textFill>
        </w:rPr>
        <w:t>第四章 评标办法</w:t>
      </w:r>
      <w:bookmarkEnd w:id="93"/>
      <w:bookmarkEnd w:id="94"/>
      <w:bookmarkEnd w:id="95"/>
      <w:bookmarkEnd w:id="96"/>
      <w:bookmarkEnd w:id="97"/>
    </w:p>
    <w:p>
      <w:pPr>
        <w:pStyle w:val="8"/>
        <w:spacing w:line="520" w:lineRule="exact"/>
        <w:ind w:firstLine="482"/>
        <w:rPr>
          <w:snapToGrid w:val="0"/>
          <w:color w:val="000000" w:themeColor="text1"/>
          <w:kern w:val="0"/>
          <w:highlight w:val="none"/>
          <w14:textFill>
            <w14:solidFill>
              <w14:schemeClr w14:val="tx1"/>
            </w14:solidFill>
          </w14:textFill>
        </w:rPr>
      </w:pPr>
      <w:bookmarkStart w:id="98" w:name="_Toc9979"/>
      <w:bookmarkStart w:id="99" w:name="_Toc29190"/>
      <w:bookmarkStart w:id="100" w:name="_Toc30276"/>
      <w:bookmarkStart w:id="101" w:name="_Toc24663"/>
      <w:r>
        <w:rPr>
          <w:rFonts w:hint="eastAsia"/>
          <w:snapToGrid w:val="0"/>
          <w:color w:val="000000" w:themeColor="text1"/>
          <w:kern w:val="0"/>
          <w:highlight w:val="none"/>
          <w14:textFill>
            <w14:solidFill>
              <w14:schemeClr w14:val="tx1"/>
            </w14:solidFill>
          </w14:textFill>
        </w:rPr>
        <w:t>一、评标原则</w:t>
      </w:r>
      <w:bookmarkEnd w:id="98"/>
      <w:bookmarkEnd w:id="99"/>
      <w:bookmarkEnd w:id="100"/>
      <w:bookmarkEnd w:id="101"/>
    </w:p>
    <w:p>
      <w:pPr>
        <w:wordWrap w:val="0"/>
        <w:spacing w:line="52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本项目为非依法必须招标项目，不适用于《中华人民共和国招标投标法》及《中华人民共和国政府采购法》，故由招标人本着公平、公正、科学、择优的原则自定义交易规则。</w:t>
      </w:r>
    </w:p>
    <w:p>
      <w:pPr>
        <w:pStyle w:val="8"/>
        <w:spacing w:line="520" w:lineRule="exact"/>
        <w:ind w:firstLine="482"/>
        <w:jc w:val="both"/>
        <w:rPr>
          <w:snapToGrid w:val="0"/>
          <w:color w:val="000000" w:themeColor="text1"/>
          <w:kern w:val="0"/>
          <w:szCs w:val="24"/>
          <w:highlight w:val="none"/>
          <w14:textFill>
            <w14:solidFill>
              <w14:schemeClr w14:val="tx1"/>
            </w14:solidFill>
          </w14:textFill>
        </w:rPr>
      </w:pPr>
      <w:bookmarkStart w:id="102" w:name="_Toc32406"/>
      <w:bookmarkStart w:id="103" w:name="_Toc27872"/>
      <w:bookmarkStart w:id="104" w:name="_Toc15073"/>
      <w:bookmarkStart w:id="105" w:name="_Toc12772"/>
      <w:r>
        <w:rPr>
          <w:rFonts w:hint="eastAsia"/>
          <w:snapToGrid w:val="0"/>
          <w:color w:val="000000" w:themeColor="text1"/>
          <w:kern w:val="0"/>
          <w:szCs w:val="24"/>
          <w:highlight w:val="none"/>
          <w14:textFill>
            <w14:solidFill>
              <w14:schemeClr w14:val="tx1"/>
            </w14:solidFill>
          </w14:textFill>
        </w:rPr>
        <w:t>二、评审办法</w:t>
      </w:r>
      <w:bookmarkEnd w:id="102"/>
      <w:bookmarkEnd w:id="103"/>
      <w:bookmarkEnd w:id="104"/>
      <w:bookmarkEnd w:id="105"/>
    </w:p>
    <w:p>
      <w:pPr>
        <w:wordWrap w:val="0"/>
        <w:spacing w:line="520" w:lineRule="exact"/>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 xml:space="preserve">评标委员会对满足招标文件实质性要求的投标文件，按照本章的评分标准进行打分，并将所有投标人按得分由高到低顺序排列，按排列顺序推荐中标候选人。投标文件满足招标文件全部实质性要求，且按照评审因素的量化指标评审得分最高的投标人为排名第一的中标候选人。 </w:t>
      </w:r>
    </w:p>
    <w:p>
      <w:pPr>
        <w:spacing w:line="500" w:lineRule="exact"/>
        <w:ind w:firstLine="468"/>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评标委员会推荐</w:t>
      </w:r>
      <w:r>
        <w:rPr>
          <w:rFonts w:hint="eastAsia" w:ascii="宋体" w:hAnsi="宋体" w:cs="宋体"/>
          <w:b/>
          <w:bCs/>
          <w:snapToGrid w:val="0"/>
          <w:color w:val="000000" w:themeColor="text1"/>
          <w:kern w:val="0"/>
          <w:sz w:val="24"/>
          <w:szCs w:val="24"/>
          <w:highlight w:val="none"/>
          <w:lang w:eastAsia="zh-CN"/>
          <w14:textFill>
            <w14:solidFill>
              <w14:schemeClr w14:val="tx1"/>
            </w14:solidFill>
          </w14:textFill>
        </w:rPr>
        <w:t>不多于</w:t>
      </w:r>
      <w:r>
        <w:rPr>
          <w:rFonts w:hint="eastAsia" w:ascii="宋体" w:hAnsi="宋体" w:cs="宋体"/>
          <w:b/>
          <w:bCs/>
          <w:snapToGrid w:val="0"/>
          <w:color w:val="000000" w:themeColor="text1"/>
          <w:kern w:val="0"/>
          <w:sz w:val="24"/>
          <w:szCs w:val="24"/>
          <w:highlight w:val="none"/>
          <w14:textFill>
            <w14:solidFill>
              <w14:schemeClr w14:val="tx1"/>
            </w14:solidFill>
          </w14:textFill>
        </w:rPr>
        <w:t>3名中标候选人</w:t>
      </w:r>
      <w:r>
        <w:rPr>
          <w:rFonts w:hint="eastAsia" w:ascii="宋体" w:hAnsi="宋体" w:cs="宋体"/>
          <w:snapToGrid w:val="0"/>
          <w:color w:val="000000" w:themeColor="text1"/>
          <w:kern w:val="0"/>
          <w:sz w:val="24"/>
          <w:szCs w:val="24"/>
          <w:highlight w:val="none"/>
          <w14:textFill>
            <w14:solidFill>
              <w14:schemeClr w14:val="tx1"/>
            </w14:solidFill>
          </w14:textFill>
        </w:rPr>
        <w:t>。</w:t>
      </w:r>
    </w:p>
    <w:p>
      <w:pPr>
        <w:pStyle w:val="8"/>
        <w:spacing w:line="520" w:lineRule="exact"/>
        <w:ind w:firstLine="482"/>
        <w:jc w:val="both"/>
        <w:rPr>
          <w:snapToGrid w:val="0"/>
          <w:color w:val="000000" w:themeColor="text1"/>
          <w:kern w:val="0"/>
          <w:szCs w:val="24"/>
          <w:highlight w:val="none"/>
          <w14:textFill>
            <w14:solidFill>
              <w14:schemeClr w14:val="tx1"/>
            </w14:solidFill>
          </w14:textFill>
        </w:rPr>
      </w:pPr>
      <w:bookmarkStart w:id="106" w:name="_Toc28403"/>
      <w:bookmarkStart w:id="107" w:name="_Toc25820"/>
      <w:bookmarkStart w:id="108" w:name="_Toc14190"/>
      <w:bookmarkStart w:id="109" w:name="_Toc1953"/>
      <w:r>
        <w:rPr>
          <w:rFonts w:hint="eastAsia"/>
          <w:snapToGrid w:val="0"/>
          <w:color w:val="000000" w:themeColor="text1"/>
          <w:kern w:val="0"/>
          <w:szCs w:val="24"/>
          <w:highlight w:val="none"/>
          <w14:textFill>
            <w14:solidFill>
              <w14:schemeClr w14:val="tx1"/>
            </w14:solidFill>
          </w14:textFill>
        </w:rPr>
        <w:t>三、评审程序</w:t>
      </w:r>
      <w:bookmarkEnd w:id="106"/>
      <w:bookmarkEnd w:id="107"/>
      <w:bookmarkEnd w:id="108"/>
      <w:bookmarkEnd w:id="109"/>
    </w:p>
    <w:p>
      <w:pPr>
        <w:spacing w:line="500" w:lineRule="exact"/>
        <w:ind w:firstLine="468"/>
        <w:rPr>
          <w:rFonts w:ascii="宋体" w:hAnsi="宋体" w:cs="宋体"/>
          <w:snapToGrid w:val="0"/>
          <w:color w:val="000000" w:themeColor="text1"/>
          <w:kern w:val="0"/>
          <w:sz w:val="24"/>
          <w:szCs w:val="24"/>
          <w:highlight w:val="none"/>
          <w14:textFill>
            <w14:solidFill>
              <w14:schemeClr w14:val="tx1"/>
            </w14:solidFill>
          </w14:textFill>
        </w:rPr>
      </w:pPr>
      <w:bookmarkStart w:id="110" w:name="_Toc1928"/>
      <w:bookmarkStart w:id="111" w:name="_Toc14108"/>
      <w:bookmarkStart w:id="112" w:name="_Toc18817"/>
      <w:r>
        <w:rPr>
          <w:rFonts w:hint="eastAsia" w:ascii="宋体" w:hAnsi="宋体" w:cs="宋体"/>
          <w:snapToGrid w:val="0"/>
          <w:color w:val="000000" w:themeColor="text1"/>
          <w:kern w:val="0"/>
          <w:sz w:val="24"/>
          <w:szCs w:val="24"/>
          <w:highlight w:val="none"/>
          <w14:textFill>
            <w14:solidFill>
              <w14:schemeClr w14:val="tx1"/>
            </w14:solidFill>
          </w14:textFill>
        </w:rPr>
        <w:t>3.1评审程序包括投标文件初审、澄清有关问题、比较与评价和推荐中标候选人名单几个步骤。</w:t>
      </w:r>
    </w:p>
    <w:p>
      <w:pPr>
        <w:spacing w:line="500" w:lineRule="exact"/>
        <w:ind w:firstLine="468"/>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3.2投标文件由评委独立评审后，评委会对投标人某项指标如有不同意见，按照少数服从多数的原则，确定该项指标是否通过（持不同意见的评标委员会成员应当在评标报告上签署不同意见及理由，否则视为同意评标报告）。符合审查指标的，为有效投标。</w:t>
      </w:r>
    </w:p>
    <w:p>
      <w:pPr>
        <w:spacing w:line="500" w:lineRule="exact"/>
        <w:ind w:firstLine="468"/>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3.3初审结束后，评标委员会可能会要求有关投标人就其投标书中含义不明确、同类问题表述不一致或者有明显文字和计算错误的内容进行澄清。投标人的澄清、说明或者补正应当加盖公章，但不得超出投标书的范围或者改变投标书的实质性内容。</w:t>
      </w:r>
    </w:p>
    <w:p>
      <w:pPr>
        <w:spacing w:line="500" w:lineRule="exact"/>
        <w:ind w:firstLine="468"/>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3.4按照招标文件中规定的评标方法和标准，通过初审的投标人方可进入商务和技术评分、综合比较与评价。</w:t>
      </w:r>
    </w:p>
    <w:p>
      <w:pPr>
        <w:wordWrap w:val="0"/>
        <w:spacing w:line="520" w:lineRule="exact"/>
        <w:ind w:firstLine="480" w:firstLineChars="200"/>
        <w:rPr>
          <w:rFonts w:hint="eastAsia"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3.5评标结束时，评标委员会要按照规定的格式写出评标报告，说明评标过程中的主要情况，推荐中标候选人。</w:t>
      </w:r>
    </w:p>
    <w:p>
      <w:pPr>
        <w:pStyle w:val="2"/>
        <w:rPr>
          <w:color w:val="000000" w:themeColor="text1"/>
          <w:highlight w:val="none"/>
          <w14:textFill>
            <w14:solidFill>
              <w14:schemeClr w14:val="tx1"/>
            </w14:solidFill>
          </w14:textFill>
        </w:rPr>
      </w:pPr>
    </w:p>
    <w:p>
      <w:pPr>
        <w:pStyle w:val="30"/>
        <w:ind w:firstLine="482"/>
        <w:rPr>
          <w:color w:val="000000" w:themeColor="text1"/>
          <w:sz w:val="30"/>
          <w:szCs w:val="30"/>
          <w:highlight w:val="none"/>
          <w14:textFill>
            <w14:solidFill>
              <w14:schemeClr w14:val="tx1"/>
            </w14:solidFill>
          </w14:textFill>
        </w:rPr>
      </w:pPr>
      <w:bookmarkStart w:id="113" w:name="_Toc21393"/>
      <w:r>
        <w:rPr>
          <w:rFonts w:hint="eastAsia" w:cs="宋体"/>
          <w:snapToGrid w:val="0"/>
          <w:color w:val="000000" w:themeColor="text1"/>
          <w:kern w:val="0"/>
          <w:sz w:val="24"/>
          <w:szCs w:val="24"/>
          <w:highlight w:val="none"/>
          <w14:textFill>
            <w14:solidFill>
              <w14:schemeClr w14:val="tx1"/>
            </w14:solidFill>
          </w14:textFill>
        </w:rPr>
        <w:t>四、资格性审查表</w:t>
      </w:r>
      <w:bookmarkEnd w:id="110"/>
      <w:bookmarkEnd w:id="111"/>
      <w:bookmarkEnd w:id="112"/>
      <w:bookmarkEnd w:id="113"/>
      <w:bookmarkStart w:id="114" w:name="_Toc32649"/>
      <w:bookmarkStart w:id="115" w:name="_Toc25975"/>
      <w:bookmarkStart w:id="116" w:name="_Toc1833"/>
      <w:bookmarkStart w:id="117" w:name="_Toc10248"/>
    </w:p>
    <w:tbl>
      <w:tblPr>
        <w:tblStyle w:val="18"/>
        <w:tblpPr w:leftFromText="180" w:rightFromText="180" w:vertAnchor="text" w:horzAnchor="page" w:tblpX="1225" w:tblpY="310"/>
        <w:tblOverlap w:val="never"/>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310"/>
        <w:gridCol w:w="3900"/>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序号</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指标名称</w:t>
            </w:r>
          </w:p>
        </w:tc>
        <w:tc>
          <w:tcPr>
            <w:tcW w:w="390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指标要求</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备注(声明函可合并提供或单独提供）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营业执照</w:t>
            </w:r>
          </w:p>
        </w:tc>
        <w:tc>
          <w:tcPr>
            <w:tcW w:w="390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企业营业执照合法有效</w:t>
            </w:r>
          </w:p>
        </w:tc>
        <w:tc>
          <w:tcPr>
            <w:tcW w:w="2655" w:type="dxa"/>
            <w:vMerge w:val="restart"/>
            <w:tcBorders>
              <w:left w:val="nil"/>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提供有效的营业执照和税务登记证的（接受合一的证书），应完整的体现出营业执照和税务登记证的全部内容。联合体磋商的，联合体各方均须提供。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税务登记证</w:t>
            </w:r>
          </w:p>
        </w:tc>
        <w:tc>
          <w:tcPr>
            <w:tcW w:w="390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合法有效</w:t>
            </w:r>
          </w:p>
        </w:tc>
        <w:tc>
          <w:tcPr>
            <w:tcW w:w="2655" w:type="dxa"/>
            <w:vMerge w:val="continue"/>
            <w:tcBorders>
              <w:top w:val="nil"/>
              <w:left w:val="nil"/>
              <w:bottom w:val="single" w:color="auto" w:sz="4" w:space="0"/>
              <w:right w:val="single" w:color="auto" w:sz="4" w:space="0"/>
            </w:tcBorders>
            <w:vAlign w:val="center"/>
          </w:tcPr>
          <w:p>
            <w:pPr>
              <w:jc w:val="left"/>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联合体磋商</w:t>
            </w:r>
          </w:p>
        </w:tc>
        <w:tc>
          <w:tcPr>
            <w:tcW w:w="390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符合第一章供应商资格要求</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left"/>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p>
        </w:tc>
        <w:tc>
          <w:tcPr>
            <w:tcW w:w="2310"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财务状况</w:t>
            </w:r>
          </w:p>
        </w:tc>
        <w:tc>
          <w:tcPr>
            <w:tcW w:w="3900"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财务状况声明函</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w:t>
            </w:r>
          </w:p>
        </w:tc>
        <w:tc>
          <w:tcPr>
            <w:tcW w:w="2310" w:type="dxa"/>
            <w:tcBorders>
              <w:top w:val="single" w:color="auto" w:sz="4" w:space="0"/>
              <w:left w:val="nil"/>
              <w:bottom w:val="single" w:color="auto" w:sz="4" w:space="0"/>
              <w:right w:val="single" w:color="auto" w:sz="4" w:space="0"/>
            </w:tcBorders>
            <w:vAlign w:val="center"/>
          </w:tcPr>
          <w:p>
            <w:pPr>
              <w:ind w:right="-11"/>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依法缴纳税收</w:t>
            </w:r>
          </w:p>
        </w:tc>
        <w:tc>
          <w:tcPr>
            <w:tcW w:w="3900"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依法缴纳税收的声明函</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w:t>
            </w:r>
          </w:p>
        </w:tc>
        <w:tc>
          <w:tcPr>
            <w:tcW w:w="2310" w:type="dxa"/>
            <w:tcBorders>
              <w:top w:val="single" w:color="auto" w:sz="4" w:space="0"/>
              <w:left w:val="nil"/>
              <w:bottom w:val="single" w:color="auto" w:sz="4" w:space="0"/>
              <w:right w:val="single" w:color="auto" w:sz="4" w:space="0"/>
            </w:tcBorders>
            <w:vAlign w:val="center"/>
          </w:tcPr>
          <w:p>
            <w:pPr>
              <w:spacing w:line="360" w:lineRule="exact"/>
              <w:ind w:right="-11"/>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依法缴纳社会保障资金</w:t>
            </w:r>
          </w:p>
        </w:tc>
        <w:tc>
          <w:tcPr>
            <w:tcW w:w="3900"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依法缴纳社会保障资金的声明函</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w:t>
            </w:r>
          </w:p>
        </w:tc>
        <w:tc>
          <w:tcPr>
            <w:tcW w:w="2310" w:type="dxa"/>
            <w:tcBorders>
              <w:top w:val="single" w:color="auto" w:sz="4" w:space="0"/>
              <w:left w:val="nil"/>
              <w:bottom w:val="single" w:color="auto" w:sz="4" w:space="0"/>
              <w:right w:val="single" w:color="auto" w:sz="4" w:space="0"/>
            </w:tcBorders>
            <w:vAlign w:val="center"/>
          </w:tcPr>
          <w:p>
            <w:pPr>
              <w:spacing w:line="360" w:lineRule="exact"/>
              <w:ind w:right="-11"/>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具备履行合同所必须的设备和专业技术能力</w:t>
            </w:r>
          </w:p>
        </w:tc>
        <w:tc>
          <w:tcPr>
            <w:tcW w:w="3900"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具备履行合同所必须的设备和专业技术能力声明函</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w:t>
            </w:r>
          </w:p>
        </w:tc>
        <w:tc>
          <w:tcPr>
            <w:tcW w:w="2310"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3年内没有重大违法记录或期限已届满的书面声明</w:t>
            </w:r>
          </w:p>
        </w:tc>
        <w:tc>
          <w:tcPr>
            <w:tcW w:w="3900" w:type="dxa"/>
            <w:tcBorders>
              <w:top w:val="single" w:color="auto" w:sz="4" w:space="0"/>
              <w:left w:val="nil"/>
              <w:bottom w:val="single" w:color="auto" w:sz="4" w:space="0"/>
              <w:right w:val="single" w:color="auto" w:sz="4" w:space="0"/>
            </w:tcBorders>
            <w:vAlign w:val="center"/>
          </w:tcPr>
          <w:p>
            <w:pPr>
              <w:spacing w:line="400" w:lineRule="exact"/>
              <w:ind w:right="-11"/>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参加政府采购活动前3年内在经营活动中没有重大违法记录或因违法经营被禁止在一定期限内参加政府采购活动但期限已届满的书面声明</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w:t>
            </w:r>
          </w:p>
        </w:tc>
        <w:tc>
          <w:tcPr>
            <w:tcW w:w="2310" w:type="dxa"/>
            <w:tcBorders>
              <w:top w:val="single" w:color="auto" w:sz="4" w:space="0"/>
              <w:left w:val="nil"/>
              <w:bottom w:val="single" w:color="auto" w:sz="4" w:space="0"/>
              <w:right w:val="single" w:color="auto" w:sz="4" w:space="0"/>
            </w:tcBorders>
            <w:vAlign w:val="center"/>
          </w:tcPr>
          <w:p>
            <w:pPr>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不良行为记录</w:t>
            </w:r>
          </w:p>
        </w:tc>
        <w:tc>
          <w:tcPr>
            <w:tcW w:w="3900" w:type="dxa"/>
            <w:tcBorders>
              <w:top w:val="single" w:color="auto" w:sz="4" w:space="0"/>
              <w:left w:val="nil"/>
              <w:bottom w:val="single" w:color="auto" w:sz="4" w:space="0"/>
              <w:right w:val="single" w:color="auto" w:sz="4" w:space="0"/>
            </w:tcBorders>
            <w:vAlign w:val="center"/>
          </w:tcPr>
          <w:p>
            <w:pPr>
              <w:spacing w:line="400" w:lineRule="exact"/>
              <w:ind w:right="-11"/>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符合磋商公告第二、3.条的要求</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登陆该款载明的网站查询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供应商或其法定代表人或拟派项目经理（项目负责人）被列入行贿犯罪档案的；</w:t>
            </w:r>
          </w:p>
        </w:tc>
        <w:tc>
          <w:tcPr>
            <w:tcW w:w="390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供应商或其法定代表人或</w:t>
            </w:r>
            <w:r>
              <w:rPr>
                <w:rFonts w:hint="eastAsia" w:ascii="宋体" w:hAnsi="宋体" w:cs="宋体"/>
                <w:color w:val="000000" w:themeColor="text1"/>
                <w:highlight w:val="none"/>
                <w14:textFill>
                  <w14:solidFill>
                    <w14:schemeClr w14:val="tx1"/>
                  </w14:solidFill>
                </w14:textFill>
              </w:rPr>
              <w:t>拟派项目经理（项目负责人）</w:t>
            </w:r>
            <w:r>
              <w:rPr>
                <w:rFonts w:hint="eastAsia" w:ascii="宋体" w:hAnsi="宋体"/>
                <w:color w:val="000000" w:themeColor="text1"/>
                <w:highlight w:val="none"/>
                <w14:textFill>
                  <w14:solidFill>
                    <w14:schemeClr w14:val="tx1"/>
                  </w14:solidFill>
                </w14:textFill>
              </w:rPr>
              <w:t>被列入行贿犯罪档案的；[供应商须提供《无行贿犯罪行为承诺函》]</w:t>
            </w:r>
          </w:p>
        </w:tc>
        <w:tc>
          <w:tcPr>
            <w:tcW w:w="2655" w:type="dxa"/>
            <w:tcBorders>
              <w:top w:val="single" w:color="auto" w:sz="4" w:space="0"/>
              <w:left w:val="nil"/>
              <w:bottom w:val="single" w:color="auto" w:sz="4" w:space="0"/>
              <w:right w:val="single" w:color="auto" w:sz="4" w:space="0"/>
            </w:tcBorders>
            <w:vAlign w:val="center"/>
          </w:tcPr>
          <w:p>
            <w:pPr>
              <w:spacing w:after="50" w:line="360" w:lineRule="auto"/>
              <w:ind w:right="-1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登陆“通过中国裁判文书网自行查询”其真实性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标书规范性</w:t>
            </w:r>
          </w:p>
        </w:tc>
        <w:tc>
          <w:tcPr>
            <w:tcW w:w="390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符合磋商文件要求（</w:t>
            </w:r>
            <w:r>
              <w:rPr>
                <w:rFonts w:hint="eastAsia" w:ascii="宋体" w:hAnsi="宋体" w:cs="Arial"/>
                <w:color w:val="000000" w:themeColor="text1"/>
                <w:highlight w:val="none"/>
                <w14:textFill>
                  <w14:solidFill>
                    <w14:schemeClr w14:val="tx1"/>
                  </w14:solidFill>
                </w14:textFill>
              </w:rPr>
              <w:t>按照规定的要求进行编制、装订、标记和签署</w:t>
            </w:r>
            <w:r>
              <w:rPr>
                <w:rFonts w:hint="eastAsia" w:ascii="宋体" w:hAnsi="宋体"/>
                <w:color w:val="000000" w:themeColor="text1"/>
                <w:highlight w:val="none"/>
                <w14:textFill>
                  <w14:solidFill>
                    <w14:schemeClr w14:val="tx1"/>
                  </w14:solidFill>
                </w14:textFill>
              </w:rPr>
              <w:t>）</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磋商保证金</w:t>
            </w:r>
          </w:p>
        </w:tc>
        <w:tc>
          <w:tcPr>
            <w:tcW w:w="390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符合磋商文件供应商须知前附表要求</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left"/>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磋商响应函</w:t>
            </w:r>
          </w:p>
        </w:tc>
        <w:tc>
          <w:tcPr>
            <w:tcW w:w="390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符合磋商文件要求</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left"/>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14</w:t>
            </w:r>
          </w:p>
        </w:tc>
        <w:tc>
          <w:tcPr>
            <w:tcW w:w="231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法定代表人授权委托书和身份证明书</w:t>
            </w:r>
          </w:p>
        </w:tc>
        <w:tc>
          <w:tcPr>
            <w:tcW w:w="3900" w:type="dxa"/>
            <w:tcBorders>
              <w:top w:val="single" w:color="auto" w:sz="4" w:space="0"/>
              <w:left w:val="nil"/>
              <w:bottom w:val="single" w:color="auto" w:sz="4" w:space="0"/>
              <w:right w:val="single" w:color="auto" w:sz="4" w:space="0"/>
            </w:tcBorders>
            <w:vAlign w:val="center"/>
          </w:tcPr>
          <w:p>
            <w:pPr>
              <w:spacing w:after="50"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符合磋商文件要求</w:t>
            </w:r>
          </w:p>
        </w:tc>
        <w:tc>
          <w:tcPr>
            <w:tcW w:w="265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法人代表参加磋商的无需授权委托书，提供身份证明书即可</w:t>
            </w:r>
          </w:p>
        </w:tc>
      </w:tr>
    </w:tbl>
    <w:p>
      <w:pPr>
        <w:rPr>
          <w:rFonts w:ascii="宋体" w:hAnsi="宋体" w:cs="宋体"/>
          <w:snapToGrid w:val="0"/>
          <w:color w:val="000000" w:themeColor="text1"/>
          <w:kern w:val="0"/>
          <w:highlight w:val="none"/>
          <w14:textFill>
            <w14:solidFill>
              <w14:schemeClr w14:val="tx1"/>
            </w14:solidFill>
          </w14:textFill>
        </w:rPr>
      </w:pPr>
    </w:p>
    <w:p>
      <w:pPr>
        <w:pStyle w:val="8"/>
        <w:spacing w:line="415" w:lineRule="auto"/>
        <w:ind w:firstLine="0" w:firstLineChars="0"/>
        <w:jc w:val="center"/>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五、符合性审查表</w:t>
      </w:r>
      <w:bookmarkEnd w:id="114"/>
      <w:bookmarkEnd w:id="115"/>
      <w:bookmarkEnd w:id="116"/>
      <w:bookmarkEnd w:id="117"/>
    </w:p>
    <w:p>
      <w:pPr>
        <w:wordWrap w:val="0"/>
        <w:rPr>
          <w:rFonts w:ascii="宋体" w:hAnsi="宋体" w:cs="宋体"/>
          <w:snapToGrid w:val="0"/>
          <w:color w:val="000000" w:themeColor="text1"/>
          <w:kern w:val="0"/>
          <w:highlight w:val="none"/>
          <w14:textFill>
            <w14:solidFill>
              <w14:schemeClr w14:val="tx1"/>
            </w14:solidFill>
          </w14:textFill>
        </w:rPr>
      </w:pPr>
    </w:p>
    <w:tbl>
      <w:tblPr>
        <w:tblStyle w:val="1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983"/>
        <w:gridCol w:w="3990"/>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398"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序号</w:t>
            </w:r>
          </w:p>
        </w:tc>
        <w:tc>
          <w:tcPr>
            <w:tcW w:w="1098"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指标名称</w:t>
            </w:r>
          </w:p>
        </w:tc>
        <w:tc>
          <w:tcPr>
            <w:tcW w:w="2209"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指标要求</w:t>
            </w:r>
          </w:p>
        </w:tc>
        <w:tc>
          <w:tcPr>
            <w:tcW w:w="1293"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98"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w:t>
            </w:r>
          </w:p>
        </w:tc>
        <w:tc>
          <w:tcPr>
            <w:tcW w:w="1098"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技术要求响应情况</w:t>
            </w:r>
          </w:p>
        </w:tc>
        <w:tc>
          <w:tcPr>
            <w:tcW w:w="2209" w:type="pct"/>
            <w:vAlign w:val="center"/>
          </w:tcPr>
          <w:p>
            <w:pPr>
              <w:wordWrap w:val="0"/>
              <w:spacing w:line="60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符合招标文件第三章第一项要求</w:t>
            </w:r>
          </w:p>
        </w:tc>
        <w:tc>
          <w:tcPr>
            <w:tcW w:w="1293"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398"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w:t>
            </w:r>
          </w:p>
        </w:tc>
        <w:tc>
          <w:tcPr>
            <w:tcW w:w="1098" w:type="pct"/>
            <w:vAlign w:val="center"/>
          </w:tcPr>
          <w:p>
            <w:pPr>
              <w:wordWrap w:val="0"/>
              <w:spacing w:after="50"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商务要求响应情况</w:t>
            </w:r>
          </w:p>
        </w:tc>
        <w:tc>
          <w:tcPr>
            <w:tcW w:w="2209" w:type="pct"/>
            <w:vAlign w:val="center"/>
          </w:tcPr>
          <w:p>
            <w:pPr>
              <w:wordWrap w:val="0"/>
              <w:spacing w:line="60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符合招标文件第三章第二项要求</w:t>
            </w:r>
          </w:p>
        </w:tc>
        <w:tc>
          <w:tcPr>
            <w:tcW w:w="1293"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398"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w:t>
            </w:r>
          </w:p>
        </w:tc>
        <w:tc>
          <w:tcPr>
            <w:tcW w:w="1098"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标书规范性</w:t>
            </w:r>
          </w:p>
        </w:tc>
        <w:tc>
          <w:tcPr>
            <w:tcW w:w="2209"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符合招标文件要求（按照规定的要求进行编制、装订、标记和签署）</w:t>
            </w:r>
          </w:p>
        </w:tc>
        <w:tc>
          <w:tcPr>
            <w:tcW w:w="1293"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398"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4</w:t>
            </w:r>
          </w:p>
        </w:tc>
        <w:tc>
          <w:tcPr>
            <w:tcW w:w="1098"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投标函</w:t>
            </w:r>
          </w:p>
        </w:tc>
        <w:tc>
          <w:tcPr>
            <w:tcW w:w="2209"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符合招标文件要求</w:t>
            </w:r>
          </w:p>
        </w:tc>
        <w:tc>
          <w:tcPr>
            <w:tcW w:w="1293"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398"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5</w:t>
            </w:r>
          </w:p>
        </w:tc>
        <w:tc>
          <w:tcPr>
            <w:tcW w:w="1098"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其他</w:t>
            </w:r>
          </w:p>
        </w:tc>
        <w:tc>
          <w:tcPr>
            <w:tcW w:w="2209"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符合招标文件要求</w:t>
            </w:r>
          </w:p>
        </w:tc>
        <w:tc>
          <w:tcPr>
            <w:tcW w:w="1293" w:type="pct"/>
            <w:vAlign w:val="center"/>
          </w:tcPr>
          <w:p>
            <w:pPr>
              <w:wordWrap w:val="0"/>
              <w:spacing w:line="600" w:lineRule="auto"/>
              <w:jc w:val="center"/>
              <w:rPr>
                <w:rFonts w:ascii="宋体" w:hAnsi="宋体" w:cs="宋体"/>
                <w:snapToGrid w:val="0"/>
                <w:color w:val="000000" w:themeColor="text1"/>
                <w:kern w:val="0"/>
                <w:sz w:val="24"/>
                <w:szCs w:val="24"/>
                <w:highlight w:val="none"/>
                <w14:textFill>
                  <w14:solidFill>
                    <w14:schemeClr w14:val="tx1"/>
                  </w14:solidFill>
                </w14:textFill>
              </w:rPr>
            </w:pPr>
          </w:p>
        </w:tc>
      </w:tr>
    </w:tbl>
    <w:p>
      <w:pPr>
        <w:pStyle w:val="8"/>
        <w:ind w:firstLine="0" w:firstLineChars="0"/>
        <w:jc w:val="both"/>
        <w:rPr>
          <w:snapToGrid w:val="0"/>
          <w:color w:val="000000" w:themeColor="text1"/>
          <w:kern w:val="0"/>
          <w:highlight w:val="none"/>
          <w14:textFill>
            <w14:solidFill>
              <w14:schemeClr w14:val="tx1"/>
            </w14:solidFill>
          </w14:textFill>
        </w:rPr>
      </w:pPr>
    </w:p>
    <w:p>
      <w:pPr>
        <w:pStyle w:val="8"/>
        <w:ind w:firstLine="0" w:firstLineChars="0"/>
        <w:jc w:val="both"/>
        <w:rPr>
          <w:snapToGrid w:val="0"/>
          <w:color w:val="000000" w:themeColor="text1"/>
          <w:kern w:val="0"/>
          <w:highlight w:val="none"/>
          <w14:textFill>
            <w14:solidFill>
              <w14:schemeClr w14:val="tx1"/>
            </w14:solidFill>
          </w14:textFill>
        </w:rPr>
      </w:pPr>
    </w:p>
    <w:p>
      <w:pPr>
        <w:pStyle w:val="8"/>
        <w:ind w:firstLine="0" w:firstLineChars="0"/>
        <w:jc w:val="both"/>
        <w:rPr>
          <w:rFonts w:ascii="Calibri" w:hAnsi="Calibri" w:cs="Times New Roman"/>
          <w:b w:val="0"/>
          <w:bCs w:val="0"/>
          <w:color w:val="000000" w:themeColor="text1"/>
          <w:sz w:val="21"/>
          <w:szCs w:val="22"/>
          <w:highlight w:val="none"/>
          <w14:textFill>
            <w14:solidFill>
              <w14:schemeClr w14:val="tx1"/>
            </w14:solidFill>
          </w14:textFill>
        </w:rPr>
      </w:pPr>
    </w:p>
    <w:p>
      <w:pPr>
        <w:rPr>
          <w:rFonts w:ascii="Calibri" w:hAnsi="Calibri" w:cs="Times New Roman"/>
          <w:b w:val="0"/>
          <w:bCs w:val="0"/>
          <w:color w:val="000000" w:themeColor="text1"/>
          <w:sz w:val="21"/>
          <w:szCs w:val="22"/>
          <w:highlight w:val="none"/>
          <w14:textFill>
            <w14:solidFill>
              <w14:schemeClr w14:val="tx1"/>
            </w14:solidFill>
          </w14:textFill>
        </w:rPr>
      </w:pPr>
    </w:p>
    <w:p>
      <w:pPr>
        <w:pStyle w:val="2"/>
        <w:rPr>
          <w:rFonts w:ascii="Calibri" w:hAnsi="Calibri" w:cs="Times New Roman"/>
          <w:b w:val="0"/>
          <w:bCs w:val="0"/>
          <w:color w:val="000000" w:themeColor="text1"/>
          <w:sz w:val="21"/>
          <w:szCs w:val="22"/>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pStyle w:val="8"/>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六、评分标准</w:t>
      </w:r>
    </w:p>
    <w:p>
      <w:pPr>
        <w:pStyle w:val="8"/>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（一）技术标评审（共70分）</w:t>
      </w:r>
    </w:p>
    <w:tbl>
      <w:tblPr>
        <w:tblStyle w:val="18"/>
        <w:tblpPr w:leftFromText="180" w:rightFromText="180" w:vertAnchor="text" w:horzAnchor="page" w:tblpX="903" w:tblpY="419"/>
        <w:tblOverlap w:val="never"/>
        <w:tblW w:w="10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41"/>
        <w:gridCol w:w="645"/>
        <w:gridCol w:w="7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81" w:type="dxa"/>
            <w:vAlign w:val="center"/>
          </w:tcPr>
          <w:p>
            <w:pP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序号</w:t>
            </w:r>
          </w:p>
        </w:tc>
        <w:tc>
          <w:tcPr>
            <w:tcW w:w="1141" w:type="dxa"/>
            <w:vAlign w:val="center"/>
          </w:tcPr>
          <w:p>
            <w:pPr>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评审内容</w:t>
            </w:r>
          </w:p>
        </w:tc>
        <w:tc>
          <w:tcPr>
            <w:tcW w:w="645" w:type="dxa"/>
            <w:vAlign w:val="center"/>
          </w:tcPr>
          <w:p>
            <w:pPr>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分值</w:t>
            </w:r>
          </w:p>
        </w:tc>
        <w:tc>
          <w:tcPr>
            <w:tcW w:w="7575" w:type="dxa"/>
            <w:vAlign w:val="center"/>
          </w:tcPr>
          <w:p>
            <w:pPr>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81" w:type="dxa"/>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w:t>
            </w:r>
          </w:p>
        </w:tc>
        <w:tc>
          <w:tcPr>
            <w:tcW w:w="1141" w:type="dxa"/>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经营高校或单位食堂经验</w:t>
            </w:r>
          </w:p>
        </w:tc>
        <w:tc>
          <w:tcPr>
            <w:tcW w:w="645" w:type="dxa"/>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6</w:t>
            </w:r>
          </w:p>
        </w:tc>
        <w:tc>
          <w:tcPr>
            <w:tcW w:w="7575" w:type="dxa"/>
            <w:vAlign w:val="center"/>
          </w:tcPr>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提供202</w:t>
            </w: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年1月1日（时间以合同签订时间为准）以来经营高校</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或相当规模（团餐1000人以上）单位</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食堂餐饮的合同业绩，满一年得</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分，满连续两年得</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分，满连续3年</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及以上</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得</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6</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分,最高得</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6</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分。同期不重复得分。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本项共6分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681" w:type="dxa"/>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w:t>
            </w:r>
          </w:p>
        </w:tc>
        <w:tc>
          <w:tcPr>
            <w:tcW w:w="1141" w:type="dxa"/>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连锁经营情况</w:t>
            </w:r>
          </w:p>
        </w:tc>
        <w:tc>
          <w:tcPr>
            <w:tcW w:w="645" w:type="dxa"/>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8</w:t>
            </w:r>
          </w:p>
        </w:tc>
        <w:tc>
          <w:tcPr>
            <w:tcW w:w="7575" w:type="dxa"/>
            <w:vAlign w:val="center"/>
          </w:tcPr>
          <w:p>
            <w:pPr>
              <w:jc w:val="left"/>
              <w:rPr>
                <w:rFonts w:hint="default"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①202</w:t>
            </w: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年1月1日以来正在经营的高校食堂面积2000㎡（或单位食堂就餐人数2千人）及以上的单个食堂得</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分，每增加一个加1分，最高分得</w:t>
            </w: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分（以合同为准，如合同没写面积或人数，可由合同甲方提供书面证明）。</w:t>
            </w:r>
          </w:p>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②已在高校经营的食堂师生满意率80%以上或师生满意度测评分在80分以上的可得2分；单位食堂80分以上得1分。提供经营合同方证明材料。</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本项共8分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681" w:type="dxa"/>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w:t>
            </w:r>
          </w:p>
        </w:tc>
        <w:tc>
          <w:tcPr>
            <w:tcW w:w="1141" w:type="dxa"/>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认证情况</w:t>
            </w:r>
          </w:p>
        </w:tc>
        <w:tc>
          <w:tcPr>
            <w:tcW w:w="645" w:type="dxa"/>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8</w:t>
            </w:r>
          </w:p>
        </w:tc>
        <w:tc>
          <w:tcPr>
            <w:tcW w:w="7575" w:type="dxa"/>
            <w:vAlign w:val="center"/>
          </w:tcPr>
          <w:p>
            <w:pPr>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①企业具有有效的ISO9001质量管理体系认证证书的得1分；</w:t>
            </w:r>
          </w:p>
          <w:p>
            <w:pPr>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②企业具有有效的ISO22000食品安全管理体系认证证书的得1分；</w:t>
            </w:r>
          </w:p>
          <w:p>
            <w:pPr>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③企业具有有效的ISO14001环境管理体系认证证书的得1分；</w:t>
            </w:r>
          </w:p>
          <w:p>
            <w:pPr>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 4 \* GB3 \* MERGEFORMAT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④</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企业具有OHSAS18001职业健康安全管理体系认证证书的得1分；</w:t>
            </w:r>
          </w:p>
          <w:p>
            <w:pPr>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 5 \* GB3 \* MERGEFORMAT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⑤</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企业具有危害分析与关键控制点HACCP体系认证证书的得1分；</w:t>
            </w:r>
          </w:p>
          <w:p>
            <w:pPr>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 6 \* GB3 \* MERGEFORMAT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⑥</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企业具有SA8000社会责任管理体系认证证书的得1分；</w:t>
            </w:r>
          </w:p>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 7 \* GB3 \* MERGEFORMAT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⑦</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属于省高校后勤协会理事单位或省、直辖市高校伙食专业委员会推荐单位的得</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；属于省、直辖市餐饮协会理事单位的得1分。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提供相关证明材料，没有不得分。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8分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681" w:type="dxa"/>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w:t>
            </w:r>
          </w:p>
        </w:tc>
        <w:tc>
          <w:tcPr>
            <w:tcW w:w="1141" w:type="dxa"/>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项目经</w:t>
            </w: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理资质</w:t>
            </w:r>
          </w:p>
        </w:tc>
        <w:tc>
          <w:tcPr>
            <w:tcW w:w="645" w:type="dxa"/>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6</w:t>
            </w:r>
          </w:p>
        </w:tc>
        <w:tc>
          <w:tcPr>
            <w:tcW w:w="7575" w:type="dxa"/>
            <w:vAlign w:val="center"/>
          </w:tcPr>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①</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拟派餐饮职业经理</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中专及以下学历得1分，大专及以上学历得2分；</w:t>
            </w:r>
          </w:p>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②</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拟派餐饮职业经理</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有食品安全管理员证书的得</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分；</w:t>
            </w:r>
          </w:p>
          <w:p>
            <w:pPr>
              <w:pStyle w:val="29"/>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③拟派餐饮职业经理具有三级厨师证书的得</w:t>
            </w:r>
            <w:r>
              <w:rPr>
                <w:rFonts w:hint="eastAsia" w:asciiTheme="minorEastAsia" w:hAnsiTheme="minorEastAsia" w:eastAsiaTheme="minorEastAsia" w:cstheme="minorEastAsia"/>
                <w:color w:val="000000" w:themeColor="text1"/>
                <w:highlight w:val="none"/>
                <w14:textFill>
                  <w14:solidFill>
                    <w14:schemeClr w14:val="tx1"/>
                  </w14:solidFill>
                </w14:textFill>
              </w:rPr>
              <w:t>2</w:t>
            </w:r>
            <w:r>
              <w:rPr>
                <w:rFonts w:hint="eastAsia" w:asciiTheme="minorEastAsia" w:hAnsiTheme="minorEastAsia" w:eastAsiaTheme="minorEastAsia" w:cstheme="minorEastAsia"/>
                <w:color w:val="000000" w:themeColor="text1"/>
                <w:highlight w:val="none"/>
                <w14:textFill>
                  <w14:solidFill>
                    <w14:schemeClr w14:val="tx1"/>
                  </w14:solidFill>
                </w14:textFill>
              </w:rPr>
              <w:t>分。</w:t>
            </w:r>
            <w:r>
              <w:rPr>
                <w:rFonts w:hint="eastAsia" w:asciiTheme="minorEastAsia" w:hAnsiTheme="minorEastAsia" w:eastAsiaTheme="minorEastAsia" w:cstheme="minorEastAsia"/>
                <w:color w:val="000000" w:themeColor="text1"/>
                <w:highlight w:val="none"/>
                <w14:textFill>
                  <w14:solidFill>
                    <w14:schemeClr w14:val="tx1"/>
                  </w14:solidFill>
                </w14:textFill>
              </w:rPr>
              <w:t>没有不得分。</w:t>
            </w:r>
          </w:p>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注：1、学历提供毕业证书或其他有关证明材料；2、食品安全管理员、厨师证提供有关证书材料；3、拟派项目经理</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必须有本单位缴纳社保</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（2023年1月1日-至今）</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社保缴费证明</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（或社保的有效证明材料）指的是至少含养老保险、医疗保险、工伤保险、失业保险中任意一项即可的证明，否则该项目为0分。</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6</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分</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681" w:type="dxa"/>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5</w:t>
            </w:r>
          </w:p>
        </w:tc>
        <w:tc>
          <w:tcPr>
            <w:tcW w:w="1141" w:type="dxa"/>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企业信用证明</w:t>
            </w:r>
          </w:p>
        </w:tc>
        <w:tc>
          <w:tcPr>
            <w:tcW w:w="645" w:type="dxa"/>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w:t>
            </w:r>
          </w:p>
        </w:tc>
        <w:tc>
          <w:tcPr>
            <w:tcW w:w="7575" w:type="dxa"/>
            <w:vAlign w:val="center"/>
          </w:tcPr>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①</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企业信用等级AAA级得</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分、AA得</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0.5</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分、A不得分；</w:t>
            </w:r>
          </w:p>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②企业正在经营的高校食堂或团餐单位食堂，被市场监管等部门评为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2022年度</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或2023年度</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食品安全监督量化等级A级的，高校食堂每个得1分，团餐单位食堂每个得0.5分；B级的高校食堂每个得0.5分，团餐单位食堂不得分；满分2分。（</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本项共3分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681" w:type="dxa"/>
            <w:vMerge w:val="restart"/>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6</w:t>
            </w:r>
          </w:p>
        </w:tc>
        <w:tc>
          <w:tcPr>
            <w:tcW w:w="1141" w:type="dxa"/>
            <w:vMerge w:val="restart"/>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经营方案</w:t>
            </w:r>
          </w:p>
        </w:tc>
        <w:tc>
          <w:tcPr>
            <w:tcW w:w="645" w:type="dxa"/>
            <w:vMerge w:val="restart"/>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25</w:t>
            </w:r>
          </w:p>
        </w:tc>
        <w:tc>
          <w:tcPr>
            <w:tcW w:w="7575" w:type="dxa"/>
            <w:vAlign w:val="center"/>
          </w:tcPr>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1、运营方案：</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单位（公司）层面，如何组建本项目组管理团队，餐厅经理、厨师长、中式烹调师、面点师、办公文员、营养师等人员配备合理，分工明确、量化分明得</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0-2</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681"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41"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45"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575" w:type="dxa"/>
            <w:vAlign w:val="center"/>
          </w:tcPr>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2、经营思路：整体经营思路、经营目标、运营模式，档口班组如何设置、拟设置档口菜品种类、人员素质要求、管理要求、一卡通管理措施等，目标清晰、策略可行的得</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0-2</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1"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41"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45"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575" w:type="dxa"/>
            <w:vAlign w:val="center"/>
          </w:tcPr>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3、食堂原材料采购、储存方案，各窗口或餐饮专业班组食品安全控制及食品安全应急预案：方案优得</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2分，良得1分，一般0.5分</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，差不得分。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本项共2分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681"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41"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45"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575" w:type="dxa"/>
            <w:vAlign w:val="center"/>
          </w:tcPr>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4、本项目装修方案，含</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①</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整体装修风格、</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②</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后厨改造方案、</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③</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设计图纸、</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 4 \* GB3 \* MERGEFORMAT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④</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装修效果图、</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 5 \* GB3 \* MERGEFORMAT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⑤</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装修前期实施方案、</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 6 \* GB3 \* MERGEFORMAT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⑥</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装修质量保障措施、</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 7 \* GB3 \* MERGEFORMAT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⑦</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装修进度及安全保障、</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instrText xml:space="preserve"> = 8 \* GB3 \* MERGEFORMAT </w:instrTex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⑧</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智慧餐厅方案</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等，8个方面内容齐全方案优的每小项得1分，良得0.8分，一般0.5分，缺项或差的该项不得分。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本项共8分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81"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41"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45"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575" w:type="dxa"/>
            <w:vAlign w:val="center"/>
          </w:tcPr>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5、食堂各窗口或各餐饮专业班组服务质量、菜品数量、价格控制与提升、营养分析、菜单制定及定期更新方案5个方面：优得</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分，良得2分，一般1分，差不得分。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81"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41"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45"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575" w:type="dxa"/>
            <w:vAlign w:val="center"/>
          </w:tcPr>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6、建立档案制度：食品加工流程、运输管理、销售环节管理、食品留样管理、餐厨废弃物处理、设备使用管理、餐具消毒标准方案等，</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优得2分，良得1分，一般0.5分</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，差不得分。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81"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41"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45"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575" w:type="dxa"/>
            <w:vAlign w:val="center"/>
          </w:tcPr>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7、应急预案、雇主责任险、公众责任险等保障措施，回馈学校方案及高校各项评比检查以及学校大型活动、临时任务的服务方案：措施得当齐全得1分；</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202</w:t>
            </w: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1月1日以来业绩购买了雇主责任险、公众责任险并承诺未本项目购买以上两险的得1分；回馈学校方案、大型活动方案支持有力的一个案例得1分，最多2分，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提供相关材料证明。（</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本项共4分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81"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41"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45" w:type="dxa"/>
            <w:vMerge w:val="continue"/>
            <w:vAlign w:val="center"/>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575" w:type="dxa"/>
            <w:vAlign w:val="center"/>
          </w:tcPr>
          <w:p>
            <w:pPr>
              <w:numPr>
                <w:ilvl w:val="0"/>
                <w:numId w:val="1"/>
              </w:numPr>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①</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202</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1月1日以来贯彻“三全育人”、服务育人的案例；</w:t>
            </w:r>
          </w:p>
          <w:p>
            <w:pPr>
              <w:ind w:firstLine="210" w:firstLineChars="10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②校企合作或开展学校、社会公益慈善活动的案例；有一个加1分，最多得2分。上述加分业绩可重复得分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，提供相关材料证明。（</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本项共2分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681" w:type="dxa"/>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7</w:t>
            </w:r>
          </w:p>
        </w:tc>
        <w:tc>
          <w:tcPr>
            <w:tcW w:w="1141" w:type="dxa"/>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人员配备</w:t>
            </w:r>
          </w:p>
        </w:tc>
        <w:tc>
          <w:tcPr>
            <w:tcW w:w="645" w:type="dxa"/>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w:t>
            </w:r>
          </w:p>
        </w:tc>
        <w:tc>
          <w:tcPr>
            <w:tcW w:w="7575" w:type="dxa"/>
          </w:tcPr>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①用工方案合理并承诺按1：100的比例配备员工得1分。（承诺书）</w:t>
            </w:r>
          </w:p>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②配备营养师或文员、安全员的得1分（必须提供证书复印件加盖公章，否则该项不得分）。</w:t>
            </w:r>
          </w:p>
          <w:p>
            <w:pP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instrText xml:space="preserve"> = 3 \* GB3 \* MERGEFORMAT </w:instrTex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③</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点心师和厨师各配备1名得1分（必须提供证书复印件加盖公章，否则该项不得分）。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本项共3分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81" w:type="dxa"/>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8</w:t>
            </w:r>
          </w:p>
        </w:tc>
        <w:tc>
          <w:tcPr>
            <w:tcW w:w="1141" w:type="dxa"/>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节能控制措施</w:t>
            </w:r>
          </w:p>
        </w:tc>
        <w:tc>
          <w:tcPr>
            <w:tcW w:w="645" w:type="dxa"/>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w:t>
            </w:r>
          </w:p>
        </w:tc>
        <w:tc>
          <w:tcPr>
            <w:tcW w:w="7575" w:type="dxa"/>
          </w:tcPr>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有详细的灶具、水电、饭菜、燃气节能手段及措施的，优的得2分，良得1分，一般0.5分，差不得分。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本项共2分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81" w:type="dxa"/>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9</w:t>
            </w:r>
          </w:p>
        </w:tc>
        <w:tc>
          <w:tcPr>
            <w:tcW w:w="1141" w:type="dxa"/>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各种岗位制度</w:t>
            </w:r>
          </w:p>
        </w:tc>
        <w:tc>
          <w:tcPr>
            <w:tcW w:w="645" w:type="dxa"/>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w:t>
            </w:r>
          </w:p>
        </w:tc>
        <w:tc>
          <w:tcPr>
            <w:tcW w:w="7575" w:type="dxa"/>
          </w:tcPr>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有各种现场管理制度、岗位管理制度、用工培训制度，制度齐全、合理得3分，比较完善、合理得2分，一般得1分，不完善、不合理得0分。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本项共3分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81" w:type="dxa"/>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10</w:t>
            </w:r>
          </w:p>
        </w:tc>
        <w:tc>
          <w:tcPr>
            <w:tcW w:w="1141" w:type="dxa"/>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服务承诺及增值服务</w:t>
            </w:r>
          </w:p>
        </w:tc>
        <w:tc>
          <w:tcPr>
            <w:tcW w:w="645" w:type="dxa"/>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w:t>
            </w:r>
          </w:p>
        </w:tc>
        <w:tc>
          <w:tcPr>
            <w:tcW w:w="7575" w:type="dxa"/>
          </w:tcPr>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评委根据投标单位作出的服务承诺及增值服务情况合理评分。</w:t>
            </w:r>
          </w:p>
          <w:p>
            <w:pPr>
              <w:pStyle w:val="2"/>
              <w:ind w:left="0" w:leftChars="0" w:firstLine="0" w:firstLineChars="0"/>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承诺</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回馈</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学校师生，</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前2年合同期内每年</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资助学院困难学生或赞助学院举办的大型活动</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资金</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或在节假日免费提供留校学生等人员达到以下数额的餐费、餐票</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，费用在1-2万（含2万）得1分，2万以上得2分。</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（必须提供加盖公章的承诺书，作为日后合同签订的依据和履约条件，否则该项不得分）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本项共2分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681" w:type="dxa"/>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11</w:t>
            </w:r>
          </w:p>
        </w:tc>
        <w:tc>
          <w:tcPr>
            <w:tcW w:w="1141" w:type="dxa"/>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经营控制</w:t>
            </w:r>
          </w:p>
        </w:tc>
        <w:tc>
          <w:tcPr>
            <w:tcW w:w="645" w:type="dxa"/>
          </w:tcPr>
          <w:p>
            <w:pPr>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w:t>
            </w:r>
          </w:p>
        </w:tc>
        <w:tc>
          <w:tcPr>
            <w:tcW w:w="7575" w:type="dxa"/>
          </w:tcPr>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①经营方案中，供应主副食品品种丰富情况，</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0-1.5</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分；</w:t>
            </w:r>
          </w:p>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②经营方案中，高中低档菜肴比例合适情况，</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0-1.5</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分；</w:t>
            </w:r>
          </w:p>
          <w:p>
            <w:pPr>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instrText xml:space="preserve"> = 3 \* GB3 \* MERGEFORMAT </w:instrTex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③</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经营方案中，餐饮成本核算科学情况，</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0-1</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本项共</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bl>
    <w:p>
      <w:pPr>
        <w:spacing w:line="360" w:lineRule="auto"/>
        <w:ind w:firstLine="464" w:firstLineChars="200"/>
        <w:rPr>
          <w:rFonts w:ascii="宋体" w:hAns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（二）商务标评审（30分）：</w:t>
      </w:r>
    </w:p>
    <w:p>
      <w:pPr>
        <w:spacing w:line="360" w:lineRule="auto"/>
        <w:ind w:firstLine="480" w:firstLineChars="200"/>
        <w:rPr>
          <w:rFonts w:ascii="宋体" w:hAnsi="宋体"/>
          <w:color w:val="000000" w:themeColor="text1"/>
          <w:spacing w:val="-4"/>
          <w:sz w:val="24"/>
          <w:highlight w:val="none"/>
          <w14:textFill>
            <w14:solidFill>
              <w14:schemeClr w14:val="tx1"/>
            </w14:solidFill>
          </w14:textFill>
        </w:rPr>
      </w:pPr>
      <w:bookmarkStart w:id="118" w:name="_Toc482084462"/>
      <w:bookmarkStart w:id="119" w:name="_Toc30044"/>
      <w:bookmarkStart w:id="120" w:name="_Toc18239"/>
      <w:bookmarkStart w:id="121" w:name="_Toc25804"/>
      <w:bookmarkStart w:id="122" w:name="_Toc12262"/>
      <w:r>
        <w:rPr>
          <w:rFonts w:hint="eastAsia" w:ascii="宋体" w:hAnsi="宋体" w:cs="宋体"/>
          <w:color w:val="000000" w:themeColor="text1"/>
          <w:sz w:val="24"/>
          <w:highlight w:val="none"/>
          <w14:textFill>
            <w14:solidFill>
              <w14:schemeClr w14:val="tx1"/>
            </w14:solidFill>
          </w14:textFill>
        </w:rPr>
        <w:t>1、装饰装修投资与设备配备投资，设定为100万，得基本分</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分；投</w:t>
      </w:r>
      <w:r>
        <w:rPr>
          <w:rFonts w:hint="eastAsia" w:ascii="宋体" w:hAnsi="宋体"/>
          <w:color w:val="000000" w:themeColor="text1"/>
          <w:spacing w:val="-4"/>
          <w:sz w:val="24"/>
          <w:highlight w:val="none"/>
          <w14:textFill>
            <w14:solidFill>
              <w14:schemeClr w14:val="tx1"/>
            </w14:solidFill>
          </w14:textFill>
        </w:rPr>
        <w:t>标单位承</w:t>
      </w:r>
      <w:r>
        <w:rPr>
          <w:rFonts w:hint="eastAsia" w:ascii="宋体" w:hAnsi="宋体"/>
          <w:color w:val="000000" w:themeColor="text1"/>
          <w:spacing w:val="-4"/>
          <w:sz w:val="24"/>
          <w:highlight w:val="none"/>
          <w14:textFill>
            <w14:solidFill>
              <w14:schemeClr w14:val="tx1"/>
            </w14:solidFill>
          </w14:textFill>
        </w:rPr>
        <w:t>诺在100万人民币基础上投资每上浮</w:t>
      </w:r>
      <w:r>
        <w:rPr>
          <w:rFonts w:hint="eastAsia" w:ascii="宋体" w:hAnsi="宋体"/>
          <w:color w:val="000000" w:themeColor="text1"/>
          <w:spacing w:val="-4"/>
          <w:sz w:val="24"/>
          <w:highlight w:val="none"/>
          <w:lang w:val="en-US" w:eastAsia="zh-CN"/>
          <w14:textFill>
            <w14:solidFill>
              <w14:schemeClr w14:val="tx1"/>
            </w14:solidFill>
          </w14:textFill>
        </w:rPr>
        <w:t>5</w:t>
      </w:r>
      <w:r>
        <w:rPr>
          <w:rFonts w:hint="eastAsia" w:ascii="宋体" w:hAnsi="宋体"/>
          <w:color w:val="000000" w:themeColor="text1"/>
          <w:spacing w:val="-4"/>
          <w:sz w:val="24"/>
          <w:highlight w:val="none"/>
          <w14:textFill>
            <w14:solidFill>
              <w14:schemeClr w14:val="tx1"/>
            </w14:solidFill>
          </w14:textFill>
        </w:rPr>
        <w:t>万，再加1分，最多加</w:t>
      </w:r>
      <w:r>
        <w:rPr>
          <w:rFonts w:hint="eastAsia" w:ascii="宋体" w:hAnsi="宋体"/>
          <w:color w:val="000000" w:themeColor="text1"/>
          <w:spacing w:val="-4"/>
          <w:sz w:val="24"/>
          <w:highlight w:val="none"/>
          <w:lang w:val="en-US" w:eastAsia="zh-CN"/>
          <w14:textFill>
            <w14:solidFill>
              <w14:schemeClr w14:val="tx1"/>
            </w14:solidFill>
          </w14:textFill>
        </w:rPr>
        <w:t>6</w:t>
      </w:r>
      <w:r>
        <w:rPr>
          <w:rFonts w:hint="eastAsia" w:ascii="宋体" w:hAnsi="宋体"/>
          <w:color w:val="000000" w:themeColor="text1"/>
          <w:spacing w:val="-4"/>
          <w:sz w:val="24"/>
          <w:highlight w:val="none"/>
          <w14:textFill>
            <w14:solidFill>
              <w14:schemeClr w14:val="tx1"/>
            </w14:solidFill>
          </w14:textFill>
        </w:rPr>
        <w:t>分</w:t>
      </w:r>
      <w:r>
        <w:rPr>
          <w:rFonts w:hint="eastAsia" w:ascii="宋体" w:hAnsi="宋体"/>
          <w:color w:val="000000" w:themeColor="text1"/>
          <w:spacing w:val="-4"/>
          <w:sz w:val="24"/>
          <w:highlight w:val="none"/>
          <w:lang w:eastAsia="zh-CN"/>
          <w14:textFill>
            <w14:solidFill>
              <w14:schemeClr w14:val="tx1"/>
            </w14:solidFill>
          </w14:textFill>
        </w:rPr>
        <w:t>（</w:t>
      </w:r>
      <w:r>
        <w:rPr>
          <w:rFonts w:hint="eastAsia" w:ascii="宋体" w:hAnsi="宋体"/>
          <w:color w:val="000000" w:themeColor="text1"/>
          <w:spacing w:val="-4"/>
          <w:sz w:val="24"/>
          <w:highlight w:val="none"/>
          <w:lang w:val="en-US" w:eastAsia="zh-CN"/>
          <w14:textFill>
            <w14:solidFill>
              <w14:schemeClr w14:val="tx1"/>
            </w14:solidFill>
          </w14:textFill>
        </w:rPr>
        <w:t>上浮中不足5万的部分不计分</w:t>
      </w:r>
      <w:r>
        <w:rPr>
          <w:rFonts w:hint="eastAsia" w:ascii="宋体" w:hAnsi="宋体"/>
          <w:color w:val="000000" w:themeColor="text1"/>
          <w:spacing w:val="-4"/>
          <w:sz w:val="24"/>
          <w:highlight w:val="none"/>
          <w:lang w:eastAsia="zh-CN"/>
          <w14:textFill>
            <w14:solidFill>
              <w14:schemeClr w14:val="tx1"/>
            </w14:solidFill>
          </w14:textFill>
        </w:rPr>
        <w:t>）</w:t>
      </w:r>
      <w:r>
        <w:rPr>
          <w:rFonts w:hint="eastAsia" w:ascii="宋体" w:hAnsi="宋体"/>
          <w:color w:val="000000" w:themeColor="text1"/>
          <w:spacing w:val="-4"/>
          <w:sz w:val="24"/>
          <w:highlight w:val="none"/>
          <w14:textFill>
            <w14:solidFill>
              <w14:schemeClr w14:val="tx1"/>
            </w14:solidFill>
          </w14:textFill>
        </w:rPr>
        <w:t>。本项共15分</w:t>
      </w:r>
      <w:r>
        <w:rPr>
          <w:rFonts w:hint="eastAsia" w:ascii="宋体" w:hAnsi="宋体"/>
          <w:b/>
          <w:bCs/>
          <w:color w:val="000000" w:themeColor="text1"/>
          <w:spacing w:val="-4"/>
          <w:sz w:val="21"/>
          <w:szCs w:val="21"/>
          <w:highlight w:val="none"/>
          <w14:textFill>
            <w14:solidFill>
              <w14:schemeClr w14:val="tx1"/>
            </w14:solidFill>
          </w14:textFill>
        </w:rPr>
        <w:t>(一次性投入）</w:t>
      </w:r>
      <w:r>
        <w:rPr>
          <w:rFonts w:hint="eastAsia" w:ascii="宋体" w:hAnsi="宋体"/>
          <w:color w:val="000000" w:themeColor="text1"/>
          <w:spacing w:val="-4"/>
          <w:sz w:val="24"/>
          <w:highlight w:val="none"/>
          <w14:textFill>
            <w14:solidFill>
              <w14:schemeClr w14:val="tx1"/>
            </w14:solidFill>
          </w14:textFill>
        </w:rPr>
        <w:t>。提供承诺书、详细装修方案及设备清单预算表。</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2、缴纳水资源管理费、污水处理费、垃圾清运及处理费、水电管理费（不含水电费）、食品卫生监督费、校园一卡通系统及明厨亮灶监控维护维修费、饮食文化活动及其公共建设费等费用，</w:t>
      </w:r>
      <w:r>
        <w:rPr>
          <w:rFonts w:hint="eastAsia" w:ascii="宋体" w:hAnsi="宋体" w:cs="宋体"/>
          <w:color w:val="000000" w:themeColor="text1"/>
          <w:sz w:val="24"/>
          <w:highlight w:val="none"/>
          <w14:textFill>
            <w14:solidFill>
              <w14:schemeClr w14:val="tx1"/>
            </w14:solidFill>
          </w14:textFill>
        </w:rPr>
        <w:t>设定为每年</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0万，得基本分</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分；投</w:t>
      </w:r>
      <w:r>
        <w:rPr>
          <w:rFonts w:hint="eastAsia" w:ascii="宋体" w:hAnsi="宋体"/>
          <w:color w:val="000000" w:themeColor="text1"/>
          <w:spacing w:val="-4"/>
          <w:sz w:val="24"/>
          <w:highlight w:val="none"/>
          <w14:textFill>
            <w14:solidFill>
              <w14:schemeClr w14:val="tx1"/>
            </w14:solidFill>
          </w14:textFill>
        </w:rPr>
        <w:t>标单位承诺在</w:t>
      </w:r>
      <w:r>
        <w:rPr>
          <w:rFonts w:hint="eastAsia" w:ascii="宋体" w:hAnsi="宋体"/>
          <w:color w:val="000000" w:themeColor="text1"/>
          <w:spacing w:val="-4"/>
          <w:sz w:val="24"/>
          <w:highlight w:val="none"/>
          <w:lang w:val="en-US" w:eastAsia="zh-CN"/>
          <w14:textFill>
            <w14:solidFill>
              <w14:schemeClr w14:val="tx1"/>
            </w14:solidFill>
          </w14:textFill>
        </w:rPr>
        <w:t>2</w:t>
      </w:r>
      <w:r>
        <w:rPr>
          <w:rFonts w:hint="eastAsia" w:ascii="宋体" w:hAnsi="宋体"/>
          <w:color w:val="000000" w:themeColor="text1"/>
          <w:spacing w:val="-4"/>
          <w:sz w:val="24"/>
          <w:highlight w:val="none"/>
          <w14:textFill>
            <w14:solidFill>
              <w14:schemeClr w14:val="tx1"/>
            </w14:solidFill>
          </w14:textFill>
        </w:rPr>
        <w:t>0万人民币基础上每上浮</w:t>
      </w:r>
      <w:r>
        <w:rPr>
          <w:rFonts w:hint="eastAsia" w:ascii="宋体" w:hAnsi="宋体"/>
          <w:color w:val="000000" w:themeColor="text1"/>
          <w:spacing w:val="-4"/>
          <w:sz w:val="24"/>
          <w:highlight w:val="none"/>
          <w:lang w:val="en-US" w:eastAsia="zh-CN"/>
          <w14:textFill>
            <w14:solidFill>
              <w14:schemeClr w14:val="tx1"/>
            </w14:solidFill>
          </w14:textFill>
        </w:rPr>
        <w:t>4</w:t>
      </w:r>
      <w:r>
        <w:rPr>
          <w:rFonts w:hint="eastAsia" w:ascii="宋体" w:hAnsi="宋体"/>
          <w:color w:val="000000" w:themeColor="text1"/>
          <w:spacing w:val="-4"/>
          <w:sz w:val="24"/>
          <w:highlight w:val="none"/>
          <w14:textFill>
            <w14:solidFill>
              <w14:schemeClr w14:val="tx1"/>
            </w14:solidFill>
          </w14:textFill>
        </w:rPr>
        <w:t>万，再加1分，最多加</w:t>
      </w:r>
      <w:r>
        <w:rPr>
          <w:rFonts w:hint="eastAsia" w:ascii="宋体" w:hAnsi="宋体"/>
          <w:color w:val="000000" w:themeColor="text1"/>
          <w:spacing w:val="-4"/>
          <w:sz w:val="24"/>
          <w:highlight w:val="none"/>
          <w:lang w:val="en-US" w:eastAsia="zh-CN"/>
          <w14:textFill>
            <w14:solidFill>
              <w14:schemeClr w14:val="tx1"/>
            </w14:solidFill>
          </w14:textFill>
        </w:rPr>
        <w:t>6</w:t>
      </w:r>
      <w:r>
        <w:rPr>
          <w:rFonts w:hint="eastAsia" w:ascii="宋体" w:hAnsi="宋体"/>
          <w:color w:val="000000" w:themeColor="text1"/>
          <w:spacing w:val="-4"/>
          <w:sz w:val="24"/>
          <w:highlight w:val="none"/>
          <w14:textFill>
            <w14:solidFill>
              <w14:schemeClr w14:val="tx1"/>
            </w14:solidFill>
          </w14:textFill>
        </w:rPr>
        <w:t>分</w:t>
      </w:r>
      <w:r>
        <w:rPr>
          <w:rFonts w:hint="eastAsia" w:ascii="宋体" w:hAnsi="宋体"/>
          <w:color w:val="000000" w:themeColor="text1"/>
          <w:spacing w:val="-4"/>
          <w:sz w:val="24"/>
          <w:highlight w:val="none"/>
          <w:lang w:eastAsia="zh-CN"/>
          <w14:textFill>
            <w14:solidFill>
              <w14:schemeClr w14:val="tx1"/>
            </w14:solidFill>
          </w14:textFill>
        </w:rPr>
        <w:t>（</w:t>
      </w:r>
      <w:r>
        <w:rPr>
          <w:rFonts w:hint="eastAsia" w:ascii="宋体" w:hAnsi="宋体"/>
          <w:color w:val="000000" w:themeColor="text1"/>
          <w:spacing w:val="-4"/>
          <w:sz w:val="24"/>
          <w:highlight w:val="none"/>
          <w:lang w:val="en-US" w:eastAsia="zh-CN"/>
          <w14:textFill>
            <w14:solidFill>
              <w14:schemeClr w14:val="tx1"/>
            </w14:solidFill>
          </w14:textFill>
        </w:rPr>
        <w:t>上浮中</w:t>
      </w:r>
      <w:r>
        <w:rPr>
          <w:rFonts w:hint="eastAsia" w:ascii="宋体" w:hAnsi="宋体"/>
          <w:color w:val="000000" w:themeColor="text1"/>
          <w:spacing w:val="-4"/>
          <w:sz w:val="24"/>
          <w:highlight w:val="none"/>
          <w:lang w:val="en-US" w:eastAsia="zh-CN"/>
          <w14:textFill>
            <w14:solidFill>
              <w14:schemeClr w14:val="tx1"/>
            </w14:solidFill>
          </w14:textFill>
        </w:rPr>
        <w:t>不足4万的部分不计分</w:t>
      </w:r>
      <w:r>
        <w:rPr>
          <w:rFonts w:hint="eastAsia" w:ascii="宋体" w:hAnsi="宋体"/>
          <w:color w:val="000000" w:themeColor="text1"/>
          <w:spacing w:val="-4"/>
          <w:sz w:val="24"/>
          <w:highlight w:val="none"/>
          <w:lang w:eastAsia="zh-CN"/>
          <w14:textFill>
            <w14:solidFill>
              <w14:schemeClr w14:val="tx1"/>
            </w14:solidFill>
          </w14:textFill>
        </w:rPr>
        <w:t>）</w:t>
      </w:r>
      <w:r>
        <w:rPr>
          <w:rFonts w:hint="eastAsia" w:ascii="宋体" w:hAnsi="宋体"/>
          <w:color w:val="000000" w:themeColor="text1"/>
          <w:spacing w:val="-4"/>
          <w:sz w:val="24"/>
          <w:highlight w:val="none"/>
          <w14:textFill>
            <w14:solidFill>
              <w14:schemeClr w14:val="tx1"/>
            </w14:solidFill>
          </w14:textFill>
        </w:rPr>
        <w:t>。本项共15分。</w:t>
      </w:r>
    </w:p>
    <w:tbl>
      <w:tblPr>
        <w:tblStyle w:val="18"/>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3460"/>
        <w:gridCol w:w="1640"/>
        <w:gridCol w:w="900"/>
        <w:gridCol w:w="900"/>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78" w:type="dxa"/>
            <w:vAlign w:val="center"/>
          </w:tcPr>
          <w:p>
            <w:pPr>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序号</w:t>
            </w:r>
          </w:p>
        </w:tc>
        <w:tc>
          <w:tcPr>
            <w:tcW w:w="3460" w:type="dxa"/>
            <w:vAlign w:val="center"/>
          </w:tcPr>
          <w:p>
            <w:pPr>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商务竞争名称</w:t>
            </w:r>
          </w:p>
        </w:tc>
        <w:tc>
          <w:tcPr>
            <w:tcW w:w="1640" w:type="dxa"/>
            <w:vAlign w:val="center"/>
          </w:tcPr>
          <w:p>
            <w:pPr>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上浮费用</w:t>
            </w:r>
          </w:p>
        </w:tc>
        <w:tc>
          <w:tcPr>
            <w:tcW w:w="900" w:type="dxa"/>
            <w:vAlign w:val="center"/>
          </w:tcPr>
          <w:p>
            <w:pPr>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基本分</w:t>
            </w:r>
          </w:p>
        </w:tc>
        <w:tc>
          <w:tcPr>
            <w:tcW w:w="900" w:type="dxa"/>
            <w:vAlign w:val="center"/>
          </w:tcPr>
          <w:p>
            <w:pPr>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总得分</w:t>
            </w:r>
          </w:p>
        </w:tc>
        <w:tc>
          <w:tcPr>
            <w:tcW w:w="1945" w:type="dxa"/>
            <w:vAlign w:val="center"/>
          </w:tcPr>
          <w:p>
            <w:pPr>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78" w:type="dxa"/>
            <w:vAlign w:val="center"/>
          </w:tcPr>
          <w:p>
            <w:pPr>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p>
        </w:tc>
        <w:tc>
          <w:tcPr>
            <w:tcW w:w="3460" w:type="dxa"/>
            <w:vAlign w:val="center"/>
          </w:tcPr>
          <w:p>
            <w:pPr>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投资装饰装修与设备费用</w:t>
            </w:r>
          </w:p>
        </w:tc>
        <w:tc>
          <w:tcPr>
            <w:tcW w:w="1640" w:type="dxa"/>
            <w:vAlign w:val="center"/>
          </w:tcPr>
          <w:p>
            <w:pPr>
              <w:jc w:val="center"/>
              <w:rPr>
                <w:rFonts w:ascii="宋体" w:hAnsi="宋体"/>
                <w:color w:val="000000" w:themeColor="text1"/>
                <w:kern w:val="0"/>
                <w:szCs w:val="21"/>
                <w:highlight w:val="none"/>
                <w14:textFill>
                  <w14:solidFill>
                    <w14:schemeClr w14:val="tx1"/>
                  </w14:solidFill>
                </w14:textFill>
              </w:rPr>
            </w:pPr>
          </w:p>
        </w:tc>
        <w:tc>
          <w:tcPr>
            <w:tcW w:w="900" w:type="dxa"/>
            <w:vAlign w:val="center"/>
          </w:tcPr>
          <w:p>
            <w:pPr>
              <w:jc w:val="center"/>
              <w:rPr>
                <w:rFonts w:hint="eastAsia"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9</w:t>
            </w:r>
          </w:p>
        </w:tc>
        <w:tc>
          <w:tcPr>
            <w:tcW w:w="900" w:type="dxa"/>
            <w:vAlign w:val="center"/>
          </w:tcPr>
          <w:p>
            <w:pPr>
              <w:jc w:val="center"/>
              <w:rPr>
                <w:rFonts w:ascii="宋体" w:hAnsi="宋体"/>
                <w:color w:val="000000" w:themeColor="text1"/>
                <w:kern w:val="0"/>
                <w:szCs w:val="21"/>
                <w:highlight w:val="none"/>
                <w14:textFill>
                  <w14:solidFill>
                    <w14:schemeClr w14:val="tx1"/>
                  </w14:solidFill>
                </w14:textFill>
              </w:rPr>
            </w:pPr>
          </w:p>
        </w:tc>
        <w:tc>
          <w:tcPr>
            <w:tcW w:w="1945" w:type="dxa"/>
            <w:vAlign w:val="center"/>
          </w:tcPr>
          <w:p>
            <w:pPr>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低于100万为</w:t>
            </w:r>
            <w:r>
              <w:rPr>
                <w:rFonts w:hint="eastAsia" w:ascii="宋体" w:hAnsi="宋体"/>
                <w:color w:val="000000" w:themeColor="text1"/>
                <w:sz w:val="24"/>
                <w:highlight w:val="none"/>
                <w14:textFill>
                  <w14:solidFill>
                    <w14:schemeClr w14:val="tx1"/>
                  </w14:solidFill>
                </w14:textFill>
              </w:rPr>
              <w:t>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78" w:type="dxa"/>
            <w:vAlign w:val="center"/>
          </w:tcPr>
          <w:p>
            <w:pPr>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p>
        </w:tc>
        <w:tc>
          <w:tcPr>
            <w:tcW w:w="3460" w:type="dxa"/>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水资源管理费、污水处理费、垃圾清运及垃圾处理费等费用</w:t>
            </w:r>
          </w:p>
        </w:tc>
        <w:tc>
          <w:tcPr>
            <w:tcW w:w="1640" w:type="dxa"/>
            <w:vAlign w:val="center"/>
          </w:tcPr>
          <w:p>
            <w:pPr>
              <w:jc w:val="center"/>
              <w:rPr>
                <w:rFonts w:ascii="宋体" w:hAnsi="宋体"/>
                <w:color w:val="000000" w:themeColor="text1"/>
                <w:kern w:val="0"/>
                <w:szCs w:val="21"/>
                <w:highlight w:val="none"/>
                <w14:textFill>
                  <w14:solidFill>
                    <w14:schemeClr w14:val="tx1"/>
                  </w14:solidFill>
                </w14:textFill>
              </w:rPr>
            </w:pPr>
          </w:p>
        </w:tc>
        <w:tc>
          <w:tcPr>
            <w:tcW w:w="900" w:type="dxa"/>
            <w:vAlign w:val="center"/>
          </w:tcPr>
          <w:p>
            <w:pPr>
              <w:jc w:val="center"/>
              <w:rPr>
                <w:rFonts w:hint="eastAsia"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9</w:t>
            </w:r>
          </w:p>
        </w:tc>
        <w:tc>
          <w:tcPr>
            <w:tcW w:w="900" w:type="dxa"/>
            <w:vAlign w:val="center"/>
          </w:tcPr>
          <w:p>
            <w:pPr>
              <w:jc w:val="center"/>
              <w:rPr>
                <w:rFonts w:ascii="宋体" w:hAnsi="宋体"/>
                <w:color w:val="000000" w:themeColor="text1"/>
                <w:kern w:val="0"/>
                <w:szCs w:val="21"/>
                <w:highlight w:val="none"/>
                <w14:textFill>
                  <w14:solidFill>
                    <w14:schemeClr w14:val="tx1"/>
                  </w14:solidFill>
                </w14:textFill>
              </w:rPr>
            </w:pPr>
          </w:p>
        </w:tc>
        <w:tc>
          <w:tcPr>
            <w:tcW w:w="1945" w:type="dxa"/>
            <w:vAlign w:val="center"/>
          </w:tcPr>
          <w:p>
            <w:pPr>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低于</w:t>
            </w:r>
            <w:r>
              <w:rPr>
                <w:rFonts w:hint="eastAsia" w:ascii="宋体" w:hAnsi="宋体"/>
                <w:color w:val="000000" w:themeColor="text1"/>
                <w:kern w:val="0"/>
                <w:szCs w:val="21"/>
                <w:highlight w:val="none"/>
                <w:lang w:val="en-US" w:eastAsia="zh-CN"/>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0万为</w:t>
            </w:r>
            <w:r>
              <w:rPr>
                <w:rFonts w:hint="eastAsia" w:ascii="宋体" w:hAnsi="宋体"/>
                <w:color w:val="000000" w:themeColor="text1"/>
                <w:sz w:val="24"/>
                <w:highlight w:val="none"/>
                <w14:textFill>
                  <w14:solidFill>
                    <w14:schemeClr w14:val="tx1"/>
                  </w14:solidFill>
                </w14:textFill>
              </w:rPr>
              <w:t>废标</w:t>
            </w:r>
          </w:p>
        </w:tc>
      </w:tr>
    </w:tbl>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注：各项报价不设上限，在分数相同的情况下以报价高的供应商优先作为中标人候选人。</w:t>
      </w:r>
    </w:p>
    <w:p>
      <w:pPr>
        <w:spacing w:line="360" w:lineRule="auto"/>
        <w:ind w:firstLine="466" w:firstLineChars="200"/>
        <w:rPr>
          <w:rFonts w:ascii="宋体" w:hAnsi="宋体"/>
          <w:b/>
          <w:bCs/>
          <w:color w:val="000000" w:themeColor="text1"/>
          <w:spacing w:val="-4"/>
          <w:sz w:val="24"/>
          <w:highlight w:val="none"/>
          <w14:textFill>
            <w14:solidFill>
              <w14:schemeClr w14:val="tx1"/>
            </w14:solidFill>
          </w14:textFill>
        </w:rPr>
      </w:pPr>
      <w:r>
        <w:rPr>
          <w:rFonts w:hint="eastAsia" w:ascii="宋体" w:hAnsi="宋体"/>
          <w:b/>
          <w:bCs/>
          <w:color w:val="000000" w:themeColor="text1"/>
          <w:spacing w:val="-4"/>
          <w:sz w:val="24"/>
          <w:highlight w:val="none"/>
          <w14:textFill>
            <w14:solidFill>
              <w14:schemeClr w14:val="tx1"/>
            </w14:solidFill>
          </w14:textFill>
        </w:rPr>
        <w:t>七、确定中标候选人：</w:t>
      </w:r>
    </w:p>
    <w:p>
      <w:pPr>
        <w:spacing w:line="360" w:lineRule="auto"/>
        <w:ind w:firstLine="480" w:firstLineChars="200"/>
        <w:rPr>
          <w:rFonts w:ascii="宋体" w:hAnsi="宋体" w:cs="宋体"/>
          <w:b/>
          <w:bCs/>
          <w:snapToGrid w:val="0"/>
          <w:color w:val="000000" w:themeColor="text1"/>
          <w:kern w:val="0"/>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pacing w:val="-4"/>
          <w:sz w:val="24"/>
          <w:highlight w:val="none"/>
          <w14:textFill>
            <w14:solidFill>
              <w14:schemeClr w14:val="tx1"/>
            </w14:solidFill>
          </w14:textFill>
        </w:rPr>
        <w:t>评审委员会根据上述评分标准，由评委对投标</w:t>
      </w:r>
      <w:r>
        <w:rPr>
          <w:rFonts w:hint="eastAsia" w:ascii="宋体" w:hAnsi="宋体"/>
          <w:color w:val="000000" w:themeColor="text1"/>
          <w:spacing w:val="-4"/>
          <w:sz w:val="24"/>
          <w:highlight w:val="none"/>
          <w:lang w:val="en-US" w:eastAsia="zh-CN"/>
          <w14:textFill>
            <w14:solidFill>
              <w14:schemeClr w14:val="tx1"/>
            </w14:solidFill>
          </w14:textFill>
        </w:rPr>
        <w:t>文件</w:t>
      </w:r>
      <w:r>
        <w:rPr>
          <w:rFonts w:hint="eastAsia" w:ascii="宋体" w:hAnsi="宋体"/>
          <w:color w:val="000000" w:themeColor="text1"/>
          <w:spacing w:val="-4"/>
          <w:sz w:val="24"/>
          <w:highlight w:val="none"/>
          <w14:textFill>
            <w14:solidFill>
              <w14:schemeClr w14:val="tx1"/>
            </w14:solidFill>
          </w14:textFill>
        </w:rPr>
        <w:t>分别进行综合打分（评分分值计算保留小数点后两位，小数点后第三位“四舍五入”；），最终得分最高的为中标人，</w:t>
      </w:r>
      <w:r>
        <w:rPr>
          <w:rFonts w:hint="eastAsia" w:ascii="宋体" w:hAnsi="宋体"/>
          <w:color w:val="000000" w:themeColor="text1"/>
          <w:spacing w:val="-4"/>
          <w:sz w:val="24"/>
          <w:highlight w:val="none"/>
          <w14:textFill>
            <w14:solidFill>
              <w14:schemeClr w14:val="tx1"/>
            </w14:solidFill>
          </w14:textFill>
        </w:rPr>
        <w:t>在分数相同的情况下以报价高的供应商</w:t>
      </w:r>
      <w:r>
        <w:rPr>
          <w:rFonts w:hint="eastAsia" w:ascii="宋体" w:hAnsi="宋体"/>
          <w:color w:val="000000" w:themeColor="text1"/>
          <w:spacing w:val="-4"/>
          <w:sz w:val="24"/>
          <w:highlight w:val="none"/>
          <w14:textFill>
            <w14:solidFill>
              <w14:schemeClr w14:val="tx1"/>
            </w14:solidFill>
          </w14:textFill>
        </w:rPr>
        <w:t>优先</w:t>
      </w:r>
      <w:r>
        <w:rPr>
          <w:rFonts w:hint="eastAsia" w:ascii="宋体" w:hAnsi="宋体"/>
          <w:color w:val="000000" w:themeColor="text1"/>
          <w:spacing w:val="-4"/>
          <w:sz w:val="24"/>
          <w:highlight w:val="none"/>
          <w14:textFill>
            <w14:solidFill>
              <w14:schemeClr w14:val="tx1"/>
            </w14:solidFill>
          </w14:textFill>
        </w:rPr>
        <w:t>作为中标人，</w:t>
      </w:r>
      <w:r>
        <w:rPr>
          <w:rFonts w:hint="eastAsia" w:ascii="宋体" w:hAnsi="宋体"/>
          <w:color w:val="000000" w:themeColor="text1"/>
          <w:spacing w:val="-4"/>
          <w:sz w:val="24"/>
          <w:highlight w:val="none"/>
          <w14:textFill>
            <w14:solidFill>
              <w14:schemeClr w14:val="tx1"/>
            </w14:solidFill>
          </w14:textFill>
        </w:rPr>
        <w:t>分数相同，报价相同的情况下由投标代表抽签确定中标人。若中标人弃标的，招标人可以按照评标委员会提出的投标名单排序依次确定其他中标候选人为中标人，也可以依法重新招标。按照投标单位最终得分由高到低的顺序对投标单位进行排序，推荐出得分最高的第一名为中标人。公示时间为一个工作日。各潜在投标人学生食堂承包经营权只能限其中一项。</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若在中标结果公示期间，中标人被查实存在影响中标结果的违法违规行为等情形，不符合中标条件的，招标人可以按照评标委员会提出的投标名单排序依次确定其他中标候选人为中标人，也可以依法重新招标。</w:t>
      </w:r>
    </w:p>
    <w:p>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（3）招标人将在公示结束后的1个工作日内，向中标人发出中标通知书。</w:t>
      </w:r>
    </w:p>
    <w:p>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（4）中标人在收到中标通知书后，应按招标人的安排，与招标人签订合同。</w:t>
      </w:r>
    </w:p>
    <w:p>
      <w:pPr>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八、有下列情形之一的，视为投标人串通投标，其投标无效：</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（一）不同投标人的投标文件由同一单位或者个人编制；</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（二）不同投标人委托同一单位或者个人办理投标事宜；</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（三）不同投标人的投标文件载明的项目管理成员或者联系人员为同一人；</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（四）不同投标人的投标文件异常一致或者投标报价呈规律性差异；</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（五）不同投标人的投标文件相互混装；</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（六）不同投标人的投标保证金从同一单位或者个人的账户转出。</w:t>
      </w:r>
    </w:p>
    <w:p>
      <w:pPr>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九、其他注意事项</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1.评标委员会不向未中标方解释未中标原因，不退还投标文件。</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2.若出现少于三家投标方进行投标的或有效投标不足三家的，将重新招标。</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3.投标方应承担所有与准备和参加投标有关的费用，不论投标的结果如何，招标方均无义务和责任承担相关费用。</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4.不符合招标文件中规定的实质性要求，作废标处理。</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5.投标人不遵守《中华人民共和国招标投标法》、《中华人民共和国招标投标法实施条例》、《政府采购货物和服务招投标管理办法》有关规定，或有串通投标、弄虚作假行为的，其投标一律无效。</w:t>
      </w:r>
    </w:p>
    <w:p>
      <w:pPr>
        <w:pStyle w:val="11"/>
        <w:rPr>
          <w:rFonts w:ascii="宋体" w:hAnsi="宋体"/>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6"/>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招标文件第二部分</w:t>
      </w:r>
      <w:bookmarkEnd w:id="118"/>
      <w:r>
        <w:rPr>
          <w:rFonts w:hint="eastAsia"/>
          <w:snapToGrid w:val="0"/>
          <w:color w:val="000000" w:themeColor="text1"/>
          <w:kern w:val="0"/>
          <w:highlight w:val="none"/>
          <w14:textFill>
            <w14:solidFill>
              <w14:schemeClr w14:val="tx1"/>
            </w14:solidFill>
          </w14:textFill>
        </w:rPr>
        <w:t>（通用部分）</w:t>
      </w:r>
      <w:bookmarkEnd w:id="119"/>
      <w:bookmarkEnd w:id="120"/>
      <w:bookmarkEnd w:id="121"/>
      <w:bookmarkEnd w:id="122"/>
    </w:p>
    <w:p>
      <w:pPr>
        <w:pStyle w:val="7"/>
        <w:rPr>
          <w:snapToGrid w:val="0"/>
          <w:color w:val="000000" w:themeColor="text1"/>
          <w:kern w:val="0"/>
          <w:highlight w:val="none"/>
          <w14:textFill>
            <w14:solidFill>
              <w14:schemeClr w14:val="tx1"/>
            </w14:solidFill>
          </w14:textFill>
        </w:rPr>
      </w:pPr>
      <w:bookmarkStart w:id="123" w:name="_Toc26006"/>
      <w:bookmarkStart w:id="124" w:name="_Toc25845"/>
      <w:bookmarkStart w:id="125" w:name="_Toc8136"/>
      <w:bookmarkStart w:id="126" w:name="_Toc14506"/>
      <w:bookmarkStart w:id="127" w:name="_Toc482084463"/>
      <w:r>
        <w:rPr>
          <w:rFonts w:hint="eastAsia"/>
          <w:snapToGrid w:val="0"/>
          <w:color w:val="000000" w:themeColor="text1"/>
          <w:kern w:val="0"/>
          <w:highlight w:val="none"/>
          <w14:textFill>
            <w14:solidFill>
              <w14:schemeClr w14:val="tx1"/>
            </w14:solidFill>
          </w14:textFill>
        </w:rPr>
        <w:t>第五章 投标人须知</w:t>
      </w:r>
      <w:bookmarkEnd w:id="123"/>
      <w:bookmarkEnd w:id="124"/>
      <w:bookmarkEnd w:id="125"/>
      <w:bookmarkEnd w:id="126"/>
      <w:bookmarkEnd w:id="127"/>
    </w:p>
    <w:p>
      <w:pPr>
        <w:pStyle w:val="8"/>
        <w:ind w:firstLine="482"/>
        <w:jc w:val="both"/>
        <w:rPr>
          <w:snapToGrid w:val="0"/>
          <w:color w:val="000000" w:themeColor="text1"/>
          <w:kern w:val="0"/>
          <w:szCs w:val="24"/>
          <w:highlight w:val="none"/>
          <w14:textFill>
            <w14:solidFill>
              <w14:schemeClr w14:val="tx1"/>
            </w14:solidFill>
          </w14:textFill>
        </w:rPr>
      </w:pPr>
      <w:bookmarkStart w:id="128" w:name="_Toc16309"/>
      <w:bookmarkStart w:id="129" w:name="_Toc19643"/>
      <w:bookmarkStart w:id="130" w:name="_Toc482084464"/>
      <w:bookmarkStart w:id="131" w:name="_Toc32377"/>
      <w:bookmarkStart w:id="132" w:name="_Toc13005"/>
      <w:r>
        <w:rPr>
          <w:rFonts w:hint="eastAsia"/>
          <w:snapToGrid w:val="0"/>
          <w:color w:val="000000" w:themeColor="text1"/>
          <w:kern w:val="0"/>
          <w:szCs w:val="24"/>
          <w:highlight w:val="none"/>
          <w14:textFill>
            <w14:solidFill>
              <w14:schemeClr w14:val="tx1"/>
            </w14:solidFill>
          </w14:textFill>
        </w:rPr>
        <w:t>一、总则</w:t>
      </w:r>
      <w:bookmarkEnd w:id="128"/>
      <w:bookmarkEnd w:id="129"/>
      <w:bookmarkEnd w:id="130"/>
      <w:bookmarkEnd w:id="131"/>
      <w:bookmarkEnd w:id="132"/>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1、适用范围</w:t>
      </w:r>
    </w:p>
    <w:p>
      <w:pPr>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1.1本标准文本是根据《中华人民共和国政府采购法》、《中华人民共和国政府采购法实施条例》等有关法律、法规制订。</w:t>
      </w:r>
    </w:p>
    <w:p>
      <w:pPr>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1.2凡在宿州市境内从事货物服务公开招标的政府采购项目，均须使用本标准文本。</w:t>
      </w:r>
    </w:p>
    <w:p>
      <w:pPr>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1.3本招标文件的最终解释权归采购单位所有。</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2、定义</w:t>
      </w:r>
    </w:p>
    <w:p>
      <w:pPr>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2.1货物服务：既是指本范本适用于货物采购或服务采购，也是指货物采购所伴随的服务或服务采购中伴随的货物采购。</w:t>
      </w:r>
    </w:p>
    <w:p>
      <w:pPr>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2.2采购单位：是指具体负责和从事采购业务的集中采购机构、社会中介代理机构和采购人的总称。</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3、投标人要求</w:t>
      </w:r>
    </w:p>
    <w:p>
      <w:pPr>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3.1投标人资格要求详见招标公告。</w:t>
      </w:r>
    </w:p>
    <w:p>
      <w:pPr>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3.2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3.3、应按投标招标公告中的要求报名并参加投标。</w:t>
      </w:r>
    </w:p>
    <w:p>
      <w:pPr>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3.4、中小微企业参与政府采购活动的，应当提供《中小企业声明函》原件上传在电子文件中。</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根据《安徽省财政厅关于进一步优化政府采购营商环境的通知》（皖财购〔2022〕556 号）通知，对小型和微型企业的最后报价给予/%的价格扣除，用扣除后的价格参与评审。（货物、服务项目：10％-20％）（工程项目：3%-5%）</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大中型企业与小微企业组成联合体共同参加非专门面向中小企业的政府采购活动的，可给予联合体4%-6%的价格扣除（货物、服务项目）；小型、微型企业的协议合同金额占到联合体投标协议合同总金额30%以上的工程项目，可给予联合体 1%-2%的价格扣除（工程项目）。</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 xml:space="preserve"> 联合体各方均为小型、微型企业的，联合体视同为小型、微型企业享受规定的扶持政策。组成联合体的大中型企业和其他自然人、法人或者其他组织，与小型、微型企业之间不得存在直接控股、管理关系。</w:t>
      </w:r>
    </w:p>
    <w:p>
      <w:pPr>
        <w:wordWrap w:val="0"/>
        <w:spacing w:line="360" w:lineRule="auto"/>
        <w:ind w:firstLine="480" w:firstLineChars="200"/>
        <w:rPr>
          <w:rFonts w:ascii="宋体" w:hAnsi="宋体" w:cs="宋体"/>
          <w:snapToGrid w:val="0"/>
          <w:color w:val="000000" w:themeColor="text1"/>
          <w:kern w:val="0"/>
          <w:sz w:val="24"/>
          <w:szCs w:val="24"/>
          <w:highlight w:val="none"/>
          <w:lang w:val="zh-CN"/>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3.5、监狱企业参加政府采购活动的，</w:t>
      </w:r>
      <w:r>
        <w:rPr>
          <w:rFonts w:hint="eastAsia" w:ascii="宋体" w:hAnsi="宋体" w:cs="宋体"/>
          <w:snapToGrid w:val="0"/>
          <w:color w:val="000000" w:themeColor="text1"/>
          <w:kern w:val="0"/>
          <w:sz w:val="24"/>
          <w:szCs w:val="24"/>
          <w:highlight w:val="none"/>
          <w:lang w:val="zh-CN"/>
          <w14:textFill>
            <w14:solidFill>
              <w14:schemeClr w14:val="tx1"/>
            </w14:solidFill>
          </w14:textFill>
        </w:rPr>
        <w:t>应提供由省级以上监狱管理局、戒毒管理局（含新疆生产建设兵团）出具属于监狱企业的证明文件复印件。</w:t>
      </w:r>
    </w:p>
    <w:p>
      <w:pPr>
        <w:wordWrap w:val="0"/>
        <w:spacing w:line="360" w:lineRule="auto"/>
        <w:ind w:firstLine="480" w:firstLineChars="200"/>
        <w:rPr>
          <w:rFonts w:ascii="宋体" w:hAnsi="宋体" w:cs="宋体"/>
          <w:snapToGrid w:val="0"/>
          <w:color w:val="000000" w:themeColor="text1"/>
          <w:kern w:val="0"/>
          <w:sz w:val="24"/>
          <w:szCs w:val="24"/>
          <w:highlight w:val="none"/>
          <w:lang w:val="zh-CN"/>
          <w14:textFill>
            <w14:solidFill>
              <w14:schemeClr w14:val="tx1"/>
            </w14:solidFill>
          </w14:textFill>
        </w:rPr>
      </w:pPr>
      <w:r>
        <w:rPr>
          <w:rFonts w:hint="eastAsia" w:ascii="宋体" w:hAnsi="宋体" w:cs="宋体"/>
          <w:snapToGrid w:val="0"/>
          <w:color w:val="000000" w:themeColor="text1"/>
          <w:kern w:val="0"/>
          <w:sz w:val="24"/>
          <w:szCs w:val="24"/>
          <w:highlight w:val="none"/>
          <w:lang w:val="zh-CN"/>
          <w14:textFill>
            <w14:solidFill>
              <w14:schemeClr w14:val="tx1"/>
            </w14:solidFill>
          </w14:textFill>
        </w:rPr>
        <w:t>根据《关于政府采购支持监狱企业发展有关问题的通知》（财库[2014]68号）的规定，对监狱企业的最后报价给予</w:t>
      </w:r>
      <w:r>
        <w:rPr>
          <w:rFonts w:hint="eastAsia" w:ascii="宋体" w:hAnsi="宋体" w:cs="宋体"/>
          <w:snapToGrid w:val="0"/>
          <w:color w:val="000000" w:themeColor="text1"/>
          <w:kern w:val="0"/>
          <w:sz w:val="24"/>
          <w:szCs w:val="24"/>
          <w:highlight w:val="none"/>
          <w:u w:val="single"/>
          <w14:textFill>
            <w14:solidFill>
              <w14:schemeClr w14:val="tx1"/>
            </w14:solidFill>
          </w14:textFill>
        </w:rPr>
        <w:t xml:space="preserve"> / </w:t>
      </w:r>
      <w:r>
        <w:rPr>
          <w:rFonts w:hint="eastAsia" w:ascii="宋体" w:hAnsi="宋体" w:cs="宋体"/>
          <w:snapToGrid w:val="0"/>
          <w:color w:val="000000" w:themeColor="text1"/>
          <w:kern w:val="0"/>
          <w:sz w:val="24"/>
          <w:szCs w:val="24"/>
          <w:highlight w:val="none"/>
          <w14:textFill>
            <w14:solidFill>
              <w14:schemeClr w14:val="tx1"/>
            </w14:solidFill>
          </w14:textFill>
        </w:rPr>
        <w:t>%</w:t>
      </w:r>
      <w:r>
        <w:rPr>
          <w:rFonts w:hint="eastAsia" w:ascii="宋体" w:hAnsi="宋体" w:cs="宋体"/>
          <w:snapToGrid w:val="0"/>
          <w:color w:val="000000" w:themeColor="text1"/>
          <w:kern w:val="0"/>
          <w:sz w:val="24"/>
          <w:szCs w:val="24"/>
          <w:highlight w:val="none"/>
          <w:lang w:val="zh-CN"/>
          <w14:textFill>
            <w14:solidFill>
              <w14:schemeClr w14:val="tx1"/>
            </w14:solidFill>
          </w14:textFill>
        </w:rPr>
        <w:t>的价格扣除，用扣除后的价格参与评审。</w:t>
      </w:r>
    </w:p>
    <w:p>
      <w:pPr>
        <w:wordWrap w:val="0"/>
        <w:spacing w:line="360" w:lineRule="auto"/>
        <w:ind w:firstLine="480" w:firstLineChars="200"/>
        <w:rPr>
          <w:rFonts w:ascii="宋体" w:hAnsi="宋体" w:cs="宋体"/>
          <w:snapToGrid w:val="0"/>
          <w:color w:val="000000" w:themeColor="text1"/>
          <w:kern w:val="0"/>
          <w:sz w:val="24"/>
          <w:szCs w:val="24"/>
          <w:highlight w:val="none"/>
          <w:lang w:val="zh-CN"/>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监狱企业</w:t>
      </w:r>
      <w:r>
        <w:rPr>
          <w:rFonts w:hint="eastAsia" w:ascii="宋体" w:hAnsi="宋体" w:cs="宋体"/>
          <w:snapToGrid w:val="0"/>
          <w:color w:val="000000" w:themeColor="text1"/>
          <w:kern w:val="0"/>
          <w:sz w:val="24"/>
          <w:szCs w:val="24"/>
          <w:highlight w:val="none"/>
          <w:lang w:val="zh-CN"/>
          <w14:textFill>
            <w14:solidFill>
              <w14:schemeClr w14:val="tx1"/>
            </w14:solidFill>
          </w14:textFill>
        </w:rPr>
        <w:t>属于小型、微型企业的，不重复享受政策。</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3.6、</w:t>
      </w:r>
      <w:r>
        <w:rPr>
          <w:rFonts w:hint="eastAsia" w:ascii="宋体" w:hAnsi="宋体" w:cs="宋体"/>
          <w:snapToGrid w:val="0"/>
          <w:color w:val="000000" w:themeColor="text1"/>
          <w:kern w:val="0"/>
          <w:sz w:val="24"/>
          <w:szCs w:val="24"/>
          <w:highlight w:val="none"/>
          <w:lang w:val="zh-CN"/>
          <w14:textFill>
            <w14:solidFill>
              <w14:schemeClr w14:val="tx1"/>
            </w14:solidFill>
          </w14:textFill>
        </w:rPr>
        <w:t>残疾人福利性单位参加政府采购活动的应当提供《残疾人福利性单位声明函》原件</w:t>
      </w:r>
      <w:r>
        <w:rPr>
          <w:rFonts w:hint="eastAsia" w:ascii="宋体" w:hAnsi="宋体" w:cs="宋体"/>
          <w:snapToGrid w:val="0"/>
          <w:color w:val="000000" w:themeColor="text1"/>
          <w:kern w:val="0"/>
          <w:sz w:val="24"/>
          <w:szCs w:val="24"/>
          <w:highlight w:val="none"/>
          <w14:textFill>
            <w14:solidFill>
              <w14:schemeClr w14:val="tx1"/>
            </w14:solidFill>
          </w14:textFill>
        </w:rPr>
        <w:t>放于投标文件中。</w:t>
      </w:r>
    </w:p>
    <w:p>
      <w:pPr>
        <w:wordWrap w:val="0"/>
        <w:spacing w:line="360" w:lineRule="auto"/>
        <w:ind w:firstLine="480" w:firstLineChars="200"/>
        <w:rPr>
          <w:rFonts w:ascii="宋体" w:hAnsi="宋体" w:cs="宋体"/>
          <w:snapToGrid w:val="0"/>
          <w:color w:val="000000" w:themeColor="text1"/>
          <w:kern w:val="0"/>
          <w:sz w:val="24"/>
          <w:szCs w:val="24"/>
          <w:highlight w:val="none"/>
          <w:lang w:val="zh-CN"/>
          <w14:textFill>
            <w14:solidFill>
              <w14:schemeClr w14:val="tx1"/>
            </w14:solidFill>
          </w14:textFill>
        </w:rPr>
      </w:pPr>
      <w:r>
        <w:rPr>
          <w:rFonts w:hint="eastAsia" w:ascii="宋体" w:hAnsi="宋体" w:cs="宋体"/>
          <w:snapToGrid w:val="0"/>
          <w:color w:val="000000" w:themeColor="text1"/>
          <w:kern w:val="0"/>
          <w:sz w:val="24"/>
          <w:szCs w:val="24"/>
          <w:highlight w:val="none"/>
          <w:lang w:val="zh-CN"/>
          <w14:textFill>
            <w14:solidFill>
              <w14:schemeClr w14:val="tx1"/>
            </w14:solidFill>
          </w14:textFill>
        </w:rPr>
        <w:t>根据《三部门联合发布关于促进残疾人就业政府采购政策的通知》（财库[2017]141号）的规定，残疾人福利性单位视同小型和微型企业，对残疾人福利性单位的最后价格给予</w:t>
      </w:r>
      <w:r>
        <w:rPr>
          <w:rFonts w:hint="eastAsia" w:ascii="宋体" w:hAnsi="宋体" w:cs="宋体"/>
          <w:snapToGrid w:val="0"/>
          <w:color w:val="000000" w:themeColor="text1"/>
          <w:kern w:val="0"/>
          <w:sz w:val="24"/>
          <w:szCs w:val="24"/>
          <w:highlight w:val="none"/>
          <w:u w:val="single"/>
          <w14:textFill>
            <w14:solidFill>
              <w14:schemeClr w14:val="tx1"/>
            </w14:solidFill>
          </w14:textFill>
        </w:rPr>
        <w:t xml:space="preserve"> / </w:t>
      </w:r>
      <w:r>
        <w:rPr>
          <w:rFonts w:hint="eastAsia" w:ascii="宋体" w:hAnsi="宋体" w:cs="宋体"/>
          <w:snapToGrid w:val="0"/>
          <w:color w:val="000000" w:themeColor="text1"/>
          <w:kern w:val="0"/>
          <w:sz w:val="24"/>
          <w:szCs w:val="24"/>
          <w:highlight w:val="none"/>
          <w14:textFill>
            <w14:solidFill>
              <w14:schemeClr w14:val="tx1"/>
            </w14:solidFill>
          </w14:textFill>
        </w:rPr>
        <w:t>%</w:t>
      </w:r>
      <w:r>
        <w:rPr>
          <w:rFonts w:hint="eastAsia" w:ascii="宋体" w:hAnsi="宋体" w:cs="宋体"/>
          <w:snapToGrid w:val="0"/>
          <w:color w:val="000000" w:themeColor="text1"/>
          <w:kern w:val="0"/>
          <w:sz w:val="24"/>
          <w:szCs w:val="24"/>
          <w:highlight w:val="none"/>
          <w:lang w:val="zh-CN"/>
          <w14:textFill>
            <w14:solidFill>
              <w14:schemeClr w14:val="tx1"/>
            </w14:solidFill>
          </w14:textFill>
        </w:rPr>
        <w:t>的价格扣除，用扣除后的价格参与评审。</w:t>
      </w:r>
    </w:p>
    <w:p>
      <w:pPr>
        <w:wordWrap w:val="0"/>
        <w:spacing w:line="360" w:lineRule="auto"/>
        <w:ind w:firstLine="480" w:firstLineChars="200"/>
        <w:rPr>
          <w:rFonts w:ascii="宋体" w:hAnsi="宋体" w:cs="宋体"/>
          <w:snapToGrid w:val="0"/>
          <w:color w:val="000000" w:themeColor="text1"/>
          <w:kern w:val="0"/>
          <w:sz w:val="24"/>
          <w:szCs w:val="24"/>
          <w:highlight w:val="none"/>
          <w:lang w:val="zh-CN"/>
          <w14:textFill>
            <w14:solidFill>
              <w14:schemeClr w14:val="tx1"/>
            </w14:solidFill>
          </w14:textFill>
        </w:rPr>
      </w:pPr>
      <w:r>
        <w:rPr>
          <w:rFonts w:hint="eastAsia" w:ascii="宋体" w:hAnsi="宋体" w:cs="宋体"/>
          <w:snapToGrid w:val="0"/>
          <w:color w:val="000000" w:themeColor="text1"/>
          <w:kern w:val="0"/>
          <w:sz w:val="24"/>
          <w:szCs w:val="24"/>
          <w:highlight w:val="none"/>
          <w:lang w:val="zh-CN"/>
          <w14:textFill>
            <w14:solidFill>
              <w14:schemeClr w14:val="tx1"/>
            </w14:solidFill>
          </w14:textFill>
        </w:rPr>
        <w:t>残疾人福利性单位属于小型、微型企业的，不重复享受政策。</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4、投标费用</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投标人必须自行承担所有与参加本项目投标有关的费用。不论投标的结果如何，采购人在任何情况下均无义务和责任承担这些费用。</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5、保密</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参与政府采购活动的各方主体应对招标文件和投标文件中的商业和技术等秘密保密，违者应对由此造成的后果承担法律责任。</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6、语言文字</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招标投标文件使用的语言文字、以及投标人与采购单位就投标相关事项的所有往来函电均须使用简体中文（部分专用术语需使用外文的除外）。</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7、计量单位</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所有计量均采用中华人民共和国法定计量单位。</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8、勘察现场</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采购单位根据项目的具体情况，可以组织潜在投标人现场考察或者召开开标前答疑会，但不得单独或者分别组织只有一个投标人参加的现场考察。</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9、偏离</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招标文件允许投标文件偏离某些要求的，偏离应当符合招标文件规定的偏离范围和幅度。</w:t>
      </w:r>
    </w:p>
    <w:p>
      <w:pPr>
        <w:pStyle w:val="8"/>
        <w:ind w:firstLine="482"/>
        <w:rPr>
          <w:snapToGrid w:val="0"/>
          <w:color w:val="000000" w:themeColor="text1"/>
          <w:kern w:val="0"/>
          <w:highlight w:val="none"/>
          <w14:textFill>
            <w14:solidFill>
              <w14:schemeClr w14:val="tx1"/>
            </w14:solidFill>
          </w14:textFill>
        </w:rPr>
      </w:pPr>
      <w:bookmarkStart w:id="133" w:name="_Toc20833"/>
      <w:bookmarkStart w:id="134" w:name="_Toc482084465"/>
      <w:bookmarkStart w:id="135" w:name="_Toc27737"/>
      <w:bookmarkStart w:id="136" w:name="_Toc32590"/>
      <w:bookmarkStart w:id="137" w:name="_Toc27885"/>
      <w:r>
        <w:rPr>
          <w:rFonts w:hint="eastAsia"/>
          <w:snapToGrid w:val="0"/>
          <w:color w:val="000000" w:themeColor="text1"/>
          <w:kern w:val="0"/>
          <w:highlight w:val="none"/>
          <w14:textFill>
            <w14:solidFill>
              <w14:schemeClr w14:val="tx1"/>
            </w14:solidFill>
          </w14:textFill>
        </w:rPr>
        <w:t>二、招标文件</w:t>
      </w:r>
      <w:bookmarkEnd w:id="133"/>
      <w:bookmarkEnd w:id="134"/>
      <w:bookmarkEnd w:id="135"/>
      <w:bookmarkEnd w:id="136"/>
      <w:bookmarkEnd w:id="137"/>
    </w:p>
    <w:p>
      <w:pPr>
        <w:wordWrap w:val="0"/>
        <w:spacing w:line="360" w:lineRule="auto"/>
        <w:ind w:firstLine="482" w:firstLineChars="200"/>
        <w:rPr>
          <w:rFonts w:ascii="宋体" w:hAnsi="宋体" w:cs="宋体"/>
          <w:b/>
          <w:bCs/>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10、招标文件构成</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10.1招标文件包括以下部分：</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10.1.1第一章招标公告；</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10.1.2第二章投标人须知前附表；</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10.1.3第三章货物需求一览表；</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10.1.4第四章评标办法；</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10.1.5第五章投标人须知；</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10.1.6第六章采购合同；</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10.1.7第七章投标文件格式；</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10.1.8发布的附件、答疑、补遗、补充通知等。</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10.2投标人应认真阅读和充分理解招标文件中所有的内容。如果投标人没有满足招标文件的有关要求，其风险由投标人自行承担。</w:t>
      </w:r>
    </w:p>
    <w:p>
      <w:pPr>
        <w:tabs>
          <w:tab w:val="left" w:pos="0"/>
        </w:tabs>
        <w:wordWrap w:val="0"/>
        <w:spacing w:line="360" w:lineRule="auto"/>
        <w:ind w:firstLine="482" w:firstLineChars="200"/>
        <w:rPr>
          <w:rFonts w:ascii="宋体" w:hAnsi="宋体" w:cs="宋体"/>
          <w:b/>
          <w:bCs/>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 xml:space="preserve">11、招标文件的澄清和修改 </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bookmarkStart w:id="138" w:name="_Toc365620545"/>
      <w:r>
        <w:rPr>
          <w:rFonts w:hint="eastAsia" w:ascii="宋体" w:hAnsi="宋体" w:cs="宋体"/>
          <w:snapToGrid w:val="0"/>
          <w:color w:val="000000" w:themeColor="text1"/>
          <w:kern w:val="0"/>
          <w:sz w:val="24"/>
          <w:szCs w:val="24"/>
          <w:highlight w:val="none"/>
          <w14:textFill>
            <w14:solidFill>
              <w14:schemeClr w14:val="tx1"/>
            </w14:solidFill>
          </w14:textFill>
        </w:rPr>
        <w:t>11.1投标人应仔细阅读和检查招标文件的全部内容。如发现缺页或附件不全、含义表达不清、有明显文字、计算错误等情形，应及时向采购人或代理机构提出询问。采购人或者代理机构应当在3个工作日内对供应商依法提出的询问做出答复，答复内容将在本项目交易平台所在地交易中心门户网答疑澄清栏中公布。</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11.2采购人或代理机构可以对已发出的招标文件进行必要的澄清或者修改，招标文件的澄清或修改将在本项目交易平台所在地交易中心门户网答疑澄清栏中公布，但不指明问题的来源，所有购买招标文件的潜在投标人均有义务自行查看该澄清或修改的内容。澄清或者修改的内容可能影响投标文件编制的，采购人或代理机构应当在投标截止时间至少15日前发布，不足15日的，采购人或者代理机构应当顺延提交投标文件的截止时间。</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11.3当招标文件的澄清、修改、补充等在同一内容的表述上不一致时，以最后发出的为准。</w:t>
      </w:r>
    </w:p>
    <w:p>
      <w:pPr>
        <w:wordWrap w:val="0"/>
        <w:spacing w:line="360" w:lineRule="auto"/>
        <w:ind w:firstLine="482" w:firstLineChars="200"/>
        <w:rPr>
          <w:rFonts w:ascii="宋体" w:hAnsi="宋体" w:cs="宋体"/>
          <w:b/>
          <w:bCs/>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12、招标文件的</w:t>
      </w:r>
      <w:bookmarkEnd w:id="138"/>
      <w:r>
        <w:rPr>
          <w:rFonts w:hint="eastAsia" w:ascii="宋体" w:hAnsi="宋体" w:cs="宋体"/>
          <w:b/>
          <w:bCs/>
          <w:snapToGrid w:val="0"/>
          <w:color w:val="000000" w:themeColor="text1"/>
          <w:kern w:val="0"/>
          <w:sz w:val="24"/>
          <w:szCs w:val="24"/>
          <w:highlight w:val="none"/>
          <w14:textFill>
            <w14:solidFill>
              <w14:schemeClr w14:val="tx1"/>
            </w14:solidFill>
          </w14:textFill>
        </w:rPr>
        <w:t>质疑和答复</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12.1潜在供应商已依法获取本招标文件的（应提供依法获取招标文件的证明材料），可以对本招标文件提出质疑。质疑应当在获取招标文件或者招标文件公告期限届满之日起7个工作日内以书面形式向采购人或代理机构提出，质疑函的内容应包括《政府采购质疑和投诉办法》（财政部令第94号）第十二条规定的内容。</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12.2供应商对招标文件有质疑的，应在法定质疑期内一次性提出，采购人或代理机构不再接受同一供应商针对同一招标文件提出的再次质疑（对同一质疑的补充除外）。</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12.3采购人或代理机构应当在收到质疑后7个工作日内做出答复。答复内容将在本项目交易平台所在地交易中心门户网站答疑澄清栏中公布，所有获取招标文件的潜在供应商均有义务自行查看该答复内容。</w:t>
      </w:r>
    </w:p>
    <w:p>
      <w:pPr>
        <w:pStyle w:val="8"/>
        <w:ind w:firstLine="482"/>
        <w:jc w:val="both"/>
        <w:rPr>
          <w:snapToGrid w:val="0"/>
          <w:color w:val="000000" w:themeColor="text1"/>
          <w:kern w:val="0"/>
          <w:szCs w:val="24"/>
          <w:highlight w:val="none"/>
          <w14:textFill>
            <w14:solidFill>
              <w14:schemeClr w14:val="tx1"/>
            </w14:solidFill>
          </w14:textFill>
        </w:rPr>
      </w:pPr>
      <w:bookmarkStart w:id="139" w:name="_Toc6901"/>
      <w:bookmarkStart w:id="140" w:name="_Toc349"/>
      <w:bookmarkStart w:id="141" w:name="_Toc482084466"/>
      <w:bookmarkStart w:id="142" w:name="_Toc14028"/>
      <w:bookmarkStart w:id="143" w:name="_Toc6559"/>
      <w:r>
        <w:rPr>
          <w:rFonts w:hint="eastAsia"/>
          <w:snapToGrid w:val="0"/>
          <w:color w:val="000000" w:themeColor="text1"/>
          <w:kern w:val="0"/>
          <w:szCs w:val="24"/>
          <w:highlight w:val="none"/>
          <w14:textFill>
            <w14:solidFill>
              <w14:schemeClr w14:val="tx1"/>
            </w14:solidFill>
          </w14:textFill>
        </w:rPr>
        <w:t>三、投标文件</w:t>
      </w:r>
      <w:bookmarkEnd w:id="139"/>
      <w:bookmarkEnd w:id="140"/>
      <w:bookmarkEnd w:id="141"/>
      <w:bookmarkEnd w:id="142"/>
      <w:bookmarkEnd w:id="143"/>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13、投标文件的组成</w:t>
      </w:r>
    </w:p>
    <w:p>
      <w:pPr>
        <w:tabs>
          <w:tab w:val="left" w:pos="0"/>
        </w:tabs>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13.1投标文件由开标一览表、投标书和资格证明文件三部分组成。</w:t>
      </w:r>
    </w:p>
    <w:p>
      <w:pPr>
        <w:tabs>
          <w:tab w:val="left" w:pos="0"/>
        </w:tabs>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13.1.1开标一览表</w:t>
      </w:r>
    </w:p>
    <w:p>
      <w:pPr>
        <w:tabs>
          <w:tab w:val="left" w:pos="0"/>
        </w:tabs>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13.1.2投标书包括下列内容：投标函格式、开标一览表、分项报价表、技术规格（项目要求）响应情况表、商务要求响应情况表、货物服务实施方案等。</w:t>
      </w:r>
    </w:p>
    <w:p>
      <w:pPr>
        <w:tabs>
          <w:tab w:val="left" w:pos="0"/>
        </w:tabs>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13.1.3证明投标人合格的资格文件</w:t>
      </w:r>
    </w:p>
    <w:p>
      <w:pPr>
        <w:tabs>
          <w:tab w:val="left" w:pos="0"/>
        </w:tabs>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应包括招标文件要求的证明其有资格参加投标，以及中标后有能力履行合同所必需的生产、技术、服务和财务管理等方面能力的证明文件。</w:t>
      </w:r>
    </w:p>
    <w:p>
      <w:pPr>
        <w:tabs>
          <w:tab w:val="left" w:pos="0"/>
        </w:tabs>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13.2所有货物（包括零部件）须为全新的、未使用过的原装正品。</w:t>
      </w:r>
    </w:p>
    <w:p>
      <w:pPr>
        <w:tabs>
          <w:tab w:val="left" w:pos="0"/>
        </w:tabs>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 xml:space="preserve">13.3投标人必须对其投标文件的真实性与准确性负责。投标人一旦中标，其投标文件将作为合同的重要组成部分。 </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bCs/>
          <w:snapToGrid w:val="0"/>
          <w:color w:val="000000" w:themeColor="text1"/>
          <w:kern w:val="0"/>
          <w:sz w:val="24"/>
          <w:szCs w:val="24"/>
          <w:highlight w:val="none"/>
          <w14:textFill>
            <w14:solidFill>
              <w14:schemeClr w14:val="tx1"/>
            </w14:solidFill>
          </w14:textFill>
        </w:rPr>
        <w:t>13.4 投标人应在投标文件中体现本文件要求的内容。</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14、投标报价</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14.1本项目只允许有一个方案、一个报价。多方案、多报价的投标书将不被接受。（招标文件另有要求的除外）</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14.2货物类项目适用：价格标开标一览表中的投标总报价应包括投标产品以及投标产品产生的采购、运输、人工、安装、售后、验收、税费，公证费、代理费等所有费用，即为履行合同的最终价格。</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服务类项目适用：价格标开标一览表中的投标总报价应包括完成本项目的服务费用、税费、公证费、代理费等所有费用，即为履行合同的最终价格。</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14.3货物类项目适用：价格标的货物服务分项报价表上应清楚地标明投标人拟提供货物的名称、型号、数量、单价（含投标产品所产生的采购、运输、人工、安装、售后、验收、税费等）、总价等内容，其合计价格应与开标一览表中的投标总报价保持一致。</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服务类项目适用：价格标的服务分项报价表上应清楚地标明投标人拟提供的服务费用等内容，其合计价格应与开标一览表中的投标总报价保持一致。</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14.4投标货币为人民币。</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15、投标保证金</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15.1投标人在提交投标文件的同时，应按投标人须知前附表规定的金额和形式提交投标保证金。联合体投标的，其投标保证金由牵头人提交，并应符合投标人须知前附表的规定。</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15.2投标人不按投标人须知前附表要求提交投标保证金的，评标委员会将否决其投标。</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15.3投标保证金的退还：</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15.3.1中标人的投标保证金，在采购合同签订之日起五个工作日内退还。</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15.3.2未中标人的投标保证金，自中标通知书发出之日起5个工作日内退还。</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15.3.3政府采购项目有质疑、投诉的，中标候选人、提出质疑的投标人及投诉人的投标保证金在质疑、投诉处理后，按相关规定办理。</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15.4中标人有下列情形之一的，采购人不予退还其缴纳的投标保证金；</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15.4.1投标人在规定的投标有效期内撤销其投标文件或放弃中标人候选资格的；</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15.4.2中标人在收到中标通知书后，无正当理由拒签合同协议书或未按招标文件规定提交履约担保；</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15.4.3存在提供虚假材料参加投标或串通投标等违法、违规行为被查实的。</w:t>
      </w:r>
    </w:p>
    <w:p>
      <w:pPr>
        <w:wordWrap w:val="0"/>
        <w:spacing w:line="360" w:lineRule="auto"/>
        <w:ind w:firstLine="482" w:firstLineChars="200"/>
        <w:rPr>
          <w:rFonts w:ascii="宋体" w:hAnsi="宋体" w:cs="宋体"/>
          <w:b/>
          <w:bCs/>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16、投标有效期</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16.1投标有效期在“投标人须知前附表”中有明确的规定。投标人如未就此提出异议，则视同接受；如承诺的投标有效期短于此规定时间的，将被视为非响应性投标而予以拒绝。</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16.2在特殊情况下，采购单位可于原投标有效期满之前，向投标人提出延长投标有效期的要求。投标人同意延长的，应相应延长其投标保证金的有效期，但不得要求或被允许修改或撤销其投标文件。投标人拒绝延长的，可以书面形式拒绝采购单位的这种要求而不失去其投标保证金。如在规定的时间内未提出书面意见表示拒绝，将视为同意延长投标有效期。</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16.3在投标有效期内，供应商撤销或修改其询价响应文件的，应承担责任。</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17、投标文件的签署</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除特别说明外，本文件要求投标人盖章或者法定代表人签字处，均需加盖投标人签章或者法定代表人签章。被授权人签字的，还需附法定代表人授权委托书。</w:t>
      </w:r>
    </w:p>
    <w:p>
      <w:pPr>
        <w:wordWrap w:val="0"/>
        <w:spacing w:line="360" w:lineRule="auto"/>
        <w:ind w:firstLine="482" w:firstLineChars="200"/>
        <w:rPr>
          <w:rFonts w:ascii="宋体" w:hAnsi="宋体" w:cs="宋体"/>
          <w:b/>
          <w:bCs/>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18、分包</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主体、非关键性工作分包的，应当在投标文件中载明分包承担投标主人根据招标文件的规定和采购项目的实际情况，拟在中标后将中标项目的非体，分包承担主体应当具备相应资质条件且不得再次分包。</w:t>
      </w:r>
    </w:p>
    <w:p>
      <w:pPr>
        <w:pStyle w:val="8"/>
        <w:ind w:firstLine="482"/>
        <w:jc w:val="both"/>
        <w:rPr>
          <w:snapToGrid w:val="0"/>
          <w:color w:val="000000" w:themeColor="text1"/>
          <w:kern w:val="0"/>
          <w:szCs w:val="24"/>
          <w:highlight w:val="none"/>
          <w14:textFill>
            <w14:solidFill>
              <w14:schemeClr w14:val="tx1"/>
            </w14:solidFill>
          </w14:textFill>
        </w:rPr>
      </w:pPr>
      <w:bookmarkStart w:id="144" w:name="_Toc482084467"/>
      <w:bookmarkStart w:id="145" w:name="_Toc28735"/>
      <w:bookmarkStart w:id="146" w:name="_Toc1623"/>
      <w:bookmarkStart w:id="147" w:name="_Toc31385"/>
      <w:r>
        <w:rPr>
          <w:rFonts w:hint="eastAsia"/>
          <w:snapToGrid w:val="0"/>
          <w:color w:val="000000" w:themeColor="text1"/>
          <w:kern w:val="0"/>
          <w:szCs w:val="24"/>
          <w:highlight w:val="none"/>
          <w14:textFill>
            <w14:solidFill>
              <w14:schemeClr w14:val="tx1"/>
            </w14:solidFill>
          </w14:textFill>
        </w:rPr>
        <w:t>四、</w:t>
      </w:r>
      <w:bookmarkEnd w:id="144"/>
      <w:r>
        <w:rPr>
          <w:rFonts w:hint="eastAsia"/>
          <w:snapToGrid w:val="0"/>
          <w:color w:val="000000" w:themeColor="text1"/>
          <w:kern w:val="0"/>
          <w:szCs w:val="24"/>
          <w:highlight w:val="none"/>
          <w14:textFill>
            <w14:solidFill>
              <w14:schemeClr w14:val="tx1"/>
            </w14:solidFill>
          </w14:textFill>
        </w:rPr>
        <w:t>投标</w:t>
      </w:r>
      <w:bookmarkEnd w:id="145"/>
      <w:bookmarkEnd w:id="146"/>
      <w:bookmarkEnd w:id="147"/>
    </w:p>
    <w:p>
      <w:pPr>
        <w:tabs>
          <w:tab w:val="left" w:pos="0"/>
        </w:tabs>
        <w:wordWrap w:val="0"/>
        <w:spacing w:line="360" w:lineRule="auto"/>
        <w:ind w:firstLine="482" w:firstLineChars="200"/>
        <w:rPr>
          <w:rFonts w:ascii="宋体" w:hAnsi="宋体" w:cs="宋体"/>
          <w:b/>
          <w:bCs/>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19、投标文件的提交</w:t>
      </w:r>
    </w:p>
    <w:p>
      <w:pPr>
        <w:tabs>
          <w:tab w:val="left" w:pos="0"/>
        </w:tabs>
        <w:wordWrap w:val="0"/>
        <w:spacing w:line="360" w:lineRule="auto"/>
        <w:ind w:firstLine="482" w:firstLineChars="200"/>
        <w:rPr>
          <w:rFonts w:ascii="宋体" w:hAnsi="宋体" w:cs="宋体"/>
          <w:b/>
          <w:bCs/>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19.1网上提交部分：</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pdf格式的加密电子投标文件；</w:t>
      </w:r>
    </w:p>
    <w:p>
      <w:pPr>
        <w:tabs>
          <w:tab w:val="left" w:pos="0"/>
        </w:tabs>
        <w:wordWrap w:val="0"/>
        <w:spacing w:line="360" w:lineRule="auto"/>
        <w:ind w:firstLine="482" w:firstLineChars="200"/>
        <w:rPr>
          <w:rFonts w:ascii="宋体" w:hAnsi="宋体" w:cs="宋体"/>
          <w:b/>
          <w:bCs/>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19.2电子版投标书的制作和提交</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为做好疫情防控工作，本项目通过QQ会议直播的方式进行开标。投标人提交的投标文件应当全部使用招标文件所要求的投标文件格式，生成文件扩展名为.pdf的加密投标文件，需发送至代理机构邮箱。邮件发送“主题”填写“公司全称+法定代表人或其委托代理人姓名+联系电话”（与投标文件中法定代表人或其委托代理人一致）。</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ascii="宋体" w:hAnsi="宋体" w:cs="宋体"/>
          <w:snapToGrid w:val="0"/>
          <w:color w:val="000000" w:themeColor="text1"/>
          <w:kern w:val="0"/>
          <w:sz w:val="24"/>
          <w:szCs w:val="24"/>
          <w:highlight w:val="none"/>
          <w14:textFill>
            <w14:solidFill>
              <w14:schemeClr w14:val="tx1"/>
            </w14:solidFill>
          </w14:textFill>
        </w:rPr>
        <w:t>19.3注意事项：</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ascii="宋体" w:hAnsi="宋体" w:cs="宋体"/>
          <w:snapToGrid w:val="0"/>
          <w:color w:val="000000" w:themeColor="text1"/>
          <w:kern w:val="0"/>
          <w:sz w:val="24"/>
          <w:szCs w:val="24"/>
          <w:highlight w:val="none"/>
          <w14:textFill>
            <w14:solidFill>
              <w14:schemeClr w14:val="tx1"/>
            </w14:solidFill>
          </w14:textFill>
        </w:rPr>
        <w:t>19.3.1电子投标文件的提交是指投标人使用</w:t>
      </w:r>
      <w:r>
        <w:rPr>
          <w:rFonts w:hint="eastAsia" w:ascii="宋体" w:hAnsi="宋体" w:cs="宋体"/>
          <w:snapToGrid w:val="0"/>
          <w:color w:val="000000" w:themeColor="text1"/>
          <w:kern w:val="0"/>
          <w:sz w:val="24"/>
          <w:szCs w:val="24"/>
          <w:highlight w:val="none"/>
          <w14:textFill>
            <w14:solidFill>
              <w14:schemeClr w14:val="tx1"/>
            </w14:solidFill>
          </w14:textFill>
        </w:rPr>
        <w:t>邮箱</w:t>
      </w:r>
      <w:r>
        <w:rPr>
          <w:rFonts w:ascii="宋体" w:hAnsi="宋体" w:cs="宋体"/>
          <w:snapToGrid w:val="0"/>
          <w:color w:val="000000" w:themeColor="text1"/>
          <w:kern w:val="0"/>
          <w:sz w:val="24"/>
          <w:szCs w:val="24"/>
          <w:highlight w:val="none"/>
          <w14:textFill>
            <w14:solidFill>
              <w14:schemeClr w14:val="tx1"/>
            </w14:solidFill>
          </w14:textFill>
        </w:rPr>
        <w:t>完成</w:t>
      </w:r>
      <w:r>
        <w:rPr>
          <w:rFonts w:hint="eastAsia" w:ascii="宋体" w:hAnsi="宋体" w:cs="宋体"/>
          <w:snapToGrid w:val="0"/>
          <w:color w:val="000000" w:themeColor="text1"/>
          <w:kern w:val="0"/>
          <w:sz w:val="24"/>
          <w:szCs w:val="24"/>
          <w:highlight w:val="none"/>
          <w14:textFill>
            <w14:solidFill>
              <w14:schemeClr w14:val="tx1"/>
            </w14:solidFill>
          </w14:textFill>
        </w:rPr>
        <w:t>递交的</w:t>
      </w:r>
      <w:r>
        <w:rPr>
          <w:rFonts w:ascii="宋体" w:hAnsi="宋体" w:cs="宋体"/>
          <w:snapToGrid w:val="0"/>
          <w:color w:val="000000" w:themeColor="text1"/>
          <w:kern w:val="0"/>
          <w:sz w:val="24"/>
          <w:szCs w:val="24"/>
          <w:highlight w:val="none"/>
          <w14:textFill>
            <w14:solidFill>
              <w14:schemeClr w14:val="tx1"/>
            </w14:solidFill>
          </w14:textFill>
        </w:rPr>
        <w:t>投标文件（</w:t>
      </w:r>
      <w:r>
        <w:rPr>
          <w:rFonts w:hint="eastAsia" w:ascii="宋体" w:hAnsi="宋体" w:cs="宋体"/>
          <w:snapToGrid w:val="0"/>
          <w:color w:val="000000" w:themeColor="text1"/>
          <w:kern w:val="0"/>
          <w:sz w:val="24"/>
          <w:szCs w:val="24"/>
          <w:highlight w:val="none"/>
          <w:u w:val="single"/>
          <w14:textFill>
            <w14:solidFill>
              <w14:schemeClr w14:val="tx1"/>
            </w14:solidFill>
          </w14:textFill>
        </w:rPr>
        <w:t>pdf</w:t>
      </w:r>
      <w:r>
        <w:rPr>
          <w:rFonts w:ascii="宋体" w:hAnsi="宋体" w:cs="宋体"/>
          <w:snapToGrid w:val="0"/>
          <w:color w:val="000000" w:themeColor="text1"/>
          <w:kern w:val="0"/>
          <w:sz w:val="24"/>
          <w:szCs w:val="24"/>
          <w:highlight w:val="none"/>
          <w14:textFill>
            <w14:solidFill>
              <w14:schemeClr w14:val="tx1"/>
            </w14:solidFill>
          </w14:textFill>
        </w:rPr>
        <w:t>格式），未在投标截止时间前完成上传的投标文件视为逾期送达</w:t>
      </w:r>
      <w:r>
        <w:rPr>
          <w:rFonts w:hint="eastAsia" w:ascii="宋体" w:hAnsi="宋体" w:cs="宋体"/>
          <w:snapToGrid w:val="0"/>
          <w:color w:val="000000" w:themeColor="text1"/>
          <w:kern w:val="0"/>
          <w:sz w:val="24"/>
          <w:szCs w:val="24"/>
          <w:highlight w:val="none"/>
          <w14:textFill>
            <w14:solidFill>
              <w14:schemeClr w14:val="tx1"/>
            </w14:solidFill>
          </w14:textFill>
        </w:rPr>
        <w:t>。</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ascii="宋体" w:hAnsi="宋体" w:cs="宋体"/>
          <w:snapToGrid w:val="0"/>
          <w:color w:val="000000" w:themeColor="text1"/>
          <w:kern w:val="0"/>
          <w:sz w:val="24"/>
          <w:szCs w:val="24"/>
          <w:highlight w:val="none"/>
          <w14:textFill>
            <w14:solidFill>
              <w14:schemeClr w14:val="tx1"/>
            </w14:solidFill>
          </w14:textFill>
        </w:rPr>
        <w:t>19.3.2投标文件以投标截止时间前完成上传至系统的最后一份为准。</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ascii="宋体" w:hAnsi="宋体" w:cs="宋体"/>
          <w:snapToGrid w:val="0"/>
          <w:color w:val="000000" w:themeColor="text1"/>
          <w:kern w:val="0"/>
          <w:sz w:val="24"/>
          <w:szCs w:val="24"/>
          <w:highlight w:val="none"/>
          <w14:textFill>
            <w14:solidFill>
              <w14:schemeClr w14:val="tx1"/>
            </w14:solidFill>
          </w14:textFill>
        </w:rPr>
        <w:t>19.3.3投标截止时间以</w:t>
      </w:r>
      <w:r>
        <w:rPr>
          <w:rFonts w:hint="eastAsia" w:ascii="宋体" w:hAnsi="宋体" w:cs="宋体"/>
          <w:snapToGrid w:val="0"/>
          <w:color w:val="000000" w:themeColor="text1"/>
          <w:kern w:val="0"/>
          <w:sz w:val="24"/>
          <w:szCs w:val="24"/>
          <w:highlight w:val="none"/>
          <w14:textFill>
            <w14:solidFill>
              <w14:schemeClr w14:val="tx1"/>
            </w14:solidFill>
          </w14:textFill>
        </w:rPr>
        <w:t>代理机构邮箱</w:t>
      </w:r>
      <w:r>
        <w:rPr>
          <w:rFonts w:ascii="宋体" w:hAnsi="宋体" w:cs="宋体"/>
          <w:snapToGrid w:val="0"/>
          <w:color w:val="000000" w:themeColor="text1"/>
          <w:kern w:val="0"/>
          <w:sz w:val="24"/>
          <w:szCs w:val="24"/>
          <w:highlight w:val="none"/>
          <w14:textFill>
            <w14:solidFill>
              <w14:schemeClr w14:val="tx1"/>
            </w14:solidFill>
          </w14:textFill>
        </w:rPr>
        <w:t>显示的时间为准。</w:t>
      </w:r>
    </w:p>
    <w:p>
      <w:pPr>
        <w:tabs>
          <w:tab w:val="left" w:pos="0"/>
        </w:tabs>
        <w:wordWrap w:val="0"/>
        <w:spacing w:line="360" w:lineRule="auto"/>
        <w:ind w:firstLine="482" w:firstLineChars="200"/>
        <w:rPr>
          <w:rFonts w:ascii="宋体" w:hAnsi="宋体" w:cs="宋体"/>
          <w:b/>
          <w:bCs/>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20、以下情况拒收投标文件</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20.1逾期送达的或者未送达指定地点的；</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20.2未在规定时间内缴纳投标保证金；</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20.3未满足其他补充要求的。</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21、联合体投标</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由两家或两家以上投标人组成的联合体参与投标时，应满足以下要求：</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21.1联合体成员除必须满足投标人资格的要求外，如本项目还有其他特定条件的，联合体各方中至少有一方符合特定的条件。</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21.2联合体应签订联合参与投标的协议，明确各方承担的职责和相应的责任，并授权其中的一个成员作为代表，具体进行投标、签订合同等事务。此协议或授权书应作为投标文件的一部分。</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21.3联合体被授权投标人应能全权处理投标过程中的有关问题。一旦成为中标供应商，该被授权投标人应负责签订合同并负责合同的全面实施，包括合同款项的收付。</w:t>
      </w:r>
    </w:p>
    <w:p>
      <w:pPr>
        <w:wordWrap w:val="0"/>
        <w:spacing w:line="360" w:lineRule="auto"/>
        <w:ind w:firstLine="480"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21.4联合体各方不得再以自己的名义单独参与同一项目投标，也不得再组成新的联合体参与同一项目中的投标。</w:t>
      </w:r>
    </w:p>
    <w:p>
      <w:pPr>
        <w:pStyle w:val="8"/>
        <w:ind w:firstLine="482"/>
        <w:jc w:val="both"/>
        <w:rPr>
          <w:snapToGrid w:val="0"/>
          <w:color w:val="000000" w:themeColor="text1"/>
          <w:kern w:val="0"/>
          <w:szCs w:val="24"/>
          <w:highlight w:val="none"/>
          <w14:textFill>
            <w14:solidFill>
              <w14:schemeClr w14:val="tx1"/>
            </w14:solidFill>
          </w14:textFill>
        </w:rPr>
      </w:pPr>
      <w:bookmarkStart w:id="148" w:name="_Toc13752"/>
      <w:bookmarkStart w:id="149" w:name="_Toc482084468"/>
      <w:bookmarkStart w:id="150" w:name="_Toc16208"/>
      <w:bookmarkStart w:id="151" w:name="_Toc462234302"/>
      <w:bookmarkStart w:id="152" w:name="_Toc26207"/>
      <w:bookmarkStart w:id="153" w:name="_Toc19321"/>
      <w:r>
        <w:rPr>
          <w:rFonts w:hint="eastAsia"/>
          <w:snapToGrid w:val="0"/>
          <w:color w:val="000000" w:themeColor="text1"/>
          <w:kern w:val="0"/>
          <w:szCs w:val="24"/>
          <w:highlight w:val="none"/>
          <w14:textFill>
            <w14:solidFill>
              <w14:schemeClr w14:val="tx1"/>
            </w14:solidFill>
          </w14:textFill>
        </w:rPr>
        <w:t>五、开标</w:t>
      </w:r>
      <w:bookmarkEnd w:id="148"/>
      <w:bookmarkEnd w:id="149"/>
      <w:bookmarkEnd w:id="150"/>
      <w:bookmarkEnd w:id="151"/>
      <w:bookmarkEnd w:id="152"/>
      <w:bookmarkEnd w:id="153"/>
    </w:p>
    <w:p>
      <w:pPr>
        <w:wordWrap w:val="0"/>
        <w:spacing w:line="360" w:lineRule="auto"/>
        <w:ind w:firstLine="482" w:firstLineChars="200"/>
        <w:rPr>
          <w:rFonts w:ascii="宋体" w:hAnsi="宋体" w:cs="宋体"/>
          <w:b/>
          <w:bCs/>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22、开标</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22.1采购人将在“投标人须知前附表”规定的时间和地点组织公开开标，投标人的法定代表人或其委托的代理人参加开标会的应携带有效证件；如为代理人参加的，还需提供有效的法定代表人的授权委托书（若制作在电子标书中的，待打开电子标书后查验）。否则将否决其投标。</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bookmarkStart w:id="154" w:name="_Toc369528867"/>
      <w:r>
        <w:rPr>
          <w:rFonts w:hint="eastAsia" w:ascii="宋体" w:hAnsi="宋体" w:cs="宋体"/>
          <w:snapToGrid w:val="0"/>
          <w:color w:val="000000" w:themeColor="text1"/>
          <w:kern w:val="0"/>
          <w:sz w:val="24"/>
          <w:szCs w:val="24"/>
          <w:highlight w:val="none"/>
          <w14:textFill>
            <w14:solidFill>
              <w14:schemeClr w14:val="tx1"/>
            </w14:solidFill>
          </w14:textFill>
        </w:rPr>
        <w:t>22.2 开评标程序</w:t>
      </w:r>
      <w:bookmarkEnd w:id="154"/>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主持人按下列程序进行开标：</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1、宣布开标开始</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2、开评标过程中投标人注意事项。</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3、宣布开标人、监标人、招标人代表等有关人员姓名。</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4、公布投标人。</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5、唱标。</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6、进行资格审查</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7、进入评标环节（符合性评审、技术标、商务标）</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8、宣布评标结果</w:t>
      </w:r>
    </w:p>
    <w:p>
      <w:pPr>
        <w:pStyle w:val="8"/>
        <w:ind w:firstLine="482"/>
        <w:jc w:val="both"/>
        <w:rPr>
          <w:snapToGrid w:val="0"/>
          <w:color w:val="000000" w:themeColor="text1"/>
          <w:kern w:val="0"/>
          <w:szCs w:val="24"/>
          <w:highlight w:val="none"/>
          <w14:textFill>
            <w14:solidFill>
              <w14:schemeClr w14:val="tx1"/>
            </w14:solidFill>
          </w14:textFill>
        </w:rPr>
      </w:pPr>
      <w:bookmarkStart w:id="155" w:name="_Toc462234303"/>
      <w:bookmarkStart w:id="156" w:name="_Toc24539"/>
      <w:bookmarkStart w:id="157" w:name="_Toc28431"/>
      <w:bookmarkStart w:id="158" w:name="_Toc482084469"/>
      <w:bookmarkStart w:id="159" w:name="_Toc20051"/>
      <w:bookmarkStart w:id="160" w:name="_Toc24802"/>
      <w:r>
        <w:rPr>
          <w:rFonts w:hint="eastAsia"/>
          <w:snapToGrid w:val="0"/>
          <w:color w:val="000000" w:themeColor="text1"/>
          <w:kern w:val="0"/>
          <w:szCs w:val="24"/>
          <w:highlight w:val="none"/>
          <w14:textFill>
            <w14:solidFill>
              <w14:schemeClr w14:val="tx1"/>
            </w14:solidFill>
          </w14:textFill>
        </w:rPr>
        <w:t>六、评标</w:t>
      </w:r>
      <w:bookmarkEnd w:id="155"/>
      <w:bookmarkEnd w:id="156"/>
      <w:bookmarkEnd w:id="157"/>
      <w:bookmarkEnd w:id="158"/>
      <w:bookmarkEnd w:id="159"/>
      <w:bookmarkEnd w:id="160"/>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23、评标委员会</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23.1评标由采购人依法组建的评标委员会负责。评标委员会由技术、经济等方面的专家组成，成员人数为五人以上单数。</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评标委员会成员有下列情形之一的，应当回避：</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（1）参加采购活动前三年内，与供应商存在劳动关系，或者担任过供应商的董事、监事，或者是供应商的控股股东或实际控制人；</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（2）与供应商的法定代表人或者负责人有夫妻、直系血亲、三代以内旁系血亲或者近姻亲关系；</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（3）与供应商有其他可能影响政府采购活动公平、公正进行的关系；</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另外，评审专家发现本人与参加采购活动的供应商有利害关系的，应当主动提出回避。采购人或者采购代理机构发现评审专家与参加采购活动的供应商有利害关系的，应当要求其回避。</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评标委员会成员应当按照客观、公正、审慎的原则，根据招标文件规定的评审程序、评审方法和评审标准进行独立评审。未实质性响应招标文件的投标文件按无效响应处理，评标委员会应当告知提交响应文件的供应商。</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24、开标评标异常情况处理</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24.1公开招标数额标准以上的采购项目，在招标文件没有不合理条款、招标程序符合规定的前提下，投标截止后提交投标文件或者经评审实质性响应招标文件要求的供应商不足三家，需采用非公开招标方式（单一来源除外）采购的，采购人可在评审现场提出。应征询现场符合条件的供应商同意，且现场所有评审专家出具招标文件没有不合理条款、集中采购机构（采购代理机构）出具招标程序等符合规定的书面意见，经报设区的市级财政部门同意可现场实施（采购人书面申请可后补）</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（一）招标文件存在不合理条款或者招标程序不符合规定的，采购人、采购代理机构改正后依法重新招标；</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（二）招标文件没有不合理条款、招标程序符合规定，需要采用其他采购方式采购的，采购人应当依法报财政部门批准。</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24.2开标、评标时出现以下情况之一的，将废标：</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（1）投标人的报价均超过了采购预算，采购人不能支付的；</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（2）出现影响采购公正的违法、违规行为的。</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（3）因重大变故，采购任务取消的。</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25.3废标后，采购人将通过指定的网站进行公告。</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25、评标过程的保密性</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25.1从开标至签订合同止，凡是与标书审查、澄清、评价、比较以及定标等有关的评审情况，均不得向投标人或其他无关的人员透露。</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25.2在评标过程中，投标人及其他人员不得向评标委员会成员施加任何影响。保证评标在严格保密的情况下进行。</w:t>
      </w:r>
    </w:p>
    <w:p>
      <w:pPr>
        <w:pStyle w:val="8"/>
        <w:ind w:firstLine="482"/>
        <w:jc w:val="both"/>
        <w:rPr>
          <w:snapToGrid w:val="0"/>
          <w:color w:val="000000" w:themeColor="text1"/>
          <w:kern w:val="0"/>
          <w:szCs w:val="24"/>
          <w:highlight w:val="none"/>
          <w14:textFill>
            <w14:solidFill>
              <w14:schemeClr w14:val="tx1"/>
            </w14:solidFill>
          </w14:textFill>
        </w:rPr>
      </w:pPr>
      <w:bookmarkStart w:id="161" w:name="_Toc482084470"/>
      <w:bookmarkStart w:id="162" w:name="_Toc9664"/>
      <w:bookmarkStart w:id="163" w:name="_Toc8538"/>
      <w:bookmarkStart w:id="164" w:name="_Toc462234304"/>
      <w:bookmarkStart w:id="165" w:name="_Toc7632"/>
      <w:bookmarkStart w:id="166" w:name="_Toc9129"/>
      <w:r>
        <w:rPr>
          <w:rFonts w:hint="eastAsia"/>
          <w:snapToGrid w:val="0"/>
          <w:color w:val="000000" w:themeColor="text1"/>
          <w:kern w:val="0"/>
          <w:szCs w:val="24"/>
          <w:highlight w:val="none"/>
          <w14:textFill>
            <w14:solidFill>
              <w14:schemeClr w14:val="tx1"/>
            </w14:solidFill>
          </w14:textFill>
        </w:rPr>
        <w:t>七、定标和授予合同</w:t>
      </w:r>
      <w:bookmarkEnd w:id="161"/>
      <w:bookmarkEnd w:id="162"/>
      <w:bookmarkEnd w:id="163"/>
      <w:bookmarkEnd w:id="164"/>
      <w:bookmarkEnd w:id="165"/>
      <w:bookmarkEnd w:id="166"/>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26、定标方式</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26.1采购人将在收到评标委员会提交的评标报告后五个工作日内，按照评标报告推荐的中标候选人顺序确定中标人，并在指定的媒介进行公告。</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26.2中标供应商拒绝与采购人签订合同的，采购人可以按照评审报告推荐的中标候选人名单排序，确定下一候选人为中标供应商，也可以重新开展政府采购活动。拒绝签订政府采购合同的成交供应商不得参加对该项目重新开展的采购活动。</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27、签订合同</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27.1采购人应当自中标通知书发出之日起七个工作日内（具体时限本文件有约定的，按约定执行），按照招标文件和中标供应商投标文件的约定，与中标供应商签订书面合同，所签订的合同不得对招标文件和中标供应商的投标文件作实质性修改。</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27.2政府采购合同履行中，采购人需追加与合同标的相同的货物、工程或者服务的，在不改变合同其他条款的前提下，可以与供应商签订补充合同，但所有补充合同的采购金额不得超过原合同采购金额的百分之十。</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27.3中标通知书发出后，采购人无正当理由不与中标供应商签订采购合同的，将依据相关规定给予处理。</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27.4采购人与成交人签订合同后，应自合同签订之日起2个工作日内，将合同在省级以上人民政府财政部门指定的媒体上公告，但政府采购合同中涉及国家秘密、商业秘密的内容除外；并自合同签订之日起七个工作日内，将合同副本报同级政府采购监督管理部门和有关部门备案。</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28、履约担保</w:t>
      </w:r>
    </w:p>
    <w:p>
      <w:pPr>
        <w:tabs>
          <w:tab w:val="left" w:pos="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28.1 中标人在签订合同前必须按招标文件的规定，及时、足额向采购人交纳履约保证金。</w:t>
      </w:r>
    </w:p>
    <w:p>
      <w:pPr>
        <w:tabs>
          <w:tab w:val="left" w:pos="90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28.2履约保证金是督促中标人按时、按质、按量履行合同的一个经济制约手段。当采购人因中标人违约而造成损失时，可在无须征得中标人同意的情况下首先从其所交纳的履约保证金中获取相应的补偿。</w:t>
      </w:r>
    </w:p>
    <w:p>
      <w:pPr>
        <w:pStyle w:val="8"/>
        <w:ind w:firstLine="482"/>
        <w:jc w:val="both"/>
        <w:rPr>
          <w:snapToGrid w:val="0"/>
          <w:color w:val="000000" w:themeColor="text1"/>
          <w:kern w:val="0"/>
          <w:szCs w:val="24"/>
          <w:highlight w:val="none"/>
          <w14:textFill>
            <w14:solidFill>
              <w14:schemeClr w14:val="tx1"/>
            </w14:solidFill>
          </w14:textFill>
        </w:rPr>
      </w:pPr>
      <w:bookmarkStart w:id="167" w:name="_Toc2565"/>
      <w:bookmarkStart w:id="168" w:name="_Toc11701"/>
      <w:bookmarkStart w:id="169" w:name="_Toc12351"/>
      <w:bookmarkStart w:id="170" w:name="_Toc462234305"/>
      <w:bookmarkStart w:id="171" w:name="_Toc482084471"/>
      <w:bookmarkStart w:id="172" w:name="_Toc15658"/>
      <w:r>
        <w:rPr>
          <w:rFonts w:hint="eastAsia"/>
          <w:snapToGrid w:val="0"/>
          <w:color w:val="000000" w:themeColor="text1"/>
          <w:kern w:val="0"/>
          <w:szCs w:val="24"/>
          <w:highlight w:val="none"/>
          <w14:textFill>
            <w14:solidFill>
              <w14:schemeClr w14:val="tx1"/>
            </w14:solidFill>
          </w14:textFill>
        </w:rPr>
        <w:t>八、质疑与投诉</w:t>
      </w:r>
      <w:bookmarkEnd w:id="167"/>
      <w:bookmarkEnd w:id="168"/>
      <w:bookmarkEnd w:id="169"/>
      <w:bookmarkEnd w:id="170"/>
      <w:bookmarkEnd w:id="171"/>
      <w:bookmarkEnd w:id="172"/>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29、质疑</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29.1参与本项目采购活动的供应商（即提交了投标文件的供应商）对中标结果提出质疑的，最迟可以在中标公告期限届满之日起七个工作日内，以书面形式向采购人或代理机构提出质疑。</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29.2参与本项目采购活动的供应商（即提交了投标文件的供应商）认为采购过程使自己的权益受到损害的，可以在各采购程序环节结束之日起七个工作日内，以书面形式向采购人或代理机构提出质疑。</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29.3质疑函的内容应包括《政府采购质疑和投诉办法》（财政部令第94号）第十二条规定的内容。</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29.4采购人或代理机构在收到供应商的质疑函后，将审查质疑函的格式、内容以及所附的证明文件是否符合要求。如不符合，退回供应商；如符合要求，则在收到书面质疑后七个工作日内，对质疑内容作出书面答复。</w:t>
      </w:r>
    </w:p>
    <w:p>
      <w:pPr>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29.5供应商对同一环节的质疑，应在法定质疑期内一次性提出，采购人或代理机构不再接受同一供应商针对同一环节提出的再次质疑。</w:t>
      </w:r>
    </w:p>
    <w:p>
      <w:pPr>
        <w:wordWrap w:val="0"/>
        <w:spacing w:line="360" w:lineRule="auto"/>
        <w:ind w:firstLine="482" w:firstLineChars="200"/>
        <w:rPr>
          <w:rFonts w:ascii="宋体" w:hAnsi="宋体" w:cs="宋体"/>
          <w:b/>
          <w:snapToGrid w:val="0"/>
          <w:color w:val="000000" w:themeColor="text1"/>
          <w:kern w:val="0"/>
          <w:sz w:val="24"/>
          <w:szCs w:val="24"/>
          <w:highlight w:val="none"/>
          <w14:textFill>
            <w14:solidFill>
              <w14:schemeClr w14:val="tx1"/>
            </w14:solidFill>
          </w14:textFill>
        </w:rPr>
      </w:pPr>
      <w:r>
        <w:rPr>
          <w:rFonts w:hint="eastAsia" w:ascii="宋体" w:hAnsi="宋体" w:cs="宋体"/>
          <w:b/>
          <w:snapToGrid w:val="0"/>
          <w:color w:val="000000" w:themeColor="text1"/>
          <w:kern w:val="0"/>
          <w:sz w:val="24"/>
          <w:szCs w:val="24"/>
          <w:highlight w:val="none"/>
          <w14:textFill>
            <w14:solidFill>
              <w14:schemeClr w14:val="tx1"/>
            </w14:solidFill>
          </w14:textFill>
        </w:rPr>
        <w:t>30、投诉</w:t>
      </w:r>
    </w:p>
    <w:p>
      <w:pPr>
        <w:tabs>
          <w:tab w:val="left" w:pos="900"/>
        </w:tabs>
        <w:wordWrap w:val="0"/>
        <w:spacing w:line="360" w:lineRule="auto"/>
        <w:ind w:firstLine="48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30.1质疑供应商对采购人或代理机构的答复不满意，或者采购人或代理机构未在规定的时间内答复的，可以在答复期满后十五个工作日内按有关规定，向有关部门进行投诉。</w:t>
      </w:r>
    </w:p>
    <w:p>
      <w:pPr>
        <w:pStyle w:val="8"/>
        <w:ind w:firstLine="482"/>
        <w:jc w:val="both"/>
        <w:rPr>
          <w:snapToGrid w:val="0"/>
          <w:color w:val="000000" w:themeColor="text1"/>
          <w:kern w:val="0"/>
          <w:szCs w:val="24"/>
          <w:highlight w:val="none"/>
          <w14:textFill>
            <w14:solidFill>
              <w14:schemeClr w14:val="tx1"/>
            </w14:solidFill>
          </w14:textFill>
        </w:rPr>
      </w:pPr>
      <w:bookmarkStart w:id="173" w:name="_Toc8406"/>
      <w:bookmarkStart w:id="174" w:name="_Toc17648"/>
      <w:bookmarkStart w:id="175" w:name="_Toc12155"/>
      <w:bookmarkStart w:id="176" w:name="_Toc16619"/>
      <w:bookmarkStart w:id="177" w:name="_Toc13697"/>
      <w:bookmarkStart w:id="178" w:name="_Toc16669"/>
      <w:bookmarkStart w:id="179" w:name="_Toc9456"/>
      <w:bookmarkStart w:id="180" w:name="_Toc482084476"/>
      <w:r>
        <w:rPr>
          <w:rFonts w:hint="eastAsia"/>
          <w:snapToGrid w:val="0"/>
          <w:color w:val="000000" w:themeColor="text1"/>
          <w:kern w:val="0"/>
          <w:szCs w:val="24"/>
          <w:highlight w:val="none"/>
          <w14:textFill>
            <w14:solidFill>
              <w14:schemeClr w14:val="tx1"/>
            </w14:solidFill>
          </w14:textFill>
        </w:rPr>
        <w:t>九、投标人须知的补充与修改</w:t>
      </w:r>
      <w:bookmarkEnd w:id="173"/>
      <w:bookmarkEnd w:id="174"/>
      <w:bookmarkEnd w:id="175"/>
      <w:bookmarkEnd w:id="176"/>
    </w:p>
    <w:p>
      <w:pPr>
        <w:wordWrap w:val="0"/>
        <w:spacing w:line="360" w:lineRule="auto"/>
        <w:ind w:firstLine="482" w:firstLineChars="200"/>
        <w:rPr>
          <w:rFonts w:ascii="宋体" w:hAnsi="宋体" w:cs="宋体"/>
          <w:b/>
          <w:bCs/>
          <w:snapToGrid w:val="0"/>
          <w:color w:val="000000" w:themeColor="text1"/>
          <w:kern w:val="0"/>
          <w:sz w:val="24"/>
          <w:szCs w:val="24"/>
          <w:highlight w:val="none"/>
          <w14:textFill>
            <w14:solidFill>
              <w14:schemeClr w14:val="tx1"/>
            </w14:solidFill>
          </w14:textFill>
        </w:rPr>
      </w:pPr>
      <w:bookmarkStart w:id="181" w:name="_Toc220232391"/>
      <w:bookmarkStart w:id="182" w:name="_Toc482084472"/>
      <w:r>
        <w:rPr>
          <w:rFonts w:hint="eastAsia" w:ascii="宋体" w:hAnsi="宋体" w:cs="宋体"/>
          <w:b/>
          <w:bCs/>
          <w:snapToGrid w:val="0"/>
          <w:color w:val="000000" w:themeColor="text1"/>
          <w:kern w:val="0"/>
          <w:sz w:val="24"/>
          <w:szCs w:val="24"/>
          <w:highlight w:val="none"/>
          <w14:textFill>
            <w14:solidFill>
              <w14:schemeClr w14:val="tx1"/>
            </w14:solidFill>
          </w14:textFill>
        </w:rPr>
        <w:t>31、未尽事宜</w:t>
      </w:r>
    </w:p>
    <w:p>
      <w:pPr>
        <w:wordWrap w:val="0"/>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如以上投标人须知不能满足项目的要求，可以增加投标人须知补充事项。投标人除</w:t>
      </w:r>
      <w:r>
        <w:rPr>
          <w:rFonts w:hint="eastAsia" w:ascii="宋体" w:hAnsi="宋体" w:cs="宋体"/>
          <w:bCs/>
          <w:snapToGrid w:val="0"/>
          <w:color w:val="000000" w:themeColor="text1"/>
          <w:kern w:val="0"/>
          <w:sz w:val="24"/>
          <w:szCs w:val="24"/>
          <w:highlight w:val="none"/>
          <w14:textFill>
            <w14:solidFill>
              <w14:schemeClr w14:val="tx1"/>
            </w14:solidFill>
          </w14:textFill>
        </w:rPr>
        <w:t>认真阅读投标人须知外还必须认真阅读本补充事项，如投标人须知与本补充事项有抵触，以本补充事项为准。</w:t>
      </w:r>
    </w:p>
    <w:bookmarkEnd w:id="181"/>
    <w:bookmarkEnd w:id="182"/>
    <w:p>
      <w:pPr>
        <w:wordWrap w:val="0"/>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br w:type="page"/>
      </w:r>
    </w:p>
    <w:p>
      <w:pPr>
        <w:pStyle w:val="7"/>
        <w:rPr>
          <w:snapToGrid w:val="0"/>
          <w:color w:val="000000" w:themeColor="text1"/>
          <w:kern w:val="0"/>
          <w:highlight w:val="none"/>
          <w14:textFill>
            <w14:solidFill>
              <w14:schemeClr w14:val="tx1"/>
            </w14:solidFill>
          </w14:textFill>
        </w:rPr>
      </w:pPr>
      <w:bookmarkStart w:id="183" w:name="_Toc9944"/>
      <w:r>
        <w:rPr>
          <w:rFonts w:hint="eastAsia"/>
          <w:snapToGrid w:val="0"/>
          <w:color w:val="000000" w:themeColor="text1"/>
          <w:kern w:val="0"/>
          <w:highlight w:val="none"/>
          <w14:textFill>
            <w14:solidFill>
              <w14:schemeClr w14:val="tx1"/>
            </w14:solidFill>
          </w14:textFill>
        </w:rPr>
        <w:t>第六章 采购合同</w:t>
      </w:r>
      <w:bookmarkEnd w:id="177"/>
      <w:bookmarkEnd w:id="178"/>
      <w:bookmarkEnd w:id="179"/>
      <w:bookmarkEnd w:id="183"/>
    </w:p>
    <w:p>
      <w:pPr>
        <w:wordWrap w:val="0"/>
        <w:spacing w:line="360" w:lineRule="auto"/>
        <w:jc w:val="center"/>
        <w:rPr>
          <w:rFonts w:ascii="宋体" w:hAnsi="宋体" w:cs="宋体"/>
          <w:b/>
          <w:bCs/>
          <w:snapToGrid w:val="0"/>
          <w:color w:val="000000" w:themeColor="text1"/>
          <w:kern w:val="0"/>
          <w:sz w:val="28"/>
          <w:szCs w:val="28"/>
          <w:highlight w:val="none"/>
          <w14:textFill>
            <w14:solidFill>
              <w14:schemeClr w14:val="tx1"/>
            </w14:solidFill>
          </w14:textFill>
        </w:rPr>
      </w:pPr>
      <w:r>
        <w:rPr>
          <w:rFonts w:hint="eastAsia" w:ascii="宋体" w:hAnsi="宋体" w:cs="宋体"/>
          <w:b/>
          <w:bCs/>
          <w:snapToGrid w:val="0"/>
          <w:color w:val="000000" w:themeColor="text1"/>
          <w:kern w:val="0"/>
          <w:sz w:val="28"/>
          <w:szCs w:val="28"/>
          <w:highlight w:val="none"/>
          <w14:textFill>
            <w14:solidFill>
              <w14:schemeClr w14:val="tx1"/>
            </w14:solidFill>
          </w14:textFill>
        </w:rPr>
        <w:t>皖北卫生职业学院</w:t>
      </w:r>
      <w:r>
        <w:rPr>
          <w:rFonts w:hint="eastAsia" w:ascii="宋体" w:hAnsi="宋体" w:cs="宋体"/>
          <w:b/>
          <w:bCs/>
          <w:snapToGrid w:val="0"/>
          <w:color w:val="000000" w:themeColor="text1"/>
          <w:kern w:val="0"/>
          <w:sz w:val="28"/>
          <w:szCs w:val="28"/>
          <w:highlight w:val="none"/>
          <w:lang w:eastAsia="zh-CN"/>
          <w14:textFill>
            <w14:solidFill>
              <w14:schemeClr w14:val="tx1"/>
            </w14:solidFill>
          </w14:textFill>
        </w:rPr>
        <w:t>第一食堂</w:t>
      </w:r>
      <w:r>
        <w:rPr>
          <w:rFonts w:hint="eastAsia" w:ascii="宋体" w:hAnsi="宋体" w:cs="宋体"/>
          <w:b/>
          <w:bCs/>
          <w:snapToGrid w:val="0"/>
          <w:color w:val="000000" w:themeColor="text1"/>
          <w:kern w:val="0"/>
          <w:sz w:val="28"/>
          <w:szCs w:val="28"/>
          <w:highlight w:val="none"/>
          <w14:textFill>
            <w14:solidFill>
              <w14:schemeClr w14:val="tx1"/>
            </w14:solidFill>
          </w14:textFill>
        </w:rPr>
        <w:t>经营服务项目合同</w:t>
      </w:r>
      <w:r>
        <w:rPr>
          <w:rFonts w:hint="eastAsia" w:ascii="宋体" w:hAnsi="宋体" w:cs="宋体"/>
          <w:b/>
          <w:bCs/>
          <w:snapToGrid w:val="0"/>
          <w:color w:val="000000" w:themeColor="text1"/>
          <w:kern w:val="0"/>
          <w:sz w:val="28"/>
          <w:szCs w:val="28"/>
          <w:highlight w:val="none"/>
          <w14:textFill>
            <w14:solidFill>
              <w14:schemeClr w14:val="tx1"/>
            </w14:solidFill>
          </w14:textFill>
        </w:rPr>
        <w:t>（样本）</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第一条 合同的主体</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甲方：</w:t>
      </w:r>
      <w:r>
        <w:rPr>
          <w:rFonts w:hint="eastAsia" w:ascii="宋体" w:hAnsi="宋体" w:cs="宋体"/>
          <w:snapToGrid w:val="0"/>
          <w:color w:val="000000" w:themeColor="text1"/>
          <w:kern w:val="0"/>
          <w:szCs w:val="21"/>
          <w:highlight w:val="none"/>
          <w:u w:val="single"/>
          <w14:textFill>
            <w14:solidFill>
              <w14:schemeClr w14:val="tx1"/>
            </w14:solidFill>
          </w14:textFill>
        </w:rPr>
        <w:t>　</w:t>
      </w:r>
      <w:r>
        <w:rPr>
          <w:rFonts w:hint="eastAsia" w:ascii="宋体" w:hAnsi="宋体" w:cs="宋体"/>
          <w:snapToGrid w:val="0"/>
          <w:color w:val="000000" w:themeColor="text1"/>
          <w:kern w:val="0"/>
          <w:szCs w:val="21"/>
          <w:highlight w:val="none"/>
          <w:u w:val="single"/>
          <w14:textFill>
            <w14:solidFill>
              <w14:schemeClr w14:val="tx1"/>
            </w14:solidFill>
          </w14:textFill>
        </w:rPr>
        <w:t>皖北卫生职业学院　</w:t>
      </w:r>
      <w:r>
        <w:rPr>
          <w:rFonts w:hint="eastAsia" w:ascii="宋体" w:hAnsi="宋体" w:cs="宋体"/>
          <w:snapToGrid w:val="0"/>
          <w:color w:val="000000" w:themeColor="text1"/>
          <w:kern w:val="0"/>
          <w:szCs w:val="21"/>
          <w:highlight w:val="none"/>
          <w:u w:val="single"/>
          <w14:textFill>
            <w14:solidFill>
              <w14:schemeClr w14:val="tx1"/>
            </w14:solidFill>
          </w14:textFill>
        </w:rPr>
        <w:t>　　</w:t>
      </w:r>
      <w:r>
        <w:rPr>
          <w:rFonts w:hint="eastAsia" w:ascii="宋体" w:hAnsi="宋体" w:cs="宋体"/>
          <w:snapToGrid w:val="0"/>
          <w:color w:val="000000" w:themeColor="text1"/>
          <w:kern w:val="0"/>
          <w:szCs w:val="21"/>
          <w:highlight w:val="none"/>
          <w14:textFill>
            <w14:solidFill>
              <w14:schemeClr w14:val="tx1"/>
            </w14:solidFill>
          </w14:textFill>
        </w:rPr>
        <w:t>（以下简称甲方）</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乙方：</w:t>
      </w:r>
      <w:r>
        <w:rPr>
          <w:rFonts w:hint="eastAsia" w:ascii="宋体" w:hAnsi="宋体" w:cs="宋体"/>
          <w:snapToGrid w:val="0"/>
          <w:color w:val="000000" w:themeColor="text1"/>
          <w:kern w:val="0"/>
          <w:szCs w:val="21"/>
          <w:highlight w:val="none"/>
          <w:u w:val="single"/>
          <w14:textFill>
            <w14:solidFill>
              <w14:schemeClr w14:val="tx1"/>
            </w14:solidFill>
          </w14:textFill>
        </w:rPr>
        <w:t>　　　　　　　　　　</w:t>
      </w:r>
      <w:r>
        <w:rPr>
          <w:rFonts w:hint="eastAsia" w:ascii="宋体" w:hAnsi="宋体" w:cs="宋体"/>
          <w:snapToGrid w:val="0"/>
          <w:color w:val="000000" w:themeColor="text1"/>
          <w:kern w:val="0"/>
          <w:szCs w:val="21"/>
          <w:highlight w:val="none"/>
          <w14:textFill>
            <w14:solidFill>
              <w14:schemeClr w14:val="tx1"/>
            </w14:solidFill>
          </w14:textFill>
        </w:rPr>
        <w:t>（以下简称乙方）</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第二条 合同宗旨及原则</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甲乙双方按照中华人民共和国有关法律，根据平等互利原则，经友好协商，甲方将皖北卫生职业学院</w:t>
      </w:r>
      <w:r>
        <w:rPr>
          <w:rFonts w:hint="eastAsia" w:ascii="宋体" w:hAnsi="宋体" w:cs="宋体"/>
          <w:snapToGrid w:val="0"/>
          <w:color w:val="000000" w:themeColor="text1"/>
          <w:kern w:val="0"/>
          <w:szCs w:val="21"/>
          <w:highlight w:val="none"/>
          <w:lang w:eastAsia="zh-CN"/>
          <w14:textFill>
            <w14:solidFill>
              <w14:schemeClr w14:val="tx1"/>
            </w14:solidFill>
          </w14:textFill>
        </w:rPr>
        <w:t>第一食堂</w:t>
      </w:r>
      <w:r>
        <w:rPr>
          <w:rFonts w:hint="eastAsia" w:ascii="宋体" w:hAnsi="宋体" w:cs="宋体"/>
          <w:snapToGrid w:val="0"/>
          <w:color w:val="000000" w:themeColor="text1"/>
          <w:kern w:val="0"/>
          <w:szCs w:val="21"/>
          <w:highlight w:val="none"/>
          <w14:textFill>
            <w14:solidFill>
              <w14:schemeClr w14:val="tx1"/>
            </w14:solidFill>
          </w14:textFill>
        </w:rPr>
        <w:t>经营服务项目发包给乙方，乙方自愿承包，为明确双方的权利和义务，达成如下协议。</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第三条 合同范围和要求</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本合同规定的内容是乙方为</w:t>
      </w:r>
      <w:r>
        <w:rPr>
          <w:rFonts w:hint="eastAsia" w:ascii="宋体" w:hAnsi="宋体" w:cs="宋体"/>
          <w:snapToGrid w:val="0"/>
          <w:color w:val="000000" w:themeColor="text1"/>
          <w:kern w:val="0"/>
          <w:szCs w:val="21"/>
          <w:highlight w:val="none"/>
          <w14:textFill>
            <w14:solidFill>
              <w14:schemeClr w14:val="tx1"/>
            </w14:solidFill>
          </w14:textFill>
        </w:rPr>
        <w:t>皖北卫生职业学院</w:t>
      </w:r>
      <w:r>
        <w:rPr>
          <w:rFonts w:hint="eastAsia" w:ascii="宋体" w:hAnsi="宋体" w:cs="宋体"/>
          <w:snapToGrid w:val="0"/>
          <w:color w:val="000000" w:themeColor="text1"/>
          <w:kern w:val="0"/>
          <w:szCs w:val="21"/>
          <w:highlight w:val="none"/>
          <w14:textFill>
            <w14:solidFill>
              <w14:schemeClr w14:val="tx1"/>
            </w14:solidFill>
          </w14:textFill>
        </w:rPr>
        <w:t>学生提供早餐、午餐、晚餐服务，并负责所属区域的卫生保洁。操作中必须严格遵守《中华人民共和国食品安全法》和《餐饮业食品卫生管理办法》《环境卫生保护法》《学校食品安全与营养健康管理规定》以及其它现行的安徽省、宿州市相关</w:t>
      </w:r>
      <w:r>
        <w:rPr>
          <w:rFonts w:hint="eastAsia" w:ascii="宋体" w:hAnsi="宋体" w:cs="宋体"/>
          <w:snapToGrid w:val="0"/>
          <w:color w:val="000000" w:themeColor="text1"/>
          <w:kern w:val="0"/>
          <w:szCs w:val="21"/>
          <w:highlight w:val="none"/>
          <w14:textFill>
            <w14:solidFill>
              <w14:schemeClr w14:val="tx1"/>
            </w14:solidFill>
          </w14:textFill>
        </w:rPr>
        <w:t>法律</w:t>
      </w:r>
      <w:r>
        <w:rPr>
          <w:rFonts w:hint="eastAsia" w:ascii="宋体" w:hAnsi="宋体" w:cs="宋体"/>
          <w:snapToGrid w:val="0"/>
          <w:color w:val="000000" w:themeColor="text1"/>
          <w:kern w:val="0"/>
          <w:szCs w:val="21"/>
          <w:highlight w:val="none"/>
          <w14:textFill>
            <w14:solidFill>
              <w14:schemeClr w14:val="tx1"/>
            </w14:solidFill>
          </w14:textFill>
        </w:rPr>
        <w:t>法规。</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第四条 合同履行期限</w:t>
      </w:r>
      <w:r>
        <w:rPr>
          <w:rFonts w:hint="eastAsia" w:ascii="宋体" w:hAnsi="宋体" w:cs="宋体"/>
          <w:b/>
          <w:bCs/>
          <w:snapToGrid w:val="0"/>
          <w:color w:val="000000" w:themeColor="text1"/>
          <w:kern w:val="0"/>
          <w:szCs w:val="21"/>
          <w:highlight w:val="none"/>
          <w14:textFill>
            <w14:solidFill>
              <w14:schemeClr w14:val="tx1"/>
            </w14:solidFill>
          </w14:textFill>
        </w:rPr>
        <w:t>及管理费用</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1、本合同期限：</w:t>
      </w:r>
      <w:r>
        <w:rPr>
          <w:rFonts w:hint="eastAsia" w:ascii="宋体" w:hAnsi="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cs="宋体"/>
          <w:snapToGrid w:val="0"/>
          <w:color w:val="000000" w:themeColor="text1"/>
          <w:kern w:val="0"/>
          <w:szCs w:val="21"/>
          <w:highlight w:val="none"/>
          <w14:textFill>
            <w14:solidFill>
              <w14:schemeClr w14:val="tx1"/>
            </w14:solidFill>
          </w14:textFill>
        </w:rPr>
        <w:t>年（2+1），即自</w:t>
      </w:r>
      <w:r>
        <w:rPr>
          <w:rFonts w:hint="eastAsia" w:ascii="宋体" w:hAnsi="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年</w:t>
      </w:r>
      <w:r>
        <w:rPr>
          <w:rFonts w:hint="eastAsia" w:ascii="宋体" w:hAnsi="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月</w:t>
      </w:r>
      <w:r>
        <w:rPr>
          <w:rFonts w:hint="eastAsia" w:ascii="宋体" w:hAnsi="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日起至</w:t>
      </w:r>
      <w:r>
        <w:rPr>
          <w:rFonts w:hint="eastAsia" w:ascii="宋体" w:hAnsi="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年</w:t>
      </w:r>
      <w:r>
        <w:rPr>
          <w:rFonts w:hint="eastAsia" w:ascii="宋体" w:hAnsi="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月</w:t>
      </w:r>
      <w:r>
        <w:rPr>
          <w:rFonts w:hint="eastAsia" w:ascii="宋体" w:hAnsi="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日止。中标后先签订2年经营服务合同，即自</w:t>
      </w:r>
      <w:r>
        <w:rPr>
          <w:rFonts w:hint="eastAsia" w:ascii="宋体" w:hAnsi="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年</w:t>
      </w:r>
      <w:r>
        <w:rPr>
          <w:rFonts w:hint="eastAsia" w:ascii="宋体" w:hAnsi="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月</w:t>
      </w:r>
      <w:r>
        <w:rPr>
          <w:rFonts w:hint="eastAsia" w:ascii="宋体" w:hAnsi="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日起至</w:t>
      </w:r>
      <w:r>
        <w:rPr>
          <w:rFonts w:hint="eastAsia" w:ascii="宋体" w:hAnsi="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年</w:t>
      </w:r>
      <w:r>
        <w:rPr>
          <w:rFonts w:hint="eastAsia" w:ascii="宋体" w:hAnsi="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月</w:t>
      </w:r>
      <w:r>
        <w:rPr>
          <w:rFonts w:hint="eastAsia" w:ascii="宋体" w:hAnsi="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日止</w:t>
      </w:r>
      <w:r>
        <w:rPr>
          <w:rFonts w:hint="eastAsia" w:ascii="宋体" w:hAnsi="宋体" w:cs="宋体"/>
          <w:snapToGrid w:val="0"/>
          <w:color w:val="000000" w:themeColor="text1"/>
          <w:kern w:val="0"/>
          <w:szCs w:val="21"/>
          <w:highlight w:val="none"/>
          <w:lang w:eastAsia="zh-CN"/>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经营期间每年由学校总务处等相关部门进行师生满意度考核，对综合满意度达到80%以上（含80%），且前2年合同期内无重大食品安全事件；被校方因食品安全负面问题书面约谈整改不多于3次；被省、市、区市场监管等部门立案查处不多于1次且及时整改落实的，经学校研究同意可以续签第3年合同。</w:t>
      </w:r>
      <w:r>
        <w:rPr>
          <w:rFonts w:hint="eastAsia" w:ascii="宋体" w:hAnsi="宋体" w:cs="宋体"/>
          <w:snapToGrid w:val="0"/>
          <w:color w:val="000000" w:themeColor="text1"/>
          <w:kern w:val="0"/>
          <w:szCs w:val="21"/>
          <w:highlight w:val="none"/>
          <w14:textFill>
            <w14:solidFill>
              <w14:schemeClr w14:val="tx1"/>
            </w14:solidFill>
          </w14:textFill>
        </w:rPr>
        <w:t>乙方应自合同期签订之日起30日内到食品卫生监督部门办理《食品经营许可证》。</w:t>
      </w:r>
    </w:p>
    <w:p>
      <w:pPr>
        <w:pStyle w:val="2"/>
        <w:ind w:left="0" w:leftChars="0"/>
        <w:rPr>
          <w:rFonts w:ascii="宋体" w:hAnsi="宋体" w:eastAsia="宋体" w:cs="宋体"/>
          <w:snapToGrid w:val="0"/>
          <w:color w:val="000000" w:themeColor="text1"/>
          <w:kern w:val="0"/>
          <w:sz w:val="21"/>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2、管理费用：</w:t>
      </w:r>
    </w:p>
    <w:p>
      <w:pPr>
        <w:pStyle w:val="2"/>
        <w:ind w:left="0" w:leftChars="0"/>
        <w:rPr>
          <w:rFonts w:hint="default"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3、履约保证金：</w:t>
      </w: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44万</w:t>
      </w:r>
    </w:p>
    <w:p>
      <w:pPr>
        <w:pStyle w:val="5"/>
        <w:ind w:leftChars="200" w:firstLine="0"/>
        <w:rPr>
          <w:rFonts w:ascii="宋体" w:hAnsi="宋体" w:eastAsia="宋体" w:cs="宋体"/>
          <w:snapToGrid w:val="0"/>
          <w:color w:val="000000" w:themeColor="text1"/>
          <w:kern w:val="0"/>
          <w:sz w:val="21"/>
          <w:szCs w:val="21"/>
          <w:highlight w:val="none"/>
          <w14:textFill>
            <w14:solidFill>
              <w14:schemeClr w14:val="tx1"/>
            </w14:solidFill>
          </w14:textFill>
        </w:rPr>
      </w:pP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第五条 工作内容和标准</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1、环境与卫生</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1.1承包企业按照合同约定为招标人提供满意的餐饮服务。食品加工、制作、经营须严格遵守《中华人民共和国食品安全法》、《餐饮业食品卫生管理办法》和《环境卫生保护法》以及其它现行的相关法规、规定。</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按照质量管理体系和食品安全管理体系要求，承包企业应做好从食品验收入库、领用加工、成品出菜以及餐饮具的清洗消毒、人员的卫生健康和环境的卫生等工作，检査督促餐饮服务的每个环节的工作，并做好相关记录。</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2、人员配备及管理要求</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2.1为了保障食堂餐饮服务工作的顺利开展，承包企业为本项目食堂配备的人员必须确保能满足招标人食堂正常运行和保障学生正常就餐。承包企业在投标时响应的配备人员在中标后必须全部到岗，否则履约保证金不予退还。承包企业须根据实际就餐人数及规模匹配对应人员，人员数量及岗位必须满足项目实际需求。</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2.2食堂工作人员由承包企业自行招聘和管理，所聘工作人员劳动合同的签订、工资、社保和福利的发放、劳务纠纷的处理等相关经济和法律责任均由承包企业自行解决。食堂内的工作人员属于承包企业的员工，与招标人不存在任何雇佣、委托等劳动关系，食堂工作人员的人身安全责任由承包企业负责。承包企业不得无故拖欠工资，招标人有权对食堂用工情况进行监督和检查。</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2.3本项目配备的所有员工都要经过卫生防疫部门的体检、办理健康证方能上岗；同时承包企业应按时到卫生防疫部门办理食堂经营许可的年检手续，接受卫生防疫部门的现检，其体检、抽检和年检等费用由承包企业自理。</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2.4承包企业要对食堂员工的思想道德、业务素质、安全健康等进行全面管理，所有人员应规范服务操作程序，做到文明用语、礼貌服务。</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2.5承包企业应对员工进行岗前培训、在岗培训、转岗培训，以达到相应的岗位技能要求。针对加工制作过程中对安全隐患较大的设备，如和面机、压面机、切菜机、烤箱等机械设备应安排专人操作，上岗前必须培训到位，否则如出现重大安全事故由承包企业自行负责善后。</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2.6食品安全管理人员的设置应符合《重大活动餐饮服务食品安全监督管理规范》的要求。</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2.7项目经理必须亲自</w:t>
      </w:r>
      <w:r>
        <w:rPr>
          <w:rFonts w:hint="eastAsia" w:ascii="宋体" w:hAnsi="宋体" w:cs="宋体"/>
          <w:snapToGrid w:val="0"/>
          <w:color w:val="000000" w:themeColor="text1"/>
          <w:kern w:val="0"/>
          <w:szCs w:val="21"/>
          <w:highlight w:val="none"/>
          <w14:textFill>
            <w14:solidFill>
              <w14:schemeClr w14:val="tx1"/>
            </w14:solidFill>
          </w14:textFill>
        </w:rPr>
        <w:t>参与现场管理</w:t>
      </w:r>
      <w:r>
        <w:rPr>
          <w:rFonts w:hint="eastAsia" w:ascii="宋体" w:hAnsi="宋体" w:cs="宋体"/>
          <w:snapToGrid w:val="0"/>
          <w:color w:val="000000" w:themeColor="text1"/>
          <w:kern w:val="0"/>
          <w:szCs w:val="21"/>
          <w:highlight w:val="none"/>
          <w14:textFill>
            <w14:solidFill>
              <w14:schemeClr w14:val="tx1"/>
            </w14:solidFill>
          </w14:textFill>
        </w:rPr>
        <w:t>，每天到</w:t>
      </w:r>
      <w:r>
        <w:rPr>
          <w:rFonts w:hint="eastAsia" w:ascii="宋体" w:hAnsi="宋体" w:cs="宋体"/>
          <w:snapToGrid w:val="0"/>
          <w:color w:val="000000" w:themeColor="text1"/>
          <w:kern w:val="0"/>
          <w:szCs w:val="21"/>
          <w:highlight w:val="none"/>
          <w14:textFill>
            <w14:solidFill>
              <w14:schemeClr w14:val="tx1"/>
            </w14:solidFill>
          </w14:textFill>
        </w:rPr>
        <w:t>总务</w:t>
      </w:r>
      <w:r>
        <w:rPr>
          <w:rFonts w:hint="eastAsia" w:ascii="宋体" w:hAnsi="宋体" w:cs="宋体"/>
          <w:snapToGrid w:val="0"/>
          <w:color w:val="000000" w:themeColor="text1"/>
          <w:kern w:val="0"/>
          <w:szCs w:val="21"/>
          <w:highlight w:val="none"/>
          <w14:textFill>
            <w14:solidFill>
              <w14:schemeClr w14:val="tx1"/>
            </w14:solidFill>
          </w14:textFill>
        </w:rPr>
        <w:t>处考勤，请假每月不得超过三天，项目负责人一年内不得辞职或调离。</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3、采购渠道</w:t>
      </w:r>
    </w:p>
    <w:p>
      <w:pPr>
        <w:wordWrap w:val="0"/>
        <w:spacing w:line="360" w:lineRule="auto"/>
        <w:ind w:firstLine="420" w:firstLineChars="200"/>
        <w:rPr>
          <w:rFonts w:ascii="宋体" w:hAnsi="宋体" w:cs="宋体"/>
          <w:b/>
          <w:bCs/>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承包企业用于食堂的原材料必须符合食品安全的要求，有稳定的进货、调货渠道且经过检验检疫；具有规范的食品及原料管理制度，所有原材料供应必须“三证”齐全（卫生许可证、食品检验合格证、产地来源证），建档立案备查；对采购的蔬菜进行农药残留检测，用农药速测仪器对每批蔬菜抽检，对超标蔬菜现场销毁，并建立记录；对原材料价格和农残情况定期进行公示。调料、配料必须是正规厂家生产的合格产品；</w:t>
      </w:r>
      <w:r>
        <w:rPr>
          <w:rFonts w:hint="eastAsia" w:ascii="宋体" w:hAnsi="宋体" w:cs="宋体"/>
          <w:b/>
          <w:bCs/>
          <w:snapToGrid w:val="0"/>
          <w:color w:val="000000" w:themeColor="text1"/>
          <w:kern w:val="0"/>
          <w:sz w:val="21"/>
          <w:szCs w:val="21"/>
          <w:highlight w:val="none"/>
          <w14:textFill>
            <w14:solidFill>
              <w14:schemeClr w14:val="tx1"/>
            </w14:solidFill>
          </w14:textFill>
        </w:rPr>
        <w:t>本项目所有食材禁止使用转基因原料。</w:t>
      </w:r>
      <w:r>
        <w:rPr>
          <w:rFonts w:hint="eastAsia" w:ascii="宋体" w:hAnsi="宋体" w:cs="宋体"/>
          <w:b/>
          <w:bCs/>
          <w:snapToGrid w:val="0"/>
          <w:color w:val="000000" w:themeColor="text1"/>
          <w:kern w:val="0"/>
          <w:sz w:val="21"/>
          <w:szCs w:val="21"/>
          <w:highlight w:val="none"/>
          <w14:textFill>
            <w14:solidFill>
              <w14:schemeClr w14:val="tx1"/>
            </w14:solidFill>
          </w14:textFill>
        </w:rPr>
        <w:t>如发现使用转基因原料或食品，则招标人有权解除合同并对承包企业处以罚款。</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4、菜品供应</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4.1每周菜谱、菜价、消耗品等提前确定并报招标人审核。</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4.2菜肴的荤素搭配合理，每天不重复，每周重复率不高于30%(素菜除外）。</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4.3根据季节变化和就餐人反馈信息、意见，及时更换菜肴的口味、调整餐品品种。</w:t>
      </w:r>
    </w:p>
    <w:p>
      <w:pPr>
        <w:wordWrap w:val="0"/>
        <w:spacing w:line="360" w:lineRule="auto"/>
        <w:ind w:firstLine="420" w:firstLineChars="200"/>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4.4基本大伙售饭档口占比全部档口比例不低于60%；不得未经学校同意，减少大伙档口和饭菜花色品种，改为特色档口，而导致学生就餐困难和饭菜价格隐形增加，否则视为违约，学院有权解除合同并扣除履约保证金作为处罚。</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5、安全管理</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5.1承包企业负责食堂用餐安全，有完善的质量安全保障体系和有效监管措施。</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5.2承包企业必须自行做好安全、防盗、防火等工作；划分消防责任区、指定消防责任人，负责食堂经营范围内及招标人指定区域内的防火安全，负责培训员工熟练掌握消防设施、器材的使用方法，如发生失窃、火灾、食物中毒等事故，造成的一切后果及损失均由承包企业自行承担。</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5.3承包企业的工作人员在工作及生活中出现任何事故、意外伤害及违法行为，均由承包企业负责，招标人不承担任何责任。如因承包企业原因造成人员伤害或伤亡的，由承包企业承担。</w:t>
      </w:r>
    </w:p>
    <w:p>
      <w:pPr>
        <w:wordWrap w:val="0"/>
        <w:spacing w:line="360" w:lineRule="auto"/>
        <w:ind w:firstLine="422"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6、应急措施</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承包企业负责落实食堂经营范围内及招标人指定区域的卫生工作（含周边环境、烟道、下水道、隔油池、厕所等），建立和健全一整套生产管理、卫生管理和安全管理制度；制定防断餐应急预案，建立加工制作人员与售卖人员的信息沟通渠道；制定突发公共卫生安全、食品安全事件、停电、停水、停气、员工罢工等情况应急预案，并定期演练。</w:t>
      </w:r>
    </w:p>
    <w:p>
      <w:pPr>
        <w:wordWrap w:val="0"/>
        <w:spacing w:line="360" w:lineRule="auto"/>
        <w:ind w:firstLine="422"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7、经营管理</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7.1餐饮人员服务程序操作规范，文明用语、礼貌服务、热情、周到、便捷。</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7.2创造文明就餐的食堂文化氛围，食堂就餐秩序良好。</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7.3定期主动了解就餐人员的要求，配合做好就餐人员满意程度调查。</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7.4开餐前，餐厅地面、桌椅卫生达标。用餐后，及时清理桌面、地面卫生，用清洁剂搞好现场卫生，确保每餐的卫生整洁。</w:t>
      </w:r>
    </w:p>
    <w:p>
      <w:pPr>
        <w:wordWrap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7.5严格控制餐厨废弃物的流向，做好分类处理和回收利用工作。</w:t>
      </w:r>
    </w:p>
    <w:p>
      <w:pPr>
        <w:wordWrap w:val="0"/>
        <w:spacing w:line="360" w:lineRule="auto"/>
        <w:ind w:firstLine="420" w:firstLineChars="200"/>
        <w:rPr>
          <w:rFonts w:hint="eastAsia"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val="en-US" w:eastAsia="zh-CN"/>
          <w14:textFill>
            <w14:solidFill>
              <w14:schemeClr w14:val="tx1"/>
            </w14:solidFill>
          </w14:textFill>
        </w:rPr>
        <w:t>7.6</w:t>
      </w:r>
      <w:r>
        <w:rPr>
          <w:rFonts w:hint="eastAsia" w:ascii="宋体" w:hAnsi="宋体" w:cs="宋体"/>
          <w:snapToGrid w:val="0"/>
          <w:color w:val="000000" w:themeColor="text1"/>
          <w:kern w:val="0"/>
          <w:szCs w:val="21"/>
          <w:highlight w:val="none"/>
          <w14:textFill>
            <w14:solidFill>
              <w14:schemeClr w14:val="tx1"/>
            </w14:solidFill>
          </w14:textFill>
        </w:rPr>
        <w:t>经营方从事的经营服务范围只限于餐饮服务，不得从事瓶装矿泉水、水果、方便面、袋装零食等校园超市售卖物品类其它非加工制作餐饮品项目的销售服务。每发现一次扣除履约金500元，情况严重屡犯不改者学校有权解除合同。</w:t>
      </w:r>
    </w:p>
    <w:p>
      <w:pPr>
        <w:wordWrap w:val="0"/>
        <w:spacing w:line="360" w:lineRule="auto"/>
        <w:ind w:firstLine="422"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8、设备设施管理</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8.1</w:t>
      </w:r>
      <w:r>
        <w:rPr>
          <w:rFonts w:hint="eastAsia" w:ascii="宋体" w:hAnsi="宋体" w:cs="宋体"/>
          <w:snapToGrid w:val="0"/>
          <w:color w:val="000000" w:themeColor="text1"/>
          <w:kern w:val="0"/>
          <w:szCs w:val="21"/>
          <w:highlight w:val="none"/>
          <w14:textFill>
            <w14:solidFill>
              <w14:schemeClr w14:val="tx1"/>
            </w14:solidFill>
          </w14:textFill>
        </w:rPr>
        <w:t>承包企业为经营所提供的所有设施设备需开具清单备份给招标人，装修完成后招标人抽取第三方公司对承包企业的装饰装修投入进行审计，按照投标文件承诺进行验收，验收合格后，承包企业方可投入使用。若审计后费用未达投标承诺，则视为违约或中标</w:t>
      </w:r>
      <w:r>
        <w:rPr>
          <w:rFonts w:hint="eastAsia" w:ascii="宋体" w:hAnsi="宋体" w:cs="宋体"/>
          <w:snapToGrid w:val="0"/>
          <w:color w:val="000000" w:themeColor="text1"/>
          <w:kern w:val="0"/>
          <w:szCs w:val="21"/>
          <w:highlight w:val="none"/>
          <w14:textFill>
            <w14:solidFill>
              <w14:schemeClr w14:val="tx1"/>
            </w14:solidFill>
          </w14:textFill>
        </w:rPr>
        <w:t>承包企业</w:t>
      </w:r>
      <w:r>
        <w:rPr>
          <w:rFonts w:hint="eastAsia" w:ascii="宋体" w:hAnsi="宋体" w:cs="宋体"/>
          <w:snapToGrid w:val="0"/>
          <w:color w:val="000000" w:themeColor="text1"/>
          <w:kern w:val="0"/>
          <w:szCs w:val="21"/>
          <w:highlight w:val="none"/>
          <w14:textFill>
            <w14:solidFill>
              <w14:schemeClr w14:val="tx1"/>
            </w14:solidFill>
          </w14:textFill>
        </w:rPr>
        <w:t>将差额费用补足给招标人。承包企业</w:t>
      </w:r>
      <w:r>
        <w:rPr>
          <w:rFonts w:hint="eastAsia" w:ascii="宋体" w:hAnsi="宋体" w:cs="宋体"/>
          <w:snapToGrid w:val="0"/>
          <w:color w:val="000000" w:themeColor="text1"/>
          <w:kern w:val="0"/>
          <w:szCs w:val="21"/>
          <w:highlight w:val="none"/>
          <w14:textFill>
            <w14:solidFill>
              <w14:schemeClr w14:val="tx1"/>
            </w14:solidFill>
          </w14:textFill>
        </w:rPr>
        <w:t>必须对食堂售卖</w:t>
      </w:r>
      <w:r>
        <w:rPr>
          <w:rFonts w:hint="eastAsia" w:ascii="宋体" w:hAnsi="宋体" w:cs="宋体"/>
          <w:snapToGrid w:val="0"/>
          <w:color w:val="000000" w:themeColor="text1"/>
          <w:kern w:val="0"/>
          <w:szCs w:val="21"/>
          <w:highlight w:val="none"/>
          <w14:textFill>
            <w14:solidFill>
              <w14:schemeClr w14:val="tx1"/>
            </w14:solidFill>
          </w14:textFill>
        </w:rPr>
        <w:t>间、操作间及后堂所有水电气、明厨亮灶、中央空调</w:t>
      </w:r>
      <w:r>
        <w:rPr>
          <w:rFonts w:hint="eastAsia" w:ascii="宋体" w:hAnsi="宋体" w:cs="宋体"/>
          <w:snapToGrid w:val="0"/>
          <w:color w:val="000000" w:themeColor="text1"/>
          <w:kern w:val="0"/>
          <w:szCs w:val="21"/>
          <w:highlight w:val="none"/>
          <w14:textFill>
            <w14:solidFill>
              <w14:schemeClr w14:val="tx1"/>
            </w14:solidFill>
          </w14:textFill>
        </w:rPr>
        <w:t>等设施设备进行保养、维护，费用由承包企业承担</w:t>
      </w:r>
      <w:r>
        <w:rPr>
          <w:rFonts w:hint="eastAsia" w:ascii="宋体" w:hAnsi="宋体" w:cs="宋体"/>
          <w:snapToGrid w:val="0"/>
          <w:color w:val="000000" w:themeColor="text1"/>
          <w:kern w:val="0"/>
          <w:szCs w:val="21"/>
          <w:highlight w:val="none"/>
          <w14:textFill>
            <w14:solidFill>
              <w14:schemeClr w14:val="tx1"/>
            </w14:solidFill>
          </w14:textFill>
        </w:rPr>
        <w:t>；建筑屋顶漏水、外墙脱落、房屋结构出现安全隐患，进入食堂后厨前水电气管道破损由招标人负责维修更新。</w:t>
      </w:r>
      <w:r>
        <w:rPr>
          <w:rFonts w:hint="eastAsia" w:ascii="宋体" w:hAnsi="宋体" w:cs="宋体"/>
          <w:snapToGrid w:val="0"/>
          <w:color w:val="000000" w:themeColor="text1"/>
          <w:kern w:val="0"/>
          <w:szCs w:val="21"/>
          <w:highlight w:val="none"/>
          <w14:textFill>
            <w14:solidFill>
              <w14:schemeClr w14:val="tx1"/>
            </w14:solidFill>
          </w14:textFill>
        </w:rPr>
        <w:t>承包企业须保证设备完好率达100%，维修及时率达100%。承包企业负责水、电、气、消防设施等的日常清洁保养，并承担上述设备设施因非正常折旧而损坏的维修费用。</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8.2</w:t>
      </w:r>
      <w:r>
        <w:rPr>
          <w:rFonts w:hint="eastAsia" w:ascii="宋体" w:hAnsi="宋体" w:cs="宋体"/>
          <w:snapToGrid w:val="0"/>
          <w:color w:val="000000" w:themeColor="text1"/>
          <w:kern w:val="0"/>
          <w:szCs w:val="21"/>
          <w:highlight w:val="none"/>
          <w14:textFill>
            <w14:solidFill>
              <w14:schemeClr w14:val="tx1"/>
            </w14:solidFill>
          </w14:textFill>
        </w:rPr>
        <w:t>餐厨具以及办公设备等全部</w:t>
      </w:r>
      <w:r>
        <w:rPr>
          <w:rFonts w:hint="eastAsia" w:ascii="宋体" w:hAnsi="宋体" w:cs="宋体"/>
          <w:snapToGrid w:val="0"/>
          <w:color w:val="000000" w:themeColor="text1"/>
          <w:kern w:val="0"/>
          <w:szCs w:val="21"/>
          <w:highlight w:val="none"/>
          <w14:textFill>
            <w14:solidFill>
              <w14:schemeClr w14:val="tx1"/>
            </w14:solidFill>
          </w14:textFill>
        </w:rPr>
        <w:t>由承包企业根据用餐人数规模自行配备，定期对损坏的物品予以更新。合同期满后，承包企业可</w:t>
      </w:r>
      <w:r>
        <w:rPr>
          <w:rFonts w:hint="eastAsia" w:ascii="宋体" w:hAnsi="宋体" w:cs="宋体"/>
          <w:snapToGrid w:val="0"/>
          <w:color w:val="000000" w:themeColor="text1"/>
          <w:kern w:val="0"/>
          <w:szCs w:val="21"/>
          <w:highlight w:val="none"/>
          <w14:textFill>
            <w14:solidFill>
              <w14:schemeClr w14:val="tx1"/>
            </w14:solidFill>
          </w14:textFill>
        </w:rPr>
        <w:t>按清单</w:t>
      </w:r>
      <w:r>
        <w:rPr>
          <w:rFonts w:hint="eastAsia" w:ascii="宋体" w:hAnsi="宋体" w:cs="宋体"/>
          <w:snapToGrid w:val="0"/>
          <w:color w:val="000000" w:themeColor="text1"/>
          <w:kern w:val="0"/>
          <w:szCs w:val="21"/>
          <w:highlight w:val="none"/>
          <w14:textFill>
            <w14:solidFill>
              <w14:schemeClr w14:val="tx1"/>
            </w14:solidFill>
          </w14:textFill>
        </w:rPr>
        <w:t>将自己添置的设备带走。</w:t>
      </w:r>
      <w:r>
        <w:rPr>
          <w:rFonts w:hint="eastAsia" w:ascii="宋体" w:hAnsi="宋体" w:cs="宋体"/>
          <w:snapToGrid w:val="0"/>
          <w:color w:val="000000" w:themeColor="text1"/>
          <w:kern w:val="0"/>
          <w:szCs w:val="21"/>
          <w:highlight w:val="none"/>
          <w14:textFill>
            <w14:solidFill>
              <w14:schemeClr w14:val="tx1"/>
            </w14:solidFill>
          </w14:textFill>
        </w:rPr>
        <w:t>但拆除时不得损坏招标人食堂墙面、地面建筑结构和水电等管线。</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9、食堂财务管理</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9.1承包企业必须对本项目进行独立核算，建立规范的财务管理制度，并对每日产生的所有费用建立日台账，主动接受招标人的监督和检查。</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9.2实行餐卡</w:t>
      </w:r>
      <w:r>
        <w:rPr>
          <w:rFonts w:hint="eastAsia" w:ascii="宋体" w:hAnsi="宋体" w:cs="宋体"/>
          <w:snapToGrid w:val="0"/>
          <w:color w:val="000000" w:themeColor="text1"/>
          <w:kern w:val="0"/>
          <w:szCs w:val="21"/>
          <w:highlight w:val="none"/>
          <w14:textFill>
            <w14:solidFill>
              <w14:schemeClr w14:val="tx1"/>
            </w14:solidFill>
          </w14:textFill>
        </w:rPr>
        <w:t>校园一卡通</w:t>
      </w:r>
      <w:r>
        <w:rPr>
          <w:rFonts w:hint="eastAsia" w:ascii="宋体" w:hAnsi="宋体" w:cs="宋体"/>
          <w:snapToGrid w:val="0"/>
          <w:color w:val="000000" w:themeColor="text1"/>
          <w:kern w:val="0"/>
          <w:szCs w:val="21"/>
          <w:highlight w:val="none"/>
          <w14:textFill>
            <w14:solidFill>
              <w14:schemeClr w14:val="tx1"/>
            </w14:solidFill>
          </w14:textFill>
        </w:rPr>
        <w:t>管理制度，就餐人员一人一卡，实行刷卡就餐，</w:t>
      </w:r>
      <w:r>
        <w:rPr>
          <w:rFonts w:hint="eastAsia" w:ascii="宋体" w:hAnsi="宋体" w:cs="宋体"/>
          <w:snapToGrid w:val="0"/>
          <w:color w:val="000000" w:themeColor="text1"/>
          <w:kern w:val="0"/>
          <w:szCs w:val="21"/>
          <w:highlight w:val="none"/>
          <w14:textFill>
            <w14:solidFill>
              <w14:schemeClr w14:val="tx1"/>
            </w14:solidFill>
          </w14:textFill>
        </w:rPr>
        <w:t>承包企业不得私自进行企业微信、档口支付宝或现金收费。每发现一例扣除履约金500元；</w:t>
      </w:r>
      <w:r>
        <w:rPr>
          <w:rFonts w:hint="eastAsia" w:ascii="宋体" w:hAnsi="宋体" w:cs="宋体"/>
          <w:snapToGrid w:val="0"/>
          <w:color w:val="000000" w:themeColor="text1"/>
          <w:kern w:val="0"/>
          <w:szCs w:val="21"/>
          <w:highlight w:val="none"/>
          <w14:textFill>
            <w14:solidFill>
              <w14:schemeClr w14:val="tx1"/>
            </w14:solidFill>
          </w14:textFill>
        </w:rPr>
        <w:t>餐卡及刷卡设备</w:t>
      </w:r>
      <w:r>
        <w:rPr>
          <w:rFonts w:hint="eastAsia" w:ascii="宋体" w:hAnsi="宋体" w:cs="宋体"/>
          <w:snapToGrid w:val="0"/>
          <w:color w:val="000000" w:themeColor="text1"/>
          <w:kern w:val="0"/>
          <w:szCs w:val="21"/>
          <w:highlight w:val="none"/>
          <w14:textFill>
            <w14:solidFill>
              <w14:schemeClr w14:val="tx1"/>
            </w14:solidFill>
          </w14:textFill>
        </w:rPr>
        <w:t>由招标人投入建设，承包企业智慧食堂支付系统自行建设，若额外增加档口一卡通刷卡设备则自行联系一卡通系统采购安装。</w:t>
      </w:r>
    </w:p>
    <w:p>
      <w:pPr>
        <w:wordWrap w:val="0"/>
        <w:spacing w:line="360" w:lineRule="auto"/>
        <w:ind w:firstLine="422"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10、风险责任承诺</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10.1承包企业必须对经营风险承担全部的后果，并对有关食品卫生安全责任做出明确的承诺。</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10.2承包企业要按招标文件中的条款和双方签订的合同规定，承担全部的安全、卫生、质量、效益、风险等责任。</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10.3承包企业在经营过程中与外界或与</w:t>
      </w:r>
      <w:r>
        <w:rPr>
          <w:rFonts w:hint="eastAsia" w:ascii="宋体" w:hAnsi="宋体" w:cs="宋体"/>
          <w:snapToGrid w:val="0"/>
          <w:color w:val="000000" w:themeColor="text1"/>
          <w:kern w:val="0"/>
          <w:szCs w:val="21"/>
          <w:highlight w:val="none"/>
          <w14:textFill>
            <w14:solidFill>
              <w14:schemeClr w14:val="tx1"/>
            </w14:solidFill>
          </w14:textFill>
        </w:rPr>
        <w:t>档口经营人员</w:t>
      </w:r>
      <w:r>
        <w:rPr>
          <w:rFonts w:hint="eastAsia" w:ascii="宋体" w:hAnsi="宋体" w:cs="宋体"/>
          <w:snapToGrid w:val="0"/>
          <w:color w:val="000000" w:themeColor="text1"/>
          <w:kern w:val="0"/>
          <w:szCs w:val="21"/>
          <w:highlight w:val="none"/>
          <w14:textFill>
            <w14:solidFill>
              <w14:schemeClr w14:val="tx1"/>
            </w14:solidFill>
          </w14:textFill>
        </w:rPr>
        <w:t>发生的一切债权、债务等纠纷均与招标人无关。</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10.4除不可抗力因素外，承包企业不得以任何理由不按时或不充足供应食堂膳食，否则视为违反合同。</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11、监督管理与考核办法</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11.1监督体系</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承包企业经营活动须符合招标人相关管理制度的规定。承包企业必须接受招标人的监督与管理，积极配合开展工作，自觉接受对财务管理、食材管理、生产流程、卫生消毒、供应价格、服务规范等方面的全方位监控。</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11.2监督依据</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（1）国家相关法律法规；</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（2）安徽省卫生主管部门对食堂的管理规定；</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（3）招标人对食堂的管理规定；</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（4）招标人和承包企业的合同、协议的约定。</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11.3监督方式：强化日常监管，</w:t>
      </w:r>
      <w:r>
        <w:rPr>
          <w:rFonts w:hint="eastAsia" w:ascii="宋体" w:hAnsi="宋体" w:cs="宋体"/>
          <w:snapToGrid w:val="0"/>
          <w:color w:val="000000" w:themeColor="text1"/>
          <w:kern w:val="0"/>
          <w:szCs w:val="21"/>
          <w:highlight w:val="none"/>
          <w14:textFill>
            <w14:solidFill>
              <w14:schemeClr w14:val="tx1"/>
            </w14:solidFill>
          </w14:textFill>
        </w:rPr>
        <w:t>每周调度，</w:t>
      </w:r>
      <w:r>
        <w:rPr>
          <w:rFonts w:hint="eastAsia" w:ascii="宋体" w:hAnsi="宋体" w:cs="宋体"/>
          <w:snapToGrid w:val="0"/>
          <w:color w:val="000000" w:themeColor="text1"/>
          <w:kern w:val="0"/>
          <w:szCs w:val="21"/>
          <w:highlight w:val="none"/>
          <w14:textFill>
            <w14:solidFill>
              <w14:schemeClr w14:val="tx1"/>
            </w14:solidFill>
          </w14:textFill>
        </w:rPr>
        <w:t>月度量化考评，年度满意度考核。如发生群体性食品卫生安全事故、工伤事故、火灾事故，则招标人有权直接解除合同并不予退还履约保证金。因事故损失或赔偿超出履约保证金金额的，由承包企业承担全部赔偿责任。</w:t>
      </w:r>
    </w:p>
    <w:p>
      <w:pPr>
        <w:wordWrap w:val="0"/>
        <w:spacing w:line="360" w:lineRule="auto"/>
        <w:ind w:firstLine="422"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第六条 甲、乙双方的权利与义务</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（一）甲方的权利与义务</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1.甲方有权对承包该项目的专业、服务人员进行验证身份证件，</w:t>
      </w:r>
      <w:r>
        <w:rPr>
          <w:rFonts w:hint="eastAsia" w:ascii="宋体" w:hAnsi="宋体" w:cs="宋体"/>
          <w:snapToGrid w:val="0"/>
          <w:color w:val="000000" w:themeColor="text1"/>
          <w:kern w:val="0"/>
          <w:szCs w:val="21"/>
          <w:highlight w:val="none"/>
          <w14:textFill>
            <w14:solidFill>
              <w14:schemeClr w14:val="tx1"/>
            </w14:solidFill>
          </w14:textFill>
        </w:rPr>
        <w:t>有违法违纪、纹身、传染病等不适宜从事高校餐饮工作的，甲方有权要求乙方更换，否则按违约处理。</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2.甲方有权对承包该项目的</w:t>
      </w:r>
      <w:r>
        <w:rPr>
          <w:rFonts w:hint="eastAsia" w:ascii="宋体" w:hAnsi="宋体" w:cs="宋体"/>
          <w:snapToGrid w:val="0"/>
          <w:color w:val="000000" w:themeColor="text1"/>
          <w:kern w:val="0"/>
          <w:szCs w:val="21"/>
          <w:highlight w:val="none"/>
          <w14:textFill>
            <w14:solidFill>
              <w14:schemeClr w14:val="tx1"/>
            </w14:solidFill>
          </w14:textFill>
        </w:rPr>
        <w:t>管理人员、</w:t>
      </w:r>
      <w:r>
        <w:rPr>
          <w:rFonts w:hint="eastAsia" w:ascii="宋体" w:hAnsi="宋体" w:cs="宋体"/>
          <w:snapToGrid w:val="0"/>
          <w:color w:val="000000" w:themeColor="text1"/>
          <w:kern w:val="0"/>
          <w:szCs w:val="21"/>
          <w:highlight w:val="none"/>
          <w14:textFill>
            <w14:solidFill>
              <w14:schemeClr w14:val="tx1"/>
            </w14:solidFill>
          </w14:textFill>
        </w:rPr>
        <w:t>专业</w:t>
      </w:r>
      <w:r>
        <w:rPr>
          <w:rFonts w:hint="eastAsia" w:ascii="宋体" w:hAnsi="宋体" w:cs="宋体"/>
          <w:snapToGrid w:val="0"/>
          <w:color w:val="000000" w:themeColor="text1"/>
          <w:kern w:val="0"/>
          <w:szCs w:val="21"/>
          <w:highlight w:val="none"/>
          <w14:textFill>
            <w14:solidFill>
              <w14:schemeClr w14:val="tx1"/>
            </w14:solidFill>
          </w14:textFill>
        </w:rPr>
        <w:t>人员</w:t>
      </w:r>
      <w:r>
        <w:rPr>
          <w:rFonts w:hint="eastAsia" w:ascii="宋体" w:hAnsi="宋体" w:cs="宋体"/>
          <w:snapToGrid w:val="0"/>
          <w:color w:val="000000" w:themeColor="text1"/>
          <w:kern w:val="0"/>
          <w:szCs w:val="21"/>
          <w:highlight w:val="none"/>
          <w14:textFill>
            <w14:solidFill>
              <w14:schemeClr w14:val="tx1"/>
            </w14:solidFill>
          </w14:textFill>
        </w:rPr>
        <w:t>、服务人员进行上岗前的验证工作</w:t>
      </w:r>
      <w:r>
        <w:rPr>
          <w:rFonts w:hint="eastAsia" w:ascii="宋体" w:hAnsi="宋体" w:cs="宋体"/>
          <w:snapToGrid w:val="0"/>
          <w:color w:val="000000" w:themeColor="text1"/>
          <w:kern w:val="0"/>
          <w:szCs w:val="21"/>
          <w:highlight w:val="none"/>
          <w14:textFill>
            <w14:solidFill>
              <w14:schemeClr w14:val="tx1"/>
            </w14:solidFill>
          </w14:textFill>
        </w:rPr>
        <w:t>和日常监督管理工作；乙方</w:t>
      </w:r>
      <w:r>
        <w:rPr>
          <w:rFonts w:hint="eastAsia" w:ascii="宋体" w:hAnsi="宋体" w:cs="宋体"/>
          <w:snapToGrid w:val="0"/>
          <w:color w:val="000000" w:themeColor="text1"/>
          <w:kern w:val="0"/>
          <w:szCs w:val="21"/>
          <w:highlight w:val="none"/>
          <w14:textFill>
            <w14:solidFill>
              <w14:schemeClr w14:val="tx1"/>
            </w14:solidFill>
          </w14:textFill>
        </w:rPr>
        <w:t>所有上岗人员必须持有市卫生防疫部门颁发的有效健康证，并报甲方备案，</w:t>
      </w:r>
      <w:r>
        <w:rPr>
          <w:rFonts w:hint="eastAsia" w:ascii="宋体" w:hAnsi="宋体" w:cs="宋体"/>
          <w:snapToGrid w:val="0"/>
          <w:color w:val="000000" w:themeColor="text1"/>
          <w:kern w:val="0"/>
          <w:szCs w:val="21"/>
          <w:highlight w:val="none"/>
          <w14:textFill>
            <w14:solidFill>
              <w14:schemeClr w14:val="tx1"/>
            </w14:solidFill>
          </w14:textFill>
        </w:rPr>
        <w:t>服从甲方管理。</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 甲方有权对乙方进行各种行政监督，如：卫生、安全、消防、综合治理等，</w:t>
      </w:r>
      <w:r>
        <w:rPr>
          <w:rFonts w:hint="eastAsia" w:ascii="宋体" w:hAnsi="宋体" w:cs="宋体"/>
          <w:snapToGrid w:val="0"/>
          <w:color w:val="000000" w:themeColor="text1"/>
          <w:kern w:val="0"/>
          <w:szCs w:val="21"/>
          <w:highlight w:val="none"/>
          <w14:textFill>
            <w14:solidFill>
              <w14:schemeClr w14:val="tx1"/>
            </w14:solidFill>
          </w14:textFill>
        </w:rPr>
        <w:t>以严防</w:t>
      </w:r>
      <w:r>
        <w:rPr>
          <w:rFonts w:hint="eastAsia" w:ascii="宋体" w:hAnsi="宋体" w:cs="宋体"/>
          <w:snapToGrid w:val="0"/>
          <w:color w:val="000000" w:themeColor="text1"/>
          <w:kern w:val="0"/>
          <w:szCs w:val="21"/>
          <w:highlight w:val="none"/>
          <w14:textFill>
            <w14:solidFill>
              <w14:schemeClr w14:val="tx1"/>
            </w14:solidFill>
          </w14:textFill>
        </w:rPr>
        <w:t>食物中毒事故发生，万一发生类似事故，甲方有权追究</w:t>
      </w:r>
      <w:r>
        <w:rPr>
          <w:rFonts w:hint="eastAsia" w:ascii="宋体" w:hAnsi="宋体" w:cs="宋体"/>
          <w:snapToGrid w:val="0"/>
          <w:color w:val="000000" w:themeColor="text1"/>
          <w:kern w:val="0"/>
          <w:szCs w:val="21"/>
          <w:highlight w:val="none"/>
          <w14:textFill>
            <w14:solidFill>
              <w14:schemeClr w14:val="tx1"/>
            </w14:solidFill>
          </w14:textFill>
        </w:rPr>
        <w:t>乙方</w:t>
      </w:r>
      <w:r>
        <w:rPr>
          <w:rFonts w:hint="eastAsia" w:ascii="宋体" w:hAnsi="宋体" w:cs="宋体"/>
          <w:snapToGrid w:val="0"/>
          <w:color w:val="000000" w:themeColor="text1"/>
          <w:kern w:val="0"/>
          <w:szCs w:val="21"/>
          <w:highlight w:val="none"/>
          <w14:textFill>
            <w14:solidFill>
              <w14:schemeClr w14:val="tx1"/>
            </w14:solidFill>
          </w14:textFill>
        </w:rPr>
        <w:t>的责任或终止本合同。</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4.甲方有权对饭菜质量、价格</w:t>
      </w:r>
      <w:r>
        <w:rPr>
          <w:rFonts w:hint="eastAsia" w:ascii="宋体" w:hAnsi="宋体" w:cs="宋体"/>
          <w:snapToGrid w:val="0"/>
          <w:color w:val="000000" w:themeColor="text1"/>
          <w:kern w:val="0"/>
          <w:szCs w:val="21"/>
          <w:highlight w:val="none"/>
          <w14:textFill>
            <w14:solidFill>
              <w14:schemeClr w14:val="tx1"/>
            </w14:solidFill>
          </w14:textFill>
        </w:rPr>
        <w:t>、卫生、服务态度、一卡通使用、经营服务范围</w:t>
      </w:r>
      <w:r>
        <w:rPr>
          <w:rFonts w:hint="eastAsia" w:ascii="宋体" w:hAnsi="宋体" w:cs="宋体"/>
          <w:snapToGrid w:val="0"/>
          <w:color w:val="000000" w:themeColor="text1"/>
          <w:kern w:val="0"/>
          <w:szCs w:val="21"/>
          <w:highlight w:val="none"/>
          <w14:textFill>
            <w14:solidFill>
              <w14:schemeClr w14:val="tx1"/>
            </w14:solidFill>
          </w14:textFill>
        </w:rPr>
        <w:t>等情况</w:t>
      </w:r>
      <w:r>
        <w:rPr>
          <w:rFonts w:hint="eastAsia" w:ascii="宋体" w:hAnsi="宋体" w:cs="宋体"/>
          <w:snapToGrid w:val="0"/>
          <w:color w:val="000000" w:themeColor="text1"/>
          <w:kern w:val="0"/>
          <w:szCs w:val="21"/>
          <w:highlight w:val="none"/>
          <w14:textFill>
            <w14:solidFill>
              <w14:schemeClr w14:val="tx1"/>
            </w14:solidFill>
          </w14:textFill>
        </w:rPr>
        <w:t>随时</w:t>
      </w:r>
      <w:r>
        <w:rPr>
          <w:rFonts w:hint="eastAsia" w:ascii="宋体" w:hAnsi="宋体" w:cs="宋体"/>
          <w:snapToGrid w:val="0"/>
          <w:color w:val="000000" w:themeColor="text1"/>
          <w:kern w:val="0"/>
          <w:szCs w:val="21"/>
          <w:highlight w:val="none"/>
          <w14:textFill>
            <w14:solidFill>
              <w14:schemeClr w14:val="tx1"/>
            </w14:solidFill>
          </w14:textFill>
        </w:rPr>
        <w:t>进行监督检查，如乙方未达到饭菜质量</w:t>
      </w:r>
      <w:r>
        <w:rPr>
          <w:rFonts w:hint="eastAsia" w:ascii="宋体" w:hAnsi="宋体" w:cs="宋体"/>
          <w:snapToGrid w:val="0"/>
          <w:color w:val="000000" w:themeColor="text1"/>
          <w:kern w:val="0"/>
          <w:szCs w:val="21"/>
          <w:highlight w:val="none"/>
          <w14:textFill>
            <w14:solidFill>
              <w14:schemeClr w14:val="tx1"/>
            </w14:solidFill>
          </w14:textFill>
        </w:rPr>
        <w:t>、价格等招标文件和合同约定的管理要求</w:t>
      </w:r>
      <w:r>
        <w:rPr>
          <w:rFonts w:hint="eastAsia" w:ascii="宋体" w:hAnsi="宋体" w:cs="宋体"/>
          <w:snapToGrid w:val="0"/>
          <w:color w:val="000000" w:themeColor="text1"/>
          <w:kern w:val="0"/>
          <w:szCs w:val="21"/>
          <w:highlight w:val="none"/>
          <w14:textFill>
            <w14:solidFill>
              <w14:schemeClr w14:val="tx1"/>
            </w14:solidFill>
          </w14:textFill>
        </w:rPr>
        <w:t>，甲方有权要求进行适量赔偿或终止本协议。</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5.甲方有权在乙方人员违反甲方管理规定或造成甲方损失时予以制止、劝阻，并视情节轻重要求乙方就造成的损失给予赔偿。</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w:t>
      </w:r>
      <w:r>
        <w:rPr>
          <w:rFonts w:hint="eastAsia" w:ascii="宋体" w:hAnsi="宋体" w:cs="宋体"/>
          <w:snapToGrid w:val="0"/>
          <w:color w:val="000000" w:themeColor="text1"/>
          <w:kern w:val="0"/>
          <w:szCs w:val="21"/>
          <w:highlight w:val="none"/>
          <w14:textFill>
            <w14:solidFill>
              <w14:schemeClr w14:val="tx1"/>
            </w14:solidFill>
          </w14:textFill>
        </w:rPr>
        <w:t>甲方为乙方提供工作</w:t>
      </w:r>
      <w:r>
        <w:rPr>
          <w:rFonts w:hint="eastAsia" w:ascii="宋体" w:hAnsi="宋体" w:cs="宋体"/>
          <w:snapToGrid w:val="0"/>
          <w:color w:val="000000" w:themeColor="text1"/>
          <w:kern w:val="0"/>
          <w:szCs w:val="21"/>
          <w:highlight w:val="none"/>
          <w14:textFill>
            <w14:solidFill>
              <w14:schemeClr w14:val="tx1"/>
            </w14:solidFill>
          </w14:textFill>
        </w:rPr>
        <w:t>必须的</w:t>
      </w:r>
      <w:r>
        <w:rPr>
          <w:rFonts w:hint="eastAsia" w:ascii="宋体" w:hAnsi="宋体" w:cs="宋体"/>
          <w:snapToGrid w:val="0"/>
          <w:color w:val="000000" w:themeColor="text1"/>
          <w:kern w:val="0"/>
          <w:szCs w:val="21"/>
          <w:highlight w:val="none"/>
          <w14:textFill>
            <w14:solidFill>
              <w14:schemeClr w14:val="tx1"/>
            </w14:solidFill>
          </w14:textFill>
        </w:rPr>
        <w:t>场所，提供水电气接入条件，配备一定的明厨亮灶设备，安装中央空调，以满足乙方安装配备</w:t>
      </w:r>
      <w:r>
        <w:rPr>
          <w:rFonts w:hint="eastAsia" w:ascii="宋体" w:hAnsi="宋体" w:cs="宋体"/>
          <w:snapToGrid w:val="0"/>
          <w:color w:val="000000" w:themeColor="text1"/>
          <w:kern w:val="0"/>
          <w:szCs w:val="21"/>
          <w:highlight w:val="none"/>
          <w14:textFill>
            <w14:solidFill>
              <w14:schemeClr w14:val="tx1"/>
            </w14:solidFill>
          </w14:textFill>
        </w:rPr>
        <w:t>灶具、消毒柜、洗碗机、冰箱、冰柜、餐桌椅等固定设施设备。</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7.甲方不得</w:t>
      </w:r>
      <w:r>
        <w:rPr>
          <w:rFonts w:hint="eastAsia" w:ascii="宋体" w:hAnsi="宋体" w:cs="宋体"/>
          <w:snapToGrid w:val="0"/>
          <w:color w:val="000000" w:themeColor="text1"/>
          <w:kern w:val="0"/>
          <w:szCs w:val="21"/>
          <w:highlight w:val="none"/>
          <w14:textFill>
            <w14:solidFill>
              <w14:schemeClr w14:val="tx1"/>
            </w14:solidFill>
          </w14:textFill>
        </w:rPr>
        <w:t>无故</w:t>
      </w:r>
      <w:r>
        <w:rPr>
          <w:rFonts w:hint="eastAsia" w:ascii="宋体" w:hAnsi="宋体" w:cs="宋体"/>
          <w:snapToGrid w:val="0"/>
          <w:color w:val="000000" w:themeColor="text1"/>
          <w:kern w:val="0"/>
          <w:szCs w:val="21"/>
          <w:highlight w:val="none"/>
          <w14:textFill>
            <w14:solidFill>
              <w14:schemeClr w14:val="tx1"/>
            </w14:solidFill>
          </w14:textFill>
        </w:rPr>
        <w:t>干扰乙方的正常合法经营。</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8.甲方有权要求乙方按照省市区市场监管等部门食品安全、消防安全等检查整改要求，限期乙方完成整改，乙方拒不整改或逾期整改的，甲方可以先行代为采购设备、安排人员维修进行整改，以履行学校食堂监管主体责任，所支出费用从乙方履约保证金或经营款中扣除，同时给予乙方书面约谈一次。</w:t>
      </w:r>
    </w:p>
    <w:p>
      <w:pPr>
        <w:wordWrap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9.</w:t>
      </w:r>
      <w:r>
        <w:rPr>
          <w:rFonts w:hint="eastAsia" w:ascii="宋体" w:hAnsi="宋体" w:cs="宋体"/>
          <w:snapToGrid w:val="0"/>
          <w:color w:val="000000" w:themeColor="text1"/>
          <w:kern w:val="0"/>
          <w:szCs w:val="21"/>
          <w:highlight w:val="none"/>
          <w14:textFill>
            <w14:solidFill>
              <w14:schemeClr w14:val="tx1"/>
            </w14:solidFill>
          </w14:textFill>
        </w:rPr>
        <w:t>甲方无故单方面解除合同的，</w:t>
      </w:r>
      <w:r>
        <w:rPr>
          <w:rFonts w:hint="eastAsia" w:ascii="宋体" w:hAnsi="宋体" w:eastAsia="宋体" w:cs="宋体"/>
          <w:snapToGrid w:val="0"/>
          <w:color w:val="000000" w:themeColor="text1"/>
          <w:kern w:val="0"/>
          <w:szCs w:val="21"/>
          <w:highlight w:val="none"/>
          <w14:textFill>
            <w14:solidFill>
              <w14:schemeClr w14:val="tx1"/>
            </w14:solidFill>
          </w14:textFill>
        </w:rPr>
        <w:t>应向乙方支付违约金人民币拾万元整。</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（二）乙方的权利与义务</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乙方应对承包该项目的专业、服务人员进行上岗前的培训工作，进行系统的安全教育和食品加工安全卫生教育，职业道德教育；制定食品加工相关的工作程序、作业指导书、岗位职责、设备安全操作程序；在食品生产加工过程中，采取严格的安全卫生措施，安全用水、用电、用气，保证食品安全，保证不发生人身安全事故或工伤事故，否则责任全部由乙方承担。</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2.乙方承包该项目专业、服务人员必须持有由卫生防疫部门颁发的有效健康证，健康证必须年审，费用自理。</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3.乙方使用的工作人员必须仪容端正、品行良好，无违法犯罪纪录；身体健康、年龄符合国家法规要求。</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乙方应指派管理人员每日对食品加工、制作、服务等岗位的相关专业人员工作进行检查，督促工作人员应按《中华人民共和国食品安全法》和《餐饮业食品卫生管理办法》的相关规定进行操作，并定期征求甲方对保证供餐服务工作的意见和建议，对存在的问题及时处理。</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5.乙方应在甲方规定的时间内及时供餐。由于乙方工作失误造成不能及时供餐的，</w:t>
      </w:r>
      <w:r>
        <w:rPr>
          <w:rFonts w:hint="eastAsia" w:ascii="宋体" w:hAnsi="宋体" w:cs="宋体"/>
          <w:snapToGrid w:val="0"/>
          <w:color w:val="000000" w:themeColor="text1"/>
          <w:kern w:val="0"/>
          <w:szCs w:val="21"/>
          <w:highlight w:val="none"/>
          <w14:textFill>
            <w14:solidFill>
              <w14:schemeClr w14:val="tx1"/>
            </w14:solidFill>
          </w14:textFill>
        </w:rPr>
        <w:t>甲方</w:t>
      </w:r>
      <w:r>
        <w:rPr>
          <w:rFonts w:hint="eastAsia" w:ascii="宋体" w:hAnsi="宋体" w:cs="宋体"/>
          <w:snapToGrid w:val="0"/>
          <w:color w:val="000000" w:themeColor="text1"/>
          <w:kern w:val="0"/>
          <w:szCs w:val="21"/>
          <w:highlight w:val="none"/>
          <w14:textFill>
            <w14:solidFill>
              <w14:schemeClr w14:val="tx1"/>
            </w14:solidFill>
          </w14:textFill>
        </w:rPr>
        <w:t>视情节严重程度给予乙方一定的经济处罚。</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6.乙方应对工作人员</w:t>
      </w:r>
      <w:r>
        <w:rPr>
          <w:rFonts w:hint="eastAsia" w:ascii="宋体" w:hAnsi="宋体" w:cs="宋体"/>
          <w:snapToGrid w:val="0"/>
          <w:color w:val="000000" w:themeColor="text1"/>
          <w:kern w:val="0"/>
          <w:szCs w:val="21"/>
          <w:highlight w:val="none"/>
          <w14:textFill>
            <w14:solidFill>
              <w14:schemeClr w14:val="tx1"/>
            </w14:solidFill>
          </w14:textFill>
        </w:rPr>
        <w:t>按照公司规范化进行管理，配备统一公司服装，建立专业规范的储藏间、更衣室、留样间（柜）、洗消间、办公间、加工烹煮间和配备专业设备，规范食材采购渠道，索票索证，建立完善的档案制度</w:t>
      </w:r>
      <w:r>
        <w:rPr>
          <w:rFonts w:hint="eastAsia" w:ascii="宋体" w:hAnsi="宋体" w:cs="宋体"/>
          <w:snapToGrid w:val="0"/>
          <w:color w:val="000000" w:themeColor="text1"/>
          <w:kern w:val="0"/>
          <w:szCs w:val="21"/>
          <w:highlight w:val="none"/>
          <w14:textFill>
            <w14:solidFill>
              <w14:schemeClr w14:val="tx1"/>
            </w14:solidFill>
          </w14:textFill>
        </w:rPr>
        <w:t>和培训</w:t>
      </w:r>
      <w:r>
        <w:rPr>
          <w:rFonts w:hint="eastAsia" w:ascii="宋体" w:hAnsi="宋体" w:cs="宋体"/>
          <w:snapToGrid w:val="0"/>
          <w:color w:val="000000" w:themeColor="text1"/>
          <w:kern w:val="0"/>
          <w:szCs w:val="21"/>
          <w:highlight w:val="none"/>
          <w14:textFill>
            <w14:solidFill>
              <w14:schemeClr w14:val="tx1"/>
            </w14:solidFill>
          </w14:textFill>
        </w:rPr>
        <w:t>制度</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确保食堂后厨和售卖间、餐厅布设符合食品安全和消防安全等规范，</w:t>
      </w:r>
      <w:r>
        <w:rPr>
          <w:rFonts w:hint="eastAsia" w:ascii="宋体" w:hAnsi="宋体" w:cs="宋体"/>
          <w:snapToGrid w:val="0"/>
          <w:color w:val="000000" w:themeColor="text1"/>
          <w:kern w:val="0"/>
          <w:szCs w:val="21"/>
          <w:highlight w:val="none"/>
          <w14:textFill>
            <w14:solidFill>
              <w14:schemeClr w14:val="tx1"/>
            </w14:solidFill>
          </w14:textFill>
        </w:rPr>
        <w:t>不断提高员工</w:t>
      </w:r>
      <w:r>
        <w:rPr>
          <w:rFonts w:hint="eastAsia" w:ascii="宋体" w:hAnsi="宋体" w:cs="宋体"/>
          <w:snapToGrid w:val="0"/>
          <w:color w:val="000000" w:themeColor="text1"/>
          <w:kern w:val="0"/>
          <w:szCs w:val="21"/>
          <w:highlight w:val="none"/>
          <w14:textFill>
            <w14:solidFill>
              <w14:schemeClr w14:val="tx1"/>
            </w14:solidFill>
          </w14:textFill>
        </w:rPr>
        <w:t>餐饮制作</w:t>
      </w:r>
      <w:r>
        <w:rPr>
          <w:rFonts w:hint="eastAsia" w:ascii="宋体" w:hAnsi="宋体" w:cs="宋体"/>
          <w:snapToGrid w:val="0"/>
          <w:color w:val="000000" w:themeColor="text1"/>
          <w:kern w:val="0"/>
          <w:szCs w:val="21"/>
          <w:highlight w:val="none"/>
          <w14:textFill>
            <w14:solidFill>
              <w14:schemeClr w14:val="tx1"/>
            </w14:solidFill>
          </w14:textFill>
        </w:rPr>
        <w:t>技术水平，</w:t>
      </w:r>
      <w:r>
        <w:rPr>
          <w:rFonts w:hint="eastAsia" w:ascii="宋体" w:hAnsi="宋体" w:cs="宋体"/>
          <w:snapToGrid w:val="0"/>
          <w:color w:val="000000" w:themeColor="text1"/>
          <w:kern w:val="0"/>
          <w:szCs w:val="21"/>
          <w:highlight w:val="none"/>
          <w14:textFill>
            <w14:solidFill>
              <w14:schemeClr w14:val="tx1"/>
            </w14:solidFill>
          </w14:textFill>
        </w:rPr>
        <w:t>做到态度热情诚恳，</w:t>
      </w:r>
      <w:r>
        <w:rPr>
          <w:rFonts w:hint="eastAsia" w:ascii="宋体" w:hAnsi="宋体" w:cs="宋体"/>
          <w:snapToGrid w:val="0"/>
          <w:color w:val="000000" w:themeColor="text1"/>
          <w:kern w:val="0"/>
          <w:szCs w:val="21"/>
          <w:highlight w:val="none"/>
          <w14:textFill>
            <w14:solidFill>
              <w14:schemeClr w14:val="tx1"/>
            </w14:solidFill>
          </w14:textFill>
        </w:rPr>
        <w:t>提升服务质量。</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7.乙方应对从事</w:t>
      </w:r>
      <w:r>
        <w:rPr>
          <w:rFonts w:hint="eastAsia" w:ascii="宋体" w:hAnsi="宋体" w:cs="宋体"/>
          <w:snapToGrid w:val="0"/>
          <w:color w:val="000000" w:themeColor="text1"/>
          <w:kern w:val="0"/>
          <w:szCs w:val="21"/>
          <w:highlight w:val="none"/>
          <w14:textFill>
            <w14:solidFill>
              <w14:schemeClr w14:val="tx1"/>
            </w14:solidFill>
          </w14:textFill>
        </w:rPr>
        <w:t>本公司食堂</w:t>
      </w:r>
      <w:r>
        <w:rPr>
          <w:rFonts w:hint="eastAsia" w:ascii="宋体" w:hAnsi="宋体" w:cs="宋体"/>
          <w:snapToGrid w:val="0"/>
          <w:color w:val="000000" w:themeColor="text1"/>
          <w:kern w:val="0"/>
          <w:szCs w:val="21"/>
          <w:highlight w:val="none"/>
          <w14:textFill>
            <w14:solidFill>
              <w14:schemeClr w14:val="tx1"/>
            </w14:solidFill>
          </w14:textFill>
        </w:rPr>
        <w:t>工作的员工遵照《劳动法》和《劳动合同法》等国家法律法规，办理五项基本社会保险，保障劳动者合法利益。如因用工不当造成后果，由乙方承担全部责任。</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8.乙方根据工作需要，需更换人员应提前15天通知甲方，</w:t>
      </w:r>
      <w:r>
        <w:rPr>
          <w:rFonts w:hint="eastAsia" w:ascii="宋体" w:hAnsi="宋体" w:cs="宋体"/>
          <w:snapToGrid w:val="0"/>
          <w:color w:val="000000" w:themeColor="text1"/>
          <w:kern w:val="0"/>
          <w:szCs w:val="21"/>
          <w:highlight w:val="none"/>
          <w14:textFill>
            <w14:solidFill>
              <w14:schemeClr w14:val="tx1"/>
            </w14:solidFill>
          </w14:textFill>
        </w:rPr>
        <w:t>项目经理一年内不得更换；</w:t>
      </w:r>
      <w:r>
        <w:rPr>
          <w:rFonts w:hint="eastAsia" w:ascii="宋体" w:hAnsi="宋体" w:cs="宋体"/>
          <w:snapToGrid w:val="0"/>
          <w:color w:val="000000" w:themeColor="text1"/>
          <w:kern w:val="0"/>
          <w:szCs w:val="21"/>
          <w:highlight w:val="none"/>
          <w14:textFill>
            <w14:solidFill>
              <w14:schemeClr w14:val="tx1"/>
            </w14:solidFill>
          </w14:textFill>
        </w:rPr>
        <w:t>更换后的工作人员</w:t>
      </w:r>
      <w:r>
        <w:rPr>
          <w:rFonts w:hint="eastAsia" w:ascii="宋体" w:hAnsi="宋体" w:cs="宋体"/>
          <w:snapToGrid w:val="0"/>
          <w:color w:val="000000" w:themeColor="text1"/>
          <w:kern w:val="0"/>
          <w:szCs w:val="21"/>
          <w:highlight w:val="none"/>
          <w14:textFill>
            <w14:solidFill>
              <w14:schemeClr w14:val="tx1"/>
            </w14:solidFill>
          </w14:textFill>
        </w:rPr>
        <w:t>满足招标文件要求，且</w:t>
      </w:r>
      <w:r>
        <w:rPr>
          <w:rFonts w:hint="eastAsia" w:ascii="宋体" w:hAnsi="宋体" w:cs="宋体"/>
          <w:snapToGrid w:val="0"/>
          <w:color w:val="000000" w:themeColor="text1"/>
          <w:kern w:val="0"/>
          <w:szCs w:val="21"/>
          <w:highlight w:val="none"/>
          <w14:textFill>
            <w14:solidFill>
              <w14:schemeClr w14:val="tx1"/>
            </w14:solidFill>
          </w14:textFill>
        </w:rPr>
        <w:t>乙方须对其进行上岗前的培训。</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9.乙方工作人员应爱护甲方的一切设施、设备、用具，如有损坏，照价赔偿。</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10.乙方工作人员必须遵守甲方规章制度，不得随意出入甲方</w:t>
      </w:r>
      <w:r>
        <w:rPr>
          <w:rFonts w:hint="eastAsia" w:ascii="宋体" w:hAnsi="宋体" w:cs="宋体"/>
          <w:snapToGrid w:val="0"/>
          <w:color w:val="000000" w:themeColor="text1"/>
          <w:kern w:val="0"/>
          <w:szCs w:val="21"/>
          <w:highlight w:val="none"/>
          <w14:textFill>
            <w14:solidFill>
              <w14:schemeClr w14:val="tx1"/>
            </w14:solidFill>
          </w14:textFill>
        </w:rPr>
        <w:t>教学生活场所</w:t>
      </w:r>
      <w:r>
        <w:rPr>
          <w:rFonts w:hint="eastAsia" w:ascii="宋体" w:hAnsi="宋体" w:cs="宋体"/>
          <w:snapToGrid w:val="0"/>
          <w:color w:val="000000" w:themeColor="text1"/>
          <w:kern w:val="0"/>
          <w:szCs w:val="21"/>
          <w:highlight w:val="none"/>
          <w14:textFill>
            <w14:solidFill>
              <w14:schemeClr w14:val="tx1"/>
            </w14:solidFill>
          </w14:textFill>
        </w:rPr>
        <w:t>及其它</w:t>
      </w:r>
      <w:r>
        <w:rPr>
          <w:rFonts w:hint="eastAsia" w:ascii="宋体" w:hAnsi="宋体" w:cs="宋体"/>
          <w:snapToGrid w:val="0"/>
          <w:color w:val="000000" w:themeColor="text1"/>
          <w:kern w:val="0"/>
          <w:szCs w:val="21"/>
          <w:highlight w:val="none"/>
          <w14:textFill>
            <w14:solidFill>
              <w14:schemeClr w14:val="tx1"/>
            </w14:solidFill>
          </w14:textFill>
        </w:rPr>
        <w:t>限定</w:t>
      </w:r>
      <w:r>
        <w:rPr>
          <w:rFonts w:hint="eastAsia" w:ascii="宋体" w:hAnsi="宋体" w:cs="宋体"/>
          <w:snapToGrid w:val="0"/>
          <w:color w:val="000000" w:themeColor="text1"/>
          <w:kern w:val="0"/>
          <w:szCs w:val="21"/>
          <w:highlight w:val="none"/>
          <w14:textFill>
            <w14:solidFill>
              <w14:schemeClr w14:val="tx1"/>
            </w14:solidFill>
          </w14:textFill>
        </w:rPr>
        <w:t>区</w:t>
      </w:r>
      <w:r>
        <w:rPr>
          <w:rFonts w:hint="eastAsia" w:ascii="宋体" w:hAnsi="宋体" w:cs="宋体"/>
          <w:snapToGrid w:val="0"/>
          <w:color w:val="000000" w:themeColor="text1"/>
          <w:kern w:val="0"/>
          <w:szCs w:val="21"/>
          <w:highlight w:val="none"/>
          <w14:textFill>
            <w14:solidFill>
              <w14:schemeClr w14:val="tx1"/>
            </w14:solidFill>
          </w14:textFill>
        </w:rPr>
        <w:t>域</w:t>
      </w:r>
      <w:r>
        <w:rPr>
          <w:rFonts w:hint="eastAsia" w:ascii="宋体" w:hAnsi="宋体" w:cs="宋体"/>
          <w:snapToGrid w:val="0"/>
          <w:color w:val="000000" w:themeColor="text1"/>
          <w:kern w:val="0"/>
          <w:szCs w:val="21"/>
          <w:highlight w:val="none"/>
          <w14:textFill>
            <w14:solidFill>
              <w14:schemeClr w14:val="tx1"/>
            </w14:solidFill>
          </w14:textFill>
        </w:rPr>
        <w:t>，如违反者，甲方可将依考核标准对乙方进行处理。</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第七条 履约保证金</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合同签订前7日内以转账、电汇或银行保函形式</w:t>
      </w:r>
      <w:r>
        <w:rPr>
          <w:rFonts w:hint="eastAsia" w:ascii="宋体" w:hAnsi="宋体" w:cs="宋体"/>
          <w:b/>
          <w:bCs/>
          <w:snapToGrid w:val="0"/>
          <w:color w:val="000000" w:themeColor="text1"/>
          <w:kern w:val="0"/>
          <w:szCs w:val="21"/>
          <w:highlight w:val="none"/>
          <w14:textFill>
            <w14:solidFill>
              <w14:schemeClr w14:val="tx1"/>
            </w14:solidFill>
          </w14:textFill>
        </w:rPr>
        <w:t>一次性缴纳履约保证金</w:t>
      </w:r>
      <w:r>
        <w:rPr>
          <w:rFonts w:hint="eastAsia" w:ascii="宋体" w:hAnsi="宋体" w:cs="宋体"/>
          <w:b/>
          <w:bCs/>
          <w:snapToGrid w:val="0"/>
          <w:color w:val="000000" w:themeColor="text1"/>
          <w:kern w:val="0"/>
          <w:szCs w:val="21"/>
          <w:highlight w:val="none"/>
          <w:lang w:val="en-US" w:eastAsia="zh-CN"/>
          <w14:textFill>
            <w14:solidFill>
              <w14:schemeClr w14:val="tx1"/>
            </w14:solidFill>
          </w14:textFill>
        </w:rPr>
        <w:t>44</w:t>
      </w:r>
      <w:r>
        <w:rPr>
          <w:rFonts w:hint="eastAsia" w:ascii="宋体" w:hAnsi="宋体" w:cs="宋体"/>
          <w:b/>
          <w:bCs/>
          <w:snapToGrid w:val="0"/>
          <w:color w:val="000000" w:themeColor="text1"/>
          <w:kern w:val="0"/>
          <w:szCs w:val="21"/>
          <w:highlight w:val="none"/>
          <w14:textFill>
            <w14:solidFill>
              <w14:schemeClr w14:val="tx1"/>
            </w14:solidFill>
          </w14:textFill>
        </w:rPr>
        <w:t>万元，</w:t>
      </w:r>
      <w:r>
        <w:rPr>
          <w:rFonts w:hint="eastAsia" w:ascii="宋体" w:hAnsi="宋体" w:cs="宋体"/>
          <w:b/>
          <w:bCs/>
          <w:snapToGrid w:val="0"/>
          <w:color w:val="000000" w:themeColor="text1"/>
          <w:kern w:val="0"/>
          <w:szCs w:val="21"/>
          <w:highlight w:val="none"/>
          <w14:textFill>
            <w14:solidFill>
              <w14:schemeClr w14:val="tx1"/>
            </w14:solidFill>
          </w14:textFill>
        </w:rPr>
        <w:t>待合同期满扣除相关违约金（如有）后15日内无息返还。</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第八条 承包该项目的支付方式</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1、乙方自负盈亏，</w:t>
      </w:r>
      <w:r>
        <w:rPr>
          <w:rFonts w:hint="eastAsia" w:ascii="宋体" w:hAnsi="宋体" w:cs="宋体"/>
          <w:snapToGrid w:val="0"/>
          <w:color w:val="000000" w:themeColor="text1"/>
          <w:kern w:val="0"/>
          <w:szCs w:val="21"/>
          <w:highlight w:val="none"/>
          <w14:textFill>
            <w14:solidFill>
              <w14:schemeClr w14:val="tx1"/>
            </w14:solidFill>
          </w14:textFill>
        </w:rPr>
        <w:t>自主经营，</w:t>
      </w:r>
      <w:r>
        <w:rPr>
          <w:rFonts w:hint="eastAsia" w:ascii="宋体" w:hAnsi="宋体" w:cs="宋体"/>
          <w:snapToGrid w:val="0"/>
          <w:color w:val="000000" w:themeColor="text1"/>
          <w:kern w:val="0"/>
          <w:szCs w:val="21"/>
          <w:highlight w:val="none"/>
          <w14:textFill>
            <w14:solidFill>
              <w14:schemeClr w14:val="tx1"/>
            </w14:solidFill>
          </w14:textFill>
        </w:rPr>
        <w:t>菜品</w:t>
      </w:r>
      <w:r>
        <w:rPr>
          <w:rFonts w:hint="eastAsia" w:ascii="宋体" w:hAnsi="宋体" w:cs="宋体"/>
          <w:snapToGrid w:val="0"/>
          <w:color w:val="000000" w:themeColor="text1"/>
          <w:kern w:val="0"/>
          <w:szCs w:val="21"/>
          <w:highlight w:val="none"/>
          <w14:textFill>
            <w14:solidFill>
              <w14:schemeClr w14:val="tx1"/>
            </w14:solidFill>
          </w14:textFill>
        </w:rPr>
        <w:t>按照投标文件合理定价，执行明码标价，接受甲方审核。如在合同执行过程中因物价上涨原因，导致菜品价格上涨，可在甲方总务处审核同意后，最多上涨幅度</w:t>
      </w:r>
      <w:r>
        <w:rPr>
          <w:rFonts w:hint="eastAsia" w:ascii="宋体" w:hAnsi="宋体" w:cs="宋体"/>
          <w:snapToGrid w:val="0"/>
          <w:color w:val="000000" w:themeColor="text1"/>
          <w:kern w:val="0"/>
          <w:szCs w:val="21"/>
          <w:highlight w:val="none"/>
          <w:lang w:eastAsia="zh-CN"/>
          <w14:textFill>
            <w14:solidFill>
              <w14:schemeClr w14:val="tx1"/>
            </w14:solidFill>
          </w14:textFill>
        </w:rPr>
        <w:t>不多于</w:t>
      </w:r>
      <w:r>
        <w:rPr>
          <w:rFonts w:hint="eastAsia" w:ascii="宋体" w:hAnsi="宋体" w:cs="宋体"/>
          <w:snapToGrid w:val="0"/>
          <w:color w:val="000000" w:themeColor="text1"/>
          <w:kern w:val="0"/>
          <w:szCs w:val="21"/>
          <w:highlight w:val="none"/>
          <w14:textFill>
            <w14:solidFill>
              <w14:schemeClr w14:val="tx1"/>
            </w14:solidFill>
          </w14:textFill>
        </w:rPr>
        <w:t>投标报价表的30%。</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2、经营收入统一进入甲方指定账户，由甲方每月与乙方进行结算。甲方每月10日前</w:t>
      </w:r>
      <w:r>
        <w:rPr>
          <w:rFonts w:hint="eastAsia" w:ascii="宋体" w:hAnsi="宋体" w:cs="宋体"/>
          <w:snapToGrid w:val="0"/>
          <w:color w:val="000000" w:themeColor="text1"/>
          <w:kern w:val="0"/>
          <w:szCs w:val="21"/>
          <w:highlight w:val="none"/>
          <w14:textFill>
            <w14:solidFill>
              <w14:schemeClr w14:val="tx1"/>
            </w14:solidFill>
          </w14:textFill>
        </w:rPr>
        <w:t>后</w:t>
      </w:r>
      <w:r>
        <w:rPr>
          <w:rFonts w:hint="eastAsia" w:ascii="宋体" w:hAnsi="宋体" w:cs="宋体"/>
          <w:snapToGrid w:val="0"/>
          <w:color w:val="000000" w:themeColor="text1"/>
          <w:kern w:val="0"/>
          <w:szCs w:val="21"/>
          <w:highlight w:val="none"/>
          <w14:textFill>
            <w14:solidFill>
              <w14:schemeClr w14:val="tx1"/>
            </w14:solidFill>
          </w14:textFill>
        </w:rPr>
        <w:t>与乙方结算上月餐费。</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第九条 违约责任</w:t>
      </w:r>
    </w:p>
    <w:p>
      <w:pPr>
        <w:wordWrap w:val="0"/>
        <w:spacing w:line="360" w:lineRule="auto"/>
        <w:ind w:firstLine="420" w:firstLineChars="200"/>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1、甲乙双方约定食堂经营起始日期为</w:t>
      </w:r>
      <w:r>
        <w:rPr>
          <w:rFonts w:hint="eastAsia" w:ascii="宋体" w:hAnsi="宋体" w:cs="宋体"/>
          <w:snapToGrid w:val="0"/>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0"/>
          <w:sz w:val="21"/>
          <w:szCs w:val="21"/>
          <w:highlight w:val="none"/>
          <w:u w:val="single"/>
          <w14:textFill>
            <w14:solidFill>
              <w14:schemeClr w14:val="tx1"/>
            </w14:solidFill>
          </w14:textFill>
        </w:rPr>
        <w:t xml:space="preserve">年 </w:t>
      </w:r>
      <w:r>
        <w:rPr>
          <w:rFonts w:hint="eastAsia" w:ascii="宋体" w:hAnsi="宋体" w:cs="宋体"/>
          <w:snapToGrid w:val="0"/>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cs="宋体"/>
          <w:snapToGrid w:val="0"/>
          <w:color w:val="000000" w:themeColor="text1"/>
          <w:kern w:val="0"/>
          <w:sz w:val="21"/>
          <w:szCs w:val="21"/>
          <w:highlight w:val="none"/>
          <w:u w:val="single"/>
          <w14:textFill>
            <w14:solidFill>
              <w14:schemeClr w14:val="tx1"/>
            </w14:solidFill>
          </w14:textFill>
        </w:rPr>
        <w:t xml:space="preserve">月 </w:t>
      </w:r>
      <w:r>
        <w:rPr>
          <w:rFonts w:hint="eastAsia" w:ascii="宋体" w:hAnsi="宋体" w:cs="宋体"/>
          <w:snapToGrid w:val="0"/>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cs="宋体"/>
          <w:snapToGrid w:val="0"/>
          <w:color w:val="000000" w:themeColor="text1"/>
          <w:kern w:val="0"/>
          <w:sz w:val="21"/>
          <w:szCs w:val="21"/>
          <w:highlight w:val="none"/>
          <w:u w:val="single"/>
          <w14:textFill>
            <w14:solidFill>
              <w14:schemeClr w14:val="tx1"/>
            </w14:solidFill>
          </w14:textFill>
        </w:rPr>
        <w:t>日</w:t>
      </w:r>
      <w:r>
        <w:rPr>
          <w:rFonts w:hint="eastAsia" w:ascii="宋体" w:hAnsi="宋体" w:cs="宋体"/>
          <w:snapToGrid w:val="0"/>
          <w:color w:val="000000" w:themeColor="text1"/>
          <w:kern w:val="0"/>
          <w:sz w:val="21"/>
          <w:szCs w:val="21"/>
          <w:highlight w:val="none"/>
          <w14:textFill>
            <w14:solidFill>
              <w14:schemeClr w14:val="tx1"/>
            </w14:solidFill>
          </w14:textFill>
        </w:rPr>
        <w:t>，自甲乙双方约定的经营开始之日起，乙方逾期履行的，每推迟一天应支付违约金</w:t>
      </w:r>
      <w:r>
        <w:rPr>
          <w:rFonts w:hint="eastAsia" w:ascii="宋体" w:hAnsi="宋体" w:cs="宋体"/>
          <w:snapToGrid w:val="0"/>
          <w:color w:val="000000" w:themeColor="text1"/>
          <w:kern w:val="0"/>
          <w:sz w:val="21"/>
          <w:szCs w:val="21"/>
          <w:highlight w:val="none"/>
          <w14:textFill>
            <w14:solidFill>
              <w14:schemeClr w14:val="tx1"/>
            </w14:solidFill>
          </w14:textFill>
        </w:rPr>
        <w:t>5000</w:t>
      </w:r>
      <w:r>
        <w:rPr>
          <w:rFonts w:hint="eastAsia" w:ascii="宋体" w:hAnsi="宋体" w:cs="宋体"/>
          <w:snapToGrid w:val="0"/>
          <w:color w:val="000000" w:themeColor="text1"/>
          <w:kern w:val="0"/>
          <w:sz w:val="21"/>
          <w:szCs w:val="21"/>
          <w:highlight w:val="none"/>
          <w14:textFill>
            <w14:solidFill>
              <w14:schemeClr w14:val="tx1"/>
            </w14:solidFill>
          </w14:textFill>
        </w:rPr>
        <w:t>元，逾期</w:t>
      </w:r>
      <w:r>
        <w:rPr>
          <w:rFonts w:hint="eastAsia" w:ascii="宋体" w:hAnsi="宋体" w:cs="宋体"/>
          <w:snapToGrid w:val="0"/>
          <w:color w:val="000000" w:themeColor="text1"/>
          <w:kern w:val="0"/>
          <w:sz w:val="21"/>
          <w:szCs w:val="21"/>
          <w:highlight w:val="none"/>
          <w14:textFill>
            <w14:solidFill>
              <w14:schemeClr w14:val="tx1"/>
            </w14:solidFill>
          </w14:textFill>
        </w:rPr>
        <w:t>7</w:t>
      </w:r>
      <w:r>
        <w:rPr>
          <w:rFonts w:hint="eastAsia" w:ascii="宋体" w:hAnsi="宋体" w:cs="宋体"/>
          <w:snapToGrid w:val="0"/>
          <w:color w:val="000000" w:themeColor="text1"/>
          <w:kern w:val="0"/>
          <w:sz w:val="21"/>
          <w:szCs w:val="21"/>
          <w:highlight w:val="none"/>
          <w14:textFill>
            <w14:solidFill>
              <w14:schemeClr w14:val="tx1"/>
            </w14:solidFill>
          </w14:textFill>
        </w:rPr>
        <w:t>天不履行，甲方有权解除合同，由此给甲方造成的实际损失超过</w:t>
      </w:r>
      <w:r>
        <w:rPr>
          <w:rFonts w:hint="eastAsia" w:ascii="宋体" w:hAnsi="宋体" w:cs="宋体"/>
          <w:snapToGrid w:val="0"/>
          <w:color w:val="000000" w:themeColor="text1"/>
          <w:kern w:val="0"/>
          <w:sz w:val="21"/>
          <w:szCs w:val="21"/>
          <w:highlight w:val="none"/>
          <w14:textFill>
            <w14:solidFill>
              <w14:schemeClr w14:val="tx1"/>
            </w14:solidFill>
          </w14:textFill>
        </w:rPr>
        <w:t>履约金</w:t>
      </w:r>
      <w:r>
        <w:rPr>
          <w:rFonts w:hint="eastAsia" w:ascii="宋体" w:hAnsi="宋体" w:cs="宋体"/>
          <w:snapToGrid w:val="0"/>
          <w:color w:val="000000" w:themeColor="text1"/>
          <w:kern w:val="0"/>
          <w:sz w:val="21"/>
          <w:szCs w:val="21"/>
          <w:highlight w:val="none"/>
          <w14:textFill>
            <w14:solidFill>
              <w14:schemeClr w14:val="tx1"/>
            </w14:solidFill>
          </w14:textFill>
        </w:rPr>
        <w:t>的，包括合同履行后可以获得的利益，乙方均应予以赔偿。</w:t>
      </w:r>
    </w:p>
    <w:p>
      <w:pPr>
        <w:wordWrap w:val="0"/>
        <w:spacing w:line="360" w:lineRule="auto"/>
        <w:ind w:firstLine="420" w:firstLineChars="200"/>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乙方因不可抗力不能履行合同的，应当及时通知甲方，以减轻可能给对方造成的损失，并应当在不可抗力发生后的10天内提供证明。</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2、乙方应实际、全面履行本合同约定的义务，否则，</w:t>
      </w:r>
      <w:r>
        <w:rPr>
          <w:rFonts w:hint="eastAsia" w:ascii="宋体" w:hAnsi="宋体" w:cs="宋体"/>
          <w:snapToGrid w:val="0"/>
          <w:color w:val="000000" w:themeColor="text1"/>
          <w:kern w:val="0"/>
          <w:szCs w:val="21"/>
          <w:highlight w:val="none"/>
          <w14:textFill>
            <w14:solidFill>
              <w14:schemeClr w14:val="tx1"/>
            </w14:solidFill>
          </w14:textFill>
        </w:rPr>
        <w:t>甲方有权不予退还乙方履约保证金；</w:t>
      </w:r>
      <w:r>
        <w:rPr>
          <w:rFonts w:hint="eastAsia" w:ascii="宋体" w:hAnsi="宋体" w:cs="宋体"/>
          <w:snapToGrid w:val="0"/>
          <w:color w:val="000000" w:themeColor="text1"/>
          <w:kern w:val="0"/>
          <w:szCs w:val="21"/>
          <w:highlight w:val="none"/>
          <w14:textFill>
            <w14:solidFill>
              <w14:schemeClr w14:val="tx1"/>
            </w14:solidFill>
          </w14:textFill>
        </w:rPr>
        <w:t>乙方除承担赔偿损失责任外，甲方有权要求乙方承担（但不限于）修理、更换、重做、减少价款或者报酬或承担继续履行、采取补救措施等违约责任。</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3、乙方在经营过程中发生食品卫生安全事故、工伤事故、火灾事故等事故的，所产生的医疗费用、赔偿费用由乙方承担。给甲方财产造成损失的，按原价予以赔偿。</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第十条 合同终止及解除</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合同期内发生严重的群体性食品卫生安全事故、工伤事故、火灾事故、重大不良影响事件或年度考核得分在80分以下的或连续两个月度考核得分在70分以下的，甲方可终止或解除与乙方的合作关系。合同期满或合同终止或解除，双方权利和义务终止，甲乙双方应在</w:t>
      </w:r>
      <w:r>
        <w:rPr>
          <w:rFonts w:hint="eastAsia" w:ascii="宋体" w:hAnsi="宋体" w:cs="宋体"/>
          <w:snapToGrid w:val="0"/>
          <w:color w:val="000000" w:themeColor="text1"/>
          <w:kern w:val="0"/>
          <w:szCs w:val="21"/>
          <w:highlight w:val="none"/>
          <w14:textFill>
            <w14:solidFill>
              <w14:schemeClr w14:val="tx1"/>
            </w14:solidFill>
          </w14:textFill>
        </w:rPr>
        <w:t>7</w:t>
      </w:r>
      <w:r>
        <w:rPr>
          <w:rFonts w:hint="eastAsia" w:ascii="宋体" w:hAnsi="宋体" w:cs="宋体"/>
          <w:snapToGrid w:val="0"/>
          <w:color w:val="000000" w:themeColor="text1"/>
          <w:kern w:val="0"/>
          <w:szCs w:val="21"/>
          <w:highlight w:val="none"/>
          <w14:textFill>
            <w14:solidFill>
              <w14:schemeClr w14:val="tx1"/>
            </w14:solidFill>
          </w14:textFill>
        </w:rPr>
        <w:t>日内办理资产等所有的交接手续。乙方出资添置的设备由乙方及时带走，逾期由甲方处置。甲方的资产保持交接时的使用情况完全交还甲方（自然损耗折旧的除外）。</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第十一条 甲乙双方未尽事宜，另行协商，补充协议</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第十二条 争议解决</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甲乙双方在执行本合同中发生争议时，应友好协商解决；协商未果，向项目所在地仲裁委员会申请仲裁或向项目所在地人民法院提起诉讼。</w:t>
      </w:r>
    </w:p>
    <w:p>
      <w:pPr>
        <w:wordWrap w:val="0"/>
        <w:spacing w:line="360" w:lineRule="auto"/>
        <w:ind w:firstLine="422" w:firstLineChars="200"/>
        <w:rPr>
          <w:rFonts w:ascii="宋体" w:hAnsi="宋体" w:cs="宋体"/>
          <w:b/>
          <w:bCs/>
          <w:snapToGrid w:val="0"/>
          <w:color w:val="000000" w:themeColor="text1"/>
          <w:kern w:val="0"/>
          <w:szCs w:val="21"/>
          <w:highlight w:val="none"/>
          <w14:textFill>
            <w14:solidFill>
              <w14:schemeClr w14:val="tx1"/>
            </w14:solidFill>
          </w14:textFill>
        </w:rPr>
      </w:pPr>
      <w:r>
        <w:rPr>
          <w:rFonts w:hint="eastAsia" w:ascii="宋体" w:hAnsi="宋体" w:cs="宋体"/>
          <w:b/>
          <w:bCs/>
          <w:snapToGrid w:val="0"/>
          <w:color w:val="000000" w:themeColor="text1"/>
          <w:kern w:val="0"/>
          <w:szCs w:val="21"/>
          <w:highlight w:val="none"/>
          <w14:textFill>
            <w14:solidFill>
              <w14:schemeClr w14:val="tx1"/>
            </w14:solidFill>
          </w14:textFill>
        </w:rPr>
        <w:t>第十三条 其它</w:t>
      </w:r>
    </w:p>
    <w:p>
      <w:pPr>
        <w:wordWrap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本合同一式陆份，双方各执叁份，双方签字盖章后生效。</w:t>
      </w:r>
    </w:p>
    <w:p>
      <w:pPr>
        <w:wordWrap w:val="0"/>
        <w:spacing w:line="360" w:lineRule="auto"/>
        <w:rPr>
          <w:rFonts w:ascii="宋体" w:hAnsi="宋体" w:cs="宋体"/>
          <w:snapToGrid w:val="0"/>
          <w:color w:val="000000" w:themeColor="text1"/>
          <w:kern w:val="0"/>
          <w:szCs w:val="21"/>
          <w:highlight w:val="none"/>
          <w14:textFill>
            <w14:solidFill>
              <w14:schemeClr w14:val="tx1"/>
            </w14:solidFill>
          </w14:textFill>
        </w:rPr>
      </w:pPr>
    </w:p>
    <w:tbl>
      <w:tblPr>
        <w:tblStyle w:val="19"/>
        <w:tblW w:w="102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27"/>
        <w:gridCol w:w="5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27" w:type="dxa"/>
          </w:tcPr>
          <w:p>
            <w:pPr>
              <w:wordWrap w:val="0"/>
              <w:spacing w:line="60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采购人（甲方）：</w:t>
            </w:r>
          </w:p>
          <w:p>
            <w:pPr>
              <w:wordWrap w:val="0"/>
              <w:spacing w:line="60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单位盖章：</w:t>
            </w:r>
          </w:p>
          <w:p>
            <w:pPr>
              <w:wordWrap w:val="0"/>
              <w:spacing w:line="48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法定代表人或授权人（签字）：</w:t>
            </w:r>
          </w:p>
          <w:p>
            <w:pPr>
              <w:wordWrap w:val="0"/>
              <w:spacing w:line="48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联系电话：</w:t>
            </w:r>
          </w:p>
          <w:p>
            <w:pPr>
              <w:wordWrap w:val="0"/>
              <w:spacing w:line="48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开户银行：</w:t>
            </w:r>
          </w:p>
          <w:p>
            <w:pPr>
              <w:wordWrap w:val="0"/>
              <w:spacing w:line="48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帐号：</w:t>
            </w:r>
          </w:p>
          <w:p>
            <w:pPr>
              <w:wordWrap w:val="0"/>
              <w:spacing w:line="48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日期：年月日</w:t>
            </w:r>
          </w:p>
          <w:p>
            <w:pPr>
              <w:wordWrap w:val="0"/>
              <w:spacing w:line="480" w:lineRule="auto"/>
              <w:rPr>
                <w:rFonts w:ascii="宋体" w:hAnsi="宋体" w:cs="宋体"/>
                <w:snapToGrid w:val="0"/>
                <w:color w:val="000000" w:themeColor="text1"/>
                <w:kern w:val="0"/>
                <w:szCs w:val="21"/>
                <w:highlight w:val="none"/>
                <w14:textFill>
                  <w14:solidFill>
                    <w14:schemeClr w14:val="tx1"/>
                  </w14:solidFill>
                </w14:textFill>
              </w:rPr>
            </w:pPr>
          </w:p>
        </w:tc>
        <w:tc>
          <w:tcPr>
            <w:tcW w:w="5128" w:type="dxa"/>
          </w:tcPr>
          <w:p>
            <w:pPr>
              <w:wordWrap w:val="0"/>
              <w:spacing w:line="60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中标供应商（乙方）：</w:t>
            </w:r>
          </w:p>
          <w:p>
            <w:pPr>
              <w:wordWrap w:val="0"/>
              <w:spacing w:line="60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单位盖章：</w:t>
            </w:r>
          </w:p>
          <w:p>
            <w:pPr>
              <w:wordWrap w:val="0"/>
              <w:spacing w:line="48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法定代表人或授权人（签字）：</w:t>
            </w:r>
          </w:p>
          <w:p>
            <w:pPr>
              <w:wordWrap w:val="0"/>
              <w:spacing w:line="48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联系电话：</w:t>
            </w:r>
          </w:p>
          <w:p>
            <w:pPr>
              <w:wordWrap w:val="0"/>
              <w:spacing w:line="48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开户银行：</w:t>
            </w:r>
          </w:p>
          <w:p>
            <w:pPr>
              <w:wordWrap w:val="0"/>
              <w:spacing w:line="48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帐号：</w:t>
            </w:r>
          </w:p>
          <w:p>
            <w:pPr>
              <w:wordWrap w:val="0"/>
              <w:spacing w:line="48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日期：年月日</w:t>
            </w:r>
          </w:p>
        </w:tc>
      </w:tr>
    </w:tbl>
    <w:p>
      <w:pPr>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br w:type="page"/>
      </w:r>
    </w:p>
    <w:p>
      <w:pPr>
        <w:pStyle w:val="22"/>
        <w:widowControl w:val="0"/>
        <w:ind w:firstLine="0" w:firstLineChars="0"/>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附件：1、食堂管理服务监管工作月度考评细则</w:t>
      </w:r>
    </w:p>
    <w:p>
      <w:pPr>
        <w:pStyle w:val="22"/>
        <w:widowControl w:val="0"/>
        <w:ind w:firstLine="840" w:firstLineChars="300"/>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2、师生餐饮满意度调查表</w:t>
      </w:r>
    </w:p>
    <w:p>
      <w:pPr>
        <w:pStyle w:val="22"/>
        <w:widowControl w:val="0"/>
        <w:ind w:firstLine="0" w:firstLineChars="0"/>
        <w:jc w:val="center"/>
        <w:rPr>
          <w:b/>
          <w:bCs/>
          <w:color w:val="000000" w:themeColor="text1"/>
          <w:kern w:val="0"/>
          <w:highlight w:val="none"/>
          <w14:textFill>
            <w14:solidFill>
              <w14:schemeClr w14:val="tx1"/>
            </w14:solidFill>
          </w14:textFill>
        </w:rPr>
      </w:pPr>
      <w:r>
        <w:rPr>
          <w:rFonts w:hint="eastAsia"/>
          <w:b/>
          <w:bCs/>
          <w:color w:val="000000" w:themeColor="text1"/>
          <w:kern w:val="0"/>
          <w:highlight w:val="none"/>
          <w14:textFill>
            <w14:solidFill>
              <w14:schemeClr w14:val="tx1"/>
            </w14:solidFill>
          </w14:textFill>
        </w:rPr>
        <w:t>附件1：食堂管理服务监管工作月度考评细则</w:t>
      </w:r>
    </w:p>
    <w:p>
      <w:pPr>
        <w:wordWrap w:val="0"/>
        <w:spacing w:line="280" w:lineRule="exact"/>
        <w:jc w:val="right"/>
        <w:rPr>
          <w:rFonts w:ascii="宋体" w:hAnsi="宋体" w:cs="宋体"/>
          <w:snapToGrid w:val="0"/>
          <w:color w:val="000000" w:themeColor="text1"/>
          <w:kern w:val="0"/>
          <w:highlight w:val="none"/>
          <w14:textFill>
            <w14:solidFill>
              <w14:schemeClr w14:val="tx1"/>
            </w14:solidFill>
          </w14:textFill>
        </w:rPr>
      </w:pPr>
      <w:bookmarkStart w:id="184" w:name="_Toc12731"/>
      <w:bookmarkStart w:id="185" w:name="_Toc27308"/>
      <w:bookmarkStart w:id="186" w:name="_Toc20982"/>
      <w:r>
        <w:rPr>
          <w:rFonts w:hint="eastAsia" w:ascii="宋体" w:hAnsi="宋体" w:cs="宋体"/>
          <w:snapToGrid w:val="0"/>
          <w:color w:val="000000" w:themeColor="text1"/>
          <w:kern w:val="0"/>
          <w:highlight w:val="none"/>
          <w14:textFill>
            <w14:solidFill>
              <w14:schemeClr w14:val="tx1"/>
            </w14:solidFill>
          </w14:textFill>
        </w:rPr>
        <w:t>年   月   日</w:t>
      </w:r>
    </w:p>
    <w:tbl>
      <w:tblPr>
        <w:tblStyle w:val="18"/>
        <w:tblW w:w="5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3769"/>
        <w:gridCol w:w="2909"/>
        <w:gridCol w:w="961"/>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分类</w:t>
            </w:r>
          </w:p>
        </w:tc>
        <w:tc>
          <w:tcPr>
            <w:tcW w:w="1989"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基本内容和要求</w:t>
            </w:r>
          </w:p>
        </w:tc>
        <w:tc>
          <w:tcPr>
            <w:tcW w:w="1535"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评分标准</w:t>
            </w:r>
          </w:p>
        </w:tc>
        <w:tc>
          <w:tcPr>
            <w:tcW w:w="507"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检查方法</w:t>
            </w:r>
          </w:p>
        </w:tc>
        <w:tc>
          <w:tcPr>
            <w:tcW w:w="448"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得分</w:t>
            </w:r>
          </w:p>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restar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食堂管理</w:t>
            </w:r>
          </w:p>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（40分）</w:t>
            </w: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1、严格按照国家《食品卫生法》、《餐饮业和集体用餐配送单位规范》等相关法规经营、操作；3分</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未按照国家相关规定经营、操作，一次一项扣0.5分，扣完为止</w:t>
            </w:r>
          </w:p>
        </w:tc>
        <w:tc>
          <w:tcPr>
            <w:tcW w:w="507" w:type="pct"/>
            <w:vMerge w:val="restar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查对资料现场抽查相结合</w:t>
            </w:r>
          </w:p>
        </w:tc>
        <w:tc>
          <w:tcPr>
            <w:tcW w:w="448" w:type="pct"/>
            <w:vMerge w:val="restart"/>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2、食堂、餐厅等均必须符合卫生标准，禁用变质、腐烂食品；4分</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每发现有采购、食用变质、过期的食品1次扣1.5分，扣完为止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448" w:type="pct"/>
            <w:vMerge w:val="continue"/>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3、定期组织员工进行业务培训，培训有计划有记录，记录清晰完整，不断提高业务水平和服务意识；2分</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无培训扣2分，培训无记录、记录不完整一次一项扣0.5分，扣完为止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448" w:type="pct"/>
            <w:vMerge w:val="continue"/>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4、上岗员工保持良好的个人卫生，定期进行体格检验，并取得体检健康证（持证上岗率100%）；2分</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未定期检查、发现员工身体不健康，带有传染性疾病或其他病症上岗每人次，扣1～2分。扣完为止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448" w:type="pct"/>
            <w:vMerge w:val="continue"/>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5、提供优质、热情的服务，严禁与用餐人员发生争吵、打架等不良行为；4分</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因服务质量或态度不好被投诉，经查属实每人次扣0.5分，扣完为止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448" w:type="pct"/>
            <w:vMerge w:val="continue"/>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6、按基本膳食等合理配置管理；3分</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膳食配置不合理，一项一次扣0.5分，扣完为止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448" w:type="pct"/>
            <w:vMerge w:val="continue"/>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7、对各类食品要有留样，并对留样食品时间、品种、重量要有详细的记录；2分</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无留样一次扣0.2分；记录不全1次扣0.1分，扣完为止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448" w:type="pct"/>
            <w:vMerge w:val="continue"/>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8、必须配备不少于1名公共营养师；2分</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无，扣2分止。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448" w:type="pct"/>
            <w:vMerge w:val="continue"/>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9、设置每日经济公布栏，有价格评估员公布每日物资供应消耗情况；每月公布主要品种成本利润情况；2分</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漏缺1次扣0.1分，扣完为止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448" w:type="pct"/>
            <w:vMerge w:val="continue"/>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10、每月发放意见征询表，对存在的问题及时做出整改；每周公布前十名最受欢迎菜品；2分</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未征询扣1分，未及时做出公布及整改，每漏缺1次扣0.2分，扣完为止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448" w:type="pct"/>
            <w:vMerge w:val="continue"/>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11、保障解决学生中午误餐、晚上误餐；2分</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未保障1次扣0.2分，扣完为止。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448" w:type="pct"/>
            <w:vMerge w:val="continue"/>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12、保证学生饮食花样品种品种丰富，口味适合多种消费人群；2分</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未符合一次扣0.5分，扣完为止。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448" w:type="pct"/>
            <w:vMerge w:val="continue"/>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13、操作间、仓库必须干净卫生，各类食品按要求分开放置，严禁存放变质过期食物；2分</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有不符合项1次扣0.2分，扣完为止。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448" w:type="pct"/>
            <w:vMerge w:val="continue"/>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14、节约水电气并做好安全防范工作；3分</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无制度扣1分，未做到一次扣0.2分，扣完为止。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448" w:type="pct"/>
            <w:vMerge w:val="continue"/>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16、物资采购必须符合健康安全的要求，采购渠道正规并定期在食堂公布有关合格证。5分</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采购渠道正规（有无三证），无扣0.5分；发现有采购、食用变质、过期的食品扣1分，扣完为止。</w:t>
            </w:r>
          </w:p>
        </w:tc>
        <w:tc>
          <w:tcPr>
            <w:tcW w:w="507" w:type="pct"/>
            <w:vMerge w:val="continue"/>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448" w:type="pct"/>
            <w:vMerge w:val="continue"/>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饮食卫生</w:t>
            </w:r>
          </w:p>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（10分）</w:t>
            </w: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1、每餐保证饭菜质量，菜香饭熟，无夹生饭，无不净菜；</w:t>
            </w:r>
          </w:p>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2、汤类经常更换，保证多样性；</w:t>
            </w:r>
          </w:p>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3、不得食用变质食品，无食物中毒现象；</w:t>
            </w:r>
          </w:p>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4、生熟食品严格分开，独立操作间。</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饭菜质量不合格，汤类不满意，一次一项扣0.1分；有变质食品一次扣10分；生熟未分开，未做到独立操作，一次扣0.5分。食物中毒一票否决。</w:t>
            </w:r>
          </w:p>
        </w:tc>
        <w:tc>
          <w:tcPr>
            <w:tcW w:w="507"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现场抽查</w:t>
            </w:r>
          </w:p>
        </w:tc>
        <w:tc>
          <w:tcPr>
            <w:tcW w:w="448" w:type="pct"/>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餐具</w:t>
            </w:r>
          </w:p>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（10分）</w:t>
            </w: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1、食用的碗筷及其他餐具每餐消毒符合标准.餐具清洗做到一洗、二刷、三冲、四消毒、五保洁；对清洗机要经常清洗消毒；</w:t>
            </w:r>
          </w:p>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2、餐具光亮无油迹、分类堆放，食用筷子清洁卫生、不变形、无发霉；</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未按规定操作，一次一项扣0.2分；餐具有油迹、未分类存放、有不清洁、变形、发霉一次一项扣0.1分；职工用餐具未与病人分开，一次扣0.5分，扣完为止。</w:t>
            </w:r>
          </w:p>
        </w:tc>
        <w:tc>
          <w:tcPr>
            <w:tcW w:w="507"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现场抽查</w:t>
            </w:r>
          </w:p>
        </w:tc>
        <w:tc>
          <w:tcPr>
            <w:tcW w:w="448" w:type="pct"/>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个人卫生</w:t>
            </w:r>
          </w:p>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（5分）</w:t>
            </w: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1.值班时按规定穿工服、帽子、手套、口罩等确保卫生；</w:t>
            </w:r>
          </w:p>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2.操作人员符合卫生学标准。</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未按规定穿戴，一次扣0.2分，操作人员不符合卫生学标准一人次扣0.2人，扣完为止</w:t>
            </w:r>
          </w:p>
        </w:tc>
        <w:tc>
          <w:tcPr>
            <w:tcW w:w="507"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随机检查</w:t>
            </w:r>
          </w:p>
        </w:tc>
        <w:tc>
          <w:tcPr>
            <w:tcW w:w="448" w:type="pct"/>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餐厅卫生</w:t>
            </w:r>
          </w:p>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（10分）</w:t>
            </w: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1、桌椅、地面、墙面及其它设施干净光亮卫生、无损坏，摆放整齐，定期消毒，无蚊虫和苍蝇；</w:t>
            </w:r>
          </w:p>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2、餐厅门窗有防蚊蝇门窗及措施。</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卖菜窗口有菜汁、油渍堆积一次一项扣0.1分；无防蚊蝇设备及措施扣1分。扣完为止</w:t>
            </w:r>
          </w:p>
        </w:tc>
        <w:tc>
          <w:tcPr>
            <w:tcW w:w="507"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现场抽查</w:t>
            </w:r>
          </w:p>
        </w:tc>
        <w:tc>
          <w:tcPr>
            <w:tcW w:w="448" w:type="pct"/>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操作间</w:t>
            </w:r>
          </w:p>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（5分）</w:t>
            </w: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1、切配间、炉灶间、点心房等管理操作间有消防及安全管理制度；</w:t>
            </w:r>
          </w:p>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2、卫生方面保持清洁干净，各类炊具刀具分别保管、分类放置，及时消毒。</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无消防及安全制度、未执行制度有安全隐患未及时整改一次扣1～2分；各种餐具不干净有斑迹、油渍，不按规定进行消毒处理，炊具乱放等每项每次扣0.2分，扣完为止。存在不安全隐患不及时整改的扣1～2分。</w:t>
            </w:r>
          </w:p>
        </w:tc>
        <w:tc>
          <w:tcPr>
            <w:tcW w:w="507"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现场抽查</w:t>
            </w:r>
          </w:p>
        </w:tc>
        <w:tc>
          <w:tcPr>
            <w:tcW w:w="448" w:type="pct"/>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库房管理</w:t>
            </w:r>
          </w:p>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（5分）</w:t>
            </w: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1、各库房管理保持库房干燥，生熟品分库存放，保证库房符合安全、卫生要求。库房有专人管理；</w:t>
            </w:r>
          </w:p>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2、保证库内物品不变质。下班时锁门关窗关电确保安全。</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库房内有变质食品（包括异味霉味腐烂味等），地面潮湿、有虫害，每项一次扣0.2分；库房内食品无分类，乱摆乱放，一次一项扣0.2分；无人时未关门窗、电源（冷库根据需要），发现有安全隐患不及时整改的一次一项扣1～2分。</w:t>
            </w:r>
          </w:p>
        </w:tc>
        <w:tc>
          <w:tcPr>
            <w:tcW w:w="507"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现场抽查</w:t>
            </w:r>
          </w:p>
        </w:tc>
        <w:tc>
          <w:tcPr>
            <w:tcW w:w="448" w:type="pct"/>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食品价格</w:t>
            </w:r>
          </w:p>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（5分）</w:t>
            </w: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1、对学生食堂经营的各种食品采取按全成本销售；</w:t>
            </w:r>
          </w:p>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2、饭菜足量、质量好。</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食品价格未按规定标准执行，每发现一个品种扣0.5分，扣完为止。</w:t>
            </w:r>
          </w:p>
        </w:tc>
        <w:tc>
          <w:tcPr>
            <w:tcW w:w="507"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征询意见与抽查相结合</w:t>
            </w:r>
          </w:p>
        </w:tc>
        <w:tc>
          <w:tcPr>
            <w:tcW w:w="448" w:type="pct"/>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设备设施</w:t>
            </w:r>
          </w:p>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（5分）</w:t>
            </w: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1、设备设施完好率100%；</w:t>
            </w:r>
          </w:p>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2、各种设备的保管由专人负责，对因保管不善造成的遗失、损坏货移做他用负全责。</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设备设施损坏后未及时上报修理或更换，设备设施存在油污，一次一项扣0.2分，扣完为止；无专人负责，造成遗失、损坏扣1分，并照价赔偿。</w:t>
            </w:r>
          </w:p>
        </w:tc>
        <w:tc>
          <w:tcPr>
            <w:tcW w:w="507"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现场抽查</w:t>
            </w:r>
          </w:p>
        </w:tc>
        <w:tc>
          <w:tcPr>
            <w:tcW w:w="448" w:type="pct"/>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520"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满意率</w:t>
            </w:r>
          </w:p>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（5分）</w:t>
            </w:r>
          </w:p>
        </w:tc>
        <w:tc>
          <w:tcPr>
            <w:tcW w:w="1989"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1、餐饮服务满意率须符合相关要求，达到80%，虚心听取各方不同意见，对存在的问题及时整改；</w:t>
            </w:r>
          </w:p>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2、保质保量地完成甲方下达的临时性任务；</w:t>
            </w:r>
          </w:p>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3、如发生食物中毒现象，一票否决。</w:t>
            </w:r>
          </w:p>
        </w:tc>
        <w:tc>
          <w:tcPr>
            <w:tcW w:w="1535" w:type="pct"/>
            <w:vAlign w:val="center"/>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不到80%，每低1个百分点扣1分，对发现问题不及时整改，一次扣1分；不能保证完成甲方下达的临时性任务一次扣1分；扣完为止。</w:t>
            </w:r>
          </w:p>
        </w:tc>
        <w:tc>
          <w:tcPr>
            <w:tcW w:w="507" w:type="pct"/>
            <w:vAlign w:val="center"/>
          </w:tcPr>
          <w:p>
            <w:pPr>
              <w:wordWrap w:val="0"/>
              <w:spacing w:line="280" w:lineRule="exact"/>
              <w:jc w:val="center"/>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不定期征求相应职工意见</w:t>
            </w:r>
          </w:p>
        </w:tc>
        <w:tc>
          <w:tcPr>
            <w:tcW w:w="448" w:type="pct"/>
          </w:tcPr>
          <w:p>
            <w:pPr>
              <w:wordWrap w:val="0"/>
              <w:spacing w:line="280" w:lineRule="exact"/>
              <w:rPr>
                <w:rFonts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r>
    </w:tbl>
    <w:p>
      <w:pPr>
        <w:wordWrap w:val="0"/>
        <w:spacing w:line="280" w:lineRule="exact"/>
        <w:rPr>
          <w:rFonts w:ascii="宋体" w:hAnsi="宋体" w:cs="宋体"/>
          <w:snapToGrid w:val="0"/>
          <w:color w:val="000000" w:themeColor="text1"/>
          <w:kern w:val="0"/>
          <w:highlight w:val="none"/>
          <w14:textFill>
            <w14:solidFill>
              <w14:schemeClr w14:val="tx1"/>
            </w14:solidFill>
          </w14:textFill>
        </w:rPr>
      </w:pPr>
    </w:p>
    <w:p>
      <w:pPr>
        <w:wordWrap w:val="0"/>
        <w:spacing w:line="280" w:lineRule="exact"/>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考评综合得分：</w:t>
      </w:r>
    </w:p>
    <w:p>
      <w:pPr>
        <w:wordWrap w:val="0"/>
        <w:rPr>
          <w:rFonts w:ascii="宋体" w:hAnsi="宋体" w:cs="宋体"/>
          <w:snapToGrid w:val="0"/>
          <w:color w:val="000000" w:themeColor="text1"/>
          <w:kern w:val="0"/>
          <w:highlight w:val="none"/>
          <w14:textFill>
            <w14:solidFill>
              <w14:schemeClr w14:val="tx1"/>
            </w14:solidFill>
          </w14:textFill>
        </w:rPr>
      </w:pPr>
    </w:p>
    <w:p>
      <w:pP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br w:type="page"/>
      </w:r>
    </w:p>
    <w:p>
      <w:pPr>
        <w:wordWrap w:val="0"/>
        <w:spacing w:line="360" w:lineRule="auto"/>
        <w:jc w:val="center"/>
        <w:rPr>
          <w:rFonts w:ascii="宋体" w:hAnsi="宋体" w:cs="宋体"/>
          <w:b/>
          <w:bCs/>
          <w:snapToGrid w:val="0"/>
          <w:color w:val="000000" w:themeColor="text1"/>
          <w:kern w:val="0"/>
          <w:sz w:val="28"/>
          <w:szCs w:val="28"/>
          <w:highlight w:val="none"/>
          <w14:textFill>
            <w14:solidFill>
              <w14:schemeClr w14:val="tx1"/>
            </w14:solidFill>
          </w14:textFill>
        </w:rPr>
      </w:pPr>
      <w:r>
        <w:rPr>
          <w:rFonts w:hint="eastAsia" w:ascii="宋体" w:hAnsi="宋体" w:cs="宋体"/>
          <w:b/>
          <w:bCs/>
          <w:snapToGrid w:val="0"/>
          <w:color w:val="000000" w:themeColor="text1"/>
          <w:kern w:val="0"/>
          <w:sz w:val="28"/>
          <w:szCs w:val="28"/>
          <w:highlight w:val="none"/>
          <w14:textFill>
            <w14:solidFill>
              <w14:schemeClr w14:val="tx1"/>
            </w14:solidFill>
          </w14:textFill>
        </w:rPr>
        <w:t>附件2：</w:t>
      </w:r>
      <w:r>
        <w:rPr>
          <w:rFonts w:hint="eastAsia" w:ascii="宋体" w:hAnsi="宋体" w:cs="宋体"/>
          <w:b/>
          <w:bCs/>
          <w:snapToGrid w:val="0"/>
          <w:color w:val="000000" w:themeColor="text1"/>
          <w:kern w:val="0"/>
          <w:sz w:val="28"/>
          <w:szCs w:val="28"/>
          <w:highlight w:val="none"/>
          <w14:textFill>
            <w14:solidFill>
              <w14:schemeClr w14:val="tx1"/>
            </w14:solidFill>
          </w14:textFill>
        </w:rPr>
        <w:t>师</w:t>
      </w:r>
      <w:r>
        <w:rPr>
          <w:rFonts w:hint="eastAsia" w:ascii="宋体" w:hAnsi="宋体" w:cs="宋体"/>
          <w:b/>
          <w:bCs/>
          <w:snapToGrid w:val="0"/>
          <w:color w:val="000000" w:themeColor="text1"/>
          <w:kern w:val="0"/>
          <w:sz w:val="28"/>
          <w:szCs w:val="28"/>
          <w:highlight w:val="none"/>
          <w14:textFill>
            <w14:solidFill>
              <w14:schemeClr w14:val="tx1"/>
            </w14:solidFill>
          </w14:textFill>
        </w:rPr>
        <w:t>生餐饮满意度调查表</w:t>
      </w:r>
    </w:p>
    <w:p>
      <w:pPr>
        <w:pStyle w:val="22"/>
        <w:ind w:firstLine="0"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各位老师、</w:t>
      </w:r>
      <w:r>
        <w:rPr>
          <w:rFonts w:hint="eastAsia"/>
          <w:color w:val="000000" w:themeColor="text1"/>
          <w:sz w:val="24"/>
          <w:szCs w:val="24"/>
          <w:highlight w:val="none"/>
          <w14:textFill>
            <w14:solidFill>
              <w14:schemeClr w14:val="tx1"/>
            </w14:solidFill>
          </w14:textFill>
        </w:rPr>
        <w:t>同学们：</w:t>
      </w:r>
    </w:p>
    <w:p>
      <w:pPr>
        <w:pStyle w:val="22"/>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大家好！为营造食堂良好的</w:t>
      </w:r>
      <w:r>
        <w:rPr>
          <w:rFonts w:hint="eastAsia"/>
          <w:color w:val="000000" w:themeColor="text1"/>
          <w:sz w:val="24"/>
          <w:szCs w:val="24"/>
          <w:highlight w:val="none"/>
          <w14:textFill>
            <w14:solidFill>
              <w14:schemeClr w14:val="tx1"/>
            </w14:solidFill>
          </w14:textFill>
        </w:rPr>
        <w:t>经营</w:t>
      </w:r>
      <w:r>
        <w:rPr>
          <w:rFonts w:hint="eastAsia"/>
          <w:color w:val="000000" w:themeColor="text1"/>
          <w:sz w:val="24"/>
          <w:szCs w:val="24"/>
          <w:highlight w:val="none"/>
          <w14:textFill>
            <w14:solidFill>
              <w14:schemeClr w14:val="tx1"/>
            </w14:solidFill>
          </w14:textFill>
        </w:rPr>
        <w:t>服务环境，</w:t>
      </w:r>
      <w:r>
        <w:rPr>
          <w:rFonts w:hint="eastAsia"/>
          <w:color w:val="000000" w:themeColor="text1"/>
          <w:sz w:val="24"/>
          <w:szCs w:val="24"/>
          <w:highlight w:val="none"/>
          <w14:textFill>
            <w14:solidFill>
              <w14:schemeClr w14:val="tx1"/>
            </w14:solidFill>
          </w14:textFill>
        </w:rPr>
        <w:t>加强对食堂的监督管理和日常考核，根据学校食堂招标文件要求和合同约定，学校总务处定期开展各食堂经营服务情况满意度调查，请广大老师、同学们根据实际就餐情况和日常所见，对各家食堂的相关情况给予客观实事求是的</w:t>
      </w:r>
      <w:r>
        <w:rPr>
          <w:rFonts w:hint="eastAsia"/>
          <w:color w:val="000000" w:themeColor="text1"/>
          <w:sz w:val="24"/>
          <w:szCs w:val="24"/>
          <w:highlight w:val="none"/>
          <w:lang w:val="en-US" w:eastAsia="zh-CN"/>
          <w14:textFill>
            <w14:solidFill>
              <w14:schemeClr w14:val="tx1"/>
            </w14:solidFill>
          </w14:textFill>
        </w:rPr>
        <w:t>评分</w:t>
      </w:r>
      <w:r>
        <w:rPr>
          <w:rFonts w:hint="eastAsia"/>
          <w:color w:val="000000" w:themeColor="text1"/>
          <w:sz w:val="24"/>
          <w:szCs w:val="24"/>
          <w:highlight w:val="none"/>
          <w14:textFill>
            <w14:solidFill>
              <w14:schemeClr w14:val="tx1"/>
            </w14:solidFill>
          </w14:textFill>
        </w:rPr>
        <w:t>，并提出宝贵的意见</w:t>
      </w:r>
      <w:r>
        <w:rPr>
          <w:rFonts w:hint="eastAsia"/>
          <w:color w:val="000000" w:themeColor="text1"/>
          <w:sz w:val="24"/>
          <w:szCs w:val="24"/>
          <w:highlight w:val="none"/>
          <w:lang w:val="en-US" w:eastAsia="zh-CN"/>
          <w14:textFill>
            <w14:solidFill>
              <w14:schemeClr w14:val="tx1"/>
            </w14:solidFill>
          </w14:textFill>
        </w:rPr>
        <w:t>和</w:t>
      </w:r>
      <w:r>
        <w:rPr>
          <w:rFonts w:hint="eastAsia"/>
          <w:color w:val="000000" w:themeColor="text1"/>
          <w:sz w:val="24"/>
          <w:szCs w:val="24"/>
          <w:highlight w:val="none"/>
          <w14:textFill>
            <w14:solidFill>
              <w14:schemeClr w14:val="tx1"/>
            </w14:solidFill>
          </w14:textFill>
        </w:rPr>
        <w:t>建议，学校将以此考评结果作为食堂合同续签的重要依据，并督促各食堂改进经营管理，为大家提供</w:t>
      </w:r>
      <w:r>
        <w:rPr>
          <w:rFonts w:hint="eastAsia"/>
          <w:color w:val="000000" w:themeColor="text1"/>
          <w:sz w:val="24"/>
          <w:szCs w:val="24"/>
          <w:highlight w:val="none"/>
          <w:lang w:val="en-US" w:eastAsia="zh-CN"/>
          <w14:textFill>
            <w14:solidFill>
              <w14:schemeClr w14:val="tx1"/>
            </w14:solidFill>
          </w14:textFill>
        </w:rPr>
        <w:t>更加优质</w:t>
      </w:r>
      <w:r>
        <w:rPr>
          <w:rFonts w:hint="eastAsia"/>
          <w:color w:val="000000" w:themeColor="text1"/>
          <w:sz w:val="24"/>
          <w:szCs w:val="24"/>
          <w:highlight w:val="none"/>
          <w14:textFill>
            <w14:solidFill>
              <w14:schemeClr w14:val="tx1"/>
            </w14:solidFill>
          </w14:textFill>
        </w:rPr>
        <w:t>的餐饮体验服务。</w:t>
      </w:r>
      <w:r>
        <w:rPr>
          <w:rFonts w:hint="eastAsia"/>
          <w:color w:val="000000" w:themeColor="text1"/>
          <w:sz w:val="24"/>
          <w:szCs w:val="24"/>
          <w:highlight w:val="none"/>
          <w14:textFill>
            <w14:solidFill>
              <w14:schemeClr w14:val="tx1"/>
            </w14:solidFill>
          </w14:textFill>
        </w:rPr>
        <w:t>谢谢！</w:t>
      </w:r>
    </w:p>
    <w:p>
      <w:pPr>
        <w:pStyle w:val="22"/>
        <w:spacing w:line="400" w:lineRule="exact"/>
        <w:ind w:firstLine="480"/>
        <w:rPr>
          <w:color w:val="000000" w:themeColor="text1"/>
          <w:sz w:val="24"/>
          <w:szCs w:val="24"/>
          <w:highlight w:val="none"/>
          <w14:textFill>
            <w14:solidFill>
              <w14:schemeClr w14:val="tx1"/>
            </w14:solidFill>
          </w14:textFill>
        </w:rPr>
      </w:pPr>
    </w:p>
    <w:tbl>
      <w:tblPr>
        <w:tblStyle w:val="19"/>
        <w:tblW w:w="5267" w:type="pct"/>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4019"/>
        <w:gridCol w:w="1274"/>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6" w:hRule="atLeast"/>
        </w:trPr>
        <w:tc>
          <w:tcPr>
            <w:tcW w:w="5000" w:type="pct"/>
            <w:gridSpan w:val="4"/>
            <w:vAlign w:val="center"/>
          </w:tcPr>
          <w:p>
            <w:pPr>
              <w:spacing w:line="400" w:lineRule="exact"/>
              <w:jc w:val="center"/>
              <w:rPr>
                <w:rFonts w:ascii="宋体" w:hAnsi="宋体"/>
                <w:b/>
                <w:bCs/>
                <w:color w:val="000000" w:themeColor="text1"/>
                <w:sz w:val="24"/>
                <w:szCs w:val="24"/>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师</w:t>
            </w:r>
            <w:r>
              <w:rPr>
                <w:rFonts w:hint="eastAsia" w:ascii="宋体" w:hAnsi="宋体"/>
                <w:b/>
                <w:color w:val="000000" w:themeColor="text1"/>
                <w:sz w:val="28"/>
                <w:szCs w:val="28"/>
                <w:highlight w:val="none"/>
                <w14:textFill>
                  <w14:solidFill>
                    <w14:schemeClr w14:val="tx1"/>
                  </w14:solidFill>
                </w14:textFill>
              </w:rPr>
              <w:t>生餐饮满意度调查表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4" w:type="pct"/>
            <w:vAlign w:val="center"/>
          </w:tcPr>
          <w:p>
            <w:pPr>
              <w:spacing w:line="400" w:lineRule="exact"/>
              <w:jc w:val="center"/>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姓名</w:t>
            </w:r>
          </w:p>
        </w:tc>
        <w:tc>
          <w:tcPr>
            <w:tcW w:w="2111" w:type="pct"/>
            <w:vAlign w:val="center"/>
          </w:tcPr>
          <w:p>
            <w:pPr>
              <w:spacing w:line="400" w:lineRule="exact"/>
              <w:jc w:val="center"/>
              <w:rPr>
                <w:rFonts w:ascii="宋体" w:hAnsi="宋体"/>
                <w:b/>
                <w:bCs/>
                <w:color w:val="000000" w:themeColor="text1"/>
                <w:sz w:val="24"/>
                <w:szCs w:val="24"/>
                <w:highlight w:val="none"/>
                <w14:textFill>
                  <w14:solidFill>
                    <w14:schemeClr w14:val="tx1"/>
                  </w14:solidFill>
                </w14:textFill>
              </w:rPr>
            </w:pPr>
          </w:p>
        </w:tc>
        <w:tc>
          <w:tcPr>
            <w:tcW w:w="669" w:type="pct"/>
            <w:vAlign w:val="center"/>
          </w:tcPr>
          <w:p>
            <w:pPr>
              <w:spacing w:line="400" w:lineRule="exact"/>
              <w:jc w:val="center"/>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填表日期</w:t>
            </w:r>
          </w:p>
        </w:tc>
        <w:tc>
          <w:tcPr>
            <w:tcW w:w="1754" w:type="pct"/>
            <w:vAlign w:val="center"/>
          </w:tcPr>
          <w:p>
            <w:pPr>
              <w:spacing w:line="400" w:lineRule="exact"/>
              <w:jc w:val="center"/>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4" w:type="pct"/>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序号</w:t>
            </w:r>
          </w:p>
        </w:tc>
        <w:tc>
          <w:tcPr>
            <w:tcW w:w="2111" w:type="pct"/>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调查事项</w:t>
            </w:r>
          </w:p>
        </w:tc>
        <w:tc>
          <w:tcPr>
            <w:tcW w:w="669" w:type="pct"/>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分值</w:t>
            </w:r>
          </w:p>
        </w:tc>
        <w:tc>
          <w:tcPr>
            <w:tcW w:w="1754" w:type="pct"/>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备注</w:t>
            </w:r>
            <w:r>
              <w:rPr>
                <w:rFonts w:hint="eastAsia" w:ascii="宋体" w:hAnsi="宋体"/>
                <w:b/>
                <w:bCs/>
                <w:color w:val="000000" w:themeColor="text1"/>
                <w:szCs w:val="21"/>
                <w:highlight w:val="none"/>
                <w14:textFill>
                  <w14:solidFill>
                    <w14:schemeClr w14:val="tx1"/>
                  </w14:solidFill>
                </w14:textFill>
              </w:rPr>
              <w:t>（建议意见）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64"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w:t>
            </w:r>
          </w:p>
        </w:tc>
        <w:tc>
          <w:tcPr>
            <w:tcW w:w="2111" w:type="pct"/>
          </w:tcPr>
          <w:p>
            <w:pPr>
              <w:spacing w:line="400" w:lineRule="exact"/>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食堂的饭菜价格是否合理、明码标价、重量称量等情况</w:t>
            </w:r>
          </w:p>
        </w:tc>
        <w:tc>
          <w:tcPr>
            <w:tcW w:w="669"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1754" w:type="pct"/>
          </w:tcPr>
          <w:p>
            <w:pPr>
              <w:spacing w:line="400" w:lineRule="exact"/>
              <w:rPr>
                <w:rFonts w:ascii="宋体" w:hAnsi="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4"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w:t>
            </w:r>
          </w:p>
        </w:tc>
        <w:tc>
          <w:tcPr>
            <w:tcW w:w="2111" w:type="pct"/>
          </w:tcPr>
          <w:p>
            <w:pPr>
              <w:spacing w:line="400" w:lineRule="exact"/>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食堂经营服务人员的工作态度情况</w:t>
            </w:r>
          </w:p>
        </w:tc>
        <w:tc>
          <w:tcPr>
            <w:tcW w:w="669"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1754" w:type="pct"/>
          </w:tcPr>
          <w:p>
            <w:pPr>
              <w:spacing w:line="400" w:lineRule="exact"/>
              <w:rPr>
                <w:rFonts w:ascii="宋体" w:hAnsi="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64"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w:t>
            </w:r>
          </w:p>
        </w:tc>
        <w:tc>
          <w:tcPr>
            <w:tcW w:w="2111" w:type="pct"/>
          </w:tcPr>
          <w:p>
            <w:pPr>
              <w:spacing w:line="400" w:lineRule="exact"/>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食堂餐饮的花色品种、特色餐饮和大伙档口比例、免费汤分量口味情况</w:t>
            </w:r>
          </w:p>
        </w:tc>
        <w:tc>
          <w:tcPr>
            <w:tcW w:w="669"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1754" w:type="pct"/>
          </w:tcPr>
          <w:p>
            <w:pPr>
              <w:spacing w:line="400" w:lineRule="exact"/>
              <w:rPr>
                <w:rFonts w:ascii="宋体" w:hAnsi="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64"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4</w:t>
            </w:r>
          </w:p>
        </w:tc>
        <w:tc>
          <w:tcPr>
            <w:tcW w:w="2111" w:type="pct"/>
          </w:tcPr>
          <w:p>
            <w:pPr>
              <w:spacing w:line="400" w:lineRule="exact"/>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食堂非转基因油、一卡通使用、杜绝饮料添加剂使用情况</w:t>
            </w:r>
          </w:p>
        </w:tc>
        <w:tc>
          <w:tcPr>
            <w:tcW w:w="669"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1754" w:type="pct"/>
          </w:tcPr>
          <w:p>
            <w:pPr>
              <w:spacing w:line="400" w:lineRule="exact"/>
              <w:rPr>
                <w:rFonts w:ascii="宋体" w:hAnsi="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464"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5</w:t>
            </w:r>
          </w:p>
        </w:tc>
        <w:tc>
          <w:tcPr>
            <w:tcW w:w="2111" w:type="pct"/>
          </w:tcPr>
          <w:p>
            <w:pPr>
              <w:spacing w:line="400" w:lineRule="exact"/>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食堂环境卫生、防蚊防蝇防鼠、人员仪表着装、餐桌椅摆放、餐具清洗消毒情况</w:t>
            </w:r>
          </w:p>
        </w:tc>
        <w:tc>
          <w:tcPr>
            <w:tcW w:w="669"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1754" w:type="pct"/>
          </w:tcPr>
          <w:p>
            <w:pPr>
              <w:spacing w:line="400" w:lineRule="exact"/>
              <w:rPr>
                <w:rFonts w:ascii="宋体" w:hAnsi="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64"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6</w:t>
            </w:r>
          </w:p>
        </w:tc>
        <w:tc>
          <w:tcPr>
            <w:tcW w:w="2111" w:type="pct"/>
          </w:tcPr>
          <w:p>
            <w:pPr>
              <w:wordWrap w:val="0"/>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饭菜质量方面菜香饭熟，无夹生饭，无头发丝、钢丝球、虫子或不净菜情况</w:t>
            </w:r>
          </w:p>
        </w:tc>
        <w:tc>
          <w:tcPr>
            <w:tcW w:w="669"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1754" w:type="pct"/>
          </w:tcPr>
          <w:p>
            <w:pPr>
              <w:spacing w:line="400" w:lineRule="exact"/>
              <w:rPr>
                <w:rFonts w:ascii="宋体" w:hAnsi="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64"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7</w:t>
            </w:r>
          </w:p>
        </w:tc>
        <w:tc>
          <w:tcPr>
            <w:tcW w:w="2111" w:type="pct"/>
          </w:tcPr>
          <w:p>
            <w:pPr>
              <w:wordWrap w:val="0"/>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操作间和库房管理规范有序，符合安全、卫生要求情况</w:t>
            </w:r>
          </w:p>
        </w:tc>
        <w:tc>
          <w:tcPr>
            <w:tcW w:w="669"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1754" w:type="pct"/>
          </w:tcPr>
          <w:p>
            <w:pPr>
              <w:spacing w:line="400" w:lineRule="exact"/>
              <w:rPr>
                <w:rFonts w:ascii="宋体" w:hAnsi="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64"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8</w:t>
            </w:r>
          </w:p>
        </w:tc>
        <w:tc>
          <w:tcPr>
            <w:tcW w:w="2111" w:type="pct"/>
          </w:tcPr>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物资采购符合健康安全的要求，采购渠道正规并定期在食堂公布有关合格证情况</w:t>
            </w:r>
          </w:p>
        </w:tc>
        <w:tc>
          <w:tcPr>
            <w:tcW w:w="669"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1754" w:type="pct"/>
          </w:tcPr>
          <w:p>
            <w:pPr>
              <w:spacing w:line="400" w:lineRule="exact"/>
              <w:rPr>
                <w:rFonts w:ascii="宋体" w:hAnsi="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4"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9</w:t>
            </w:r>
          </w:p>
        </w:tc>
        <w:tc>
          <w:tcPr>
            <w:tcW w:w="2111" w:type="pct"/>
          </w:tcPr>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留样记录、各类制度上墙及专业人员配备情况</w:t>
            </w:r>
          </w:p>
        </w:tc>
        <w:tc>
          <w:tcPr>
            <w:tcW w:w="669"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1754" w:type="pct"/>
          </w:tcPr>
          <w:p>
            <w:pPr>
              <w:spacing w:line="400" w:lineRule="exact"/>
              <w:rPr>
                <w:rFonts w:ascii="宋体" w:hAnsi="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64"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10</w:t>
            </w:r>
          </w:p>
        </w:tc>
        <w:tc>
          <w:tcPr>
            <w:tcW w:w="2111" w:type="pct"/>
          </w:tcPr>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光盘行动宣传、节约水电气并做好安全防范工作情况</w:t>
            </w:r>
          </w:p>
        </w:tc>
        <w:tc>
          <w:tcPr>
            <w:tcW w:w="669" w:type="pct"/>
            <w:vAlign w:val="center"/>
          </w:tcPr>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1754" w:type="pct"/>
          </w:tcPr>
          <w:p>
            <w:pPr>
              <w:spacing w:line="400" w:lineRule="exact"/>
              <w:rPr>
                <w:rFonts w:ascii="宋体" w:hAnsi="宋体"/>
                <w:b/>
                <w:bCs/>
                <w:color w:val="000000" w:themeColor="text1"/>
                <w:szCs w:val="21"/>
                <w:highlight w:val="none"/>
                <w14:textFill>
                  <w14:solidFill>
                    <w14:schemeClr w14:val="tx1"/>
                  </w14:solidFill>
                </w14:textFill>
              </w:rPr>
            </w:pPr>
          </w:p>
        </w:tc>
      </w:tr>
    </w:tbl>
    <w:p>
      <w:pPr>
        <w:pStyle w:val="22"/>
        <w:spacing w:line="440" w:lineRule="exact"/>
        <w:ind w:firstLine="0" w:firstLineChars="0"/>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br w:type="page"/>
      </w:r>
    </w:p>
    <w:bookmarkEnd w:id="184"/>
    <w:bookmarkEnd w:id="185"/>
    <w:bookmarkEnd w:id="186"/>
    <w:p>
      <w:pPr>
        <w:pStyle w:val="7"/>
        <w:rPr>
          <w:snapToGrid w:val="0"/>
          <w:color w:val="000000" w:themeColor="text1"/>
          <w:kern w:val="0"/>
          <w:highlight w:val="none"/>
          <w14:textFill>
            <w14:solidFill>
              <w14:schemeClr w14:val="tx1"/>
            </w14:solidFill>
          </w14:textFill>
        </w:rPr>
      </w:pPr>
      <w:bookmarkStart w:id="187" w:name="_Toc27546"/>
      <w:bookmarkStart w:id="188" w:name="_Toc8643"/>
      <w:bookmarkStart w:id="189" w:name="_Toc20747"/>
      <w:bookmarkStart w:id="190" w:name="_Toc13530"/>
      <w:r>
        <w:rPr>
          <w:rFonts w:hint="eastAsia"/>
          <w:snapToGrid w:val="0"/>
          <w:color w:val="000000" w:themeColor="text1"/>
          <w:kern w:val="0"/>
          <w:highlight w:val="none"/>
          <w14:textFill>
            <w14:solidFill>
              <w14:schemeClr w14:val="tx1"/>
            </w14:solidFill>
          </w14:textFill>
        </w:rPr>
        <w:t>第七章 投标文件格式</w:t>
      </w:r>
      <w:bookmarkEnd w:id="180"/>
      <w:bookmarkEnd w:id="187"/>
      <w:bookmarkEnd w:id="188"/>
      <w:bookmarkEnd w:id="189"/>
      <w:bookmarkEnd w:id="190"/>
    </w:p>
    <w:p>
      <w:pPr>
        <w:wordWrap w:val="0"/>
        <w:jc w:val="center"/>
        <w:rPr>
          <w:rFonts w:ascii="宋体" w:hAnsi="宋体" w:cs="宋体"/>
          <w:b/>
          <w:bCs/>
          <w:snapToGrid w:val="0"/>
          <w:color w:val="000000" w:themeColor="text1"/>
          <w:kern w:val="0"/>
          <w:sz w:val="32"/>
          <w:szCs w:val="32"/>
          <w:highlight w:val="none"/>
          <w14:textFill>
            <w14:solidFill>
              <w14:schemeClr w14:val="tx1"/>
            </w14:solidFill>
          </w14:textFill>
        </w:rPr>
      </w:pPr>
      <w:r>
        <w:rPr>
          <w:rFonts w:hint="eastAsia" w:ascii="宋体" w:hAnsi="宋体" w:cs="宋体"/>
          <w:b/>
          <w:bCs/>
          <w:snapToGrid w:val="0"/>
          <w:color w:val="000000" w:themeColor="text1"/>
          <w:kern w:val="0"/>
          <w:sz w:val="32"/>
          <w:szCs w:val="32"/>
          <w:highlight w:val="none"/>
          <w14:textFill>
            <w14:solidFill>
              <w14:schemeClr w14:val="tx1"/>
            </w14:solidFill>
          </w14:textFill>
        </w:rPr>
        <w:t>投标书格式</w:t>
      </w:r>
    </w:p>
    <w:p>
      <w:pPr>
        <w:wordWrap w:val="0"/>
        <w:spacing w:line="500" w:lineRule="exact"/>
        <w:rPr>
          <w:rFonts w:ascii="宋体" w:hAnsi="宋体" w:cs="宋体"/>
          <w:snapToGrid w:val="0"/>
          <w:color w:val="000000" w:themeColor="text1"/>
          <w:kern w:val="0"/>
          <w:szCs w:val="21"/>
          <w:highlight w:val="none"/>
          <w14:textFill>
            <w14:solidFill>
              <w14:schemeClr w14:val="tx1"/>
            </w14:solidFill>
          </w14:textFill>
        </w:rPr>
      </w:pPr>
    </w:p>
    <w:p>
      <w:pPr>
        <w:wordWrap w:val="0"/>
        <w:spacing w:line="500" w:lineRule="exact"/>
        <w:jc w:val="center"/>
        <w:rPr>
          <w:rFonts w:ascii="宋体" w:hAnsi="宋体" w:cs="宋体"/>
          <w:snapToGrid w:val="0"/>
          <w:color w:val="000000" w:themeColor="text1"/>
          <w:kern w:val="0"/>
          <w:sz w:val="32"/>
          <w:szCs w:val="32"/>
          <w:highlight w:val="none"/>
          <w14:textFill>
            <w14:solidFill>
              <w14:schemeClr w14:val="tx1"/>
            </w14:solidFill>
          </w14:textFill>
        </w:rPr>
      </w:pPr>
      <w:r>
        <w:rPr>
          <w:rFonts w:hint="eastAsia" w:ascii="宋体" w:hAnsi="宋体" w:cs="宋体"/>
          <w:snapToGrid w:val="0"/>
          <w:color w:val="000000" w:themeColor="text1"/>
          <w:kern w:val="0"/>
          <w:sz w:val="32"/>
          <w:szCs w:val="32"/>
          <w:highlight w:val="none"/>
          <w14:textFill>
            <w14:solidFill>
              <w14:schemeClr w14:val="tx1"/>
            </w14:solidFill>
          </w14:textFill>
        </w:rPr>
        <w:t>项目名称：</w:t>
      </w:r>
    </w:p>
    <w:p>
      <w:pPr>
        <w:wordWrap w:val="0"/>
        <w:spacing w:line="500" w:lineRule="exact"/>
        <w:jc w:val="center"/>
        <w:rPr>
          <w:rFonts w:ascii="宋体" w:hAnsi="宋体" w:cs="宋体"/>
          <w:snapToGrid w:val="0"/>
          <w:color w:val="000000" w:themeColor="text1"/>
          <w:kern w:val="0"/>
          <w:sz w:val="32"/>
          <w:szCs w:val="32"/>
          <w:highlight w:val="none"/>
          <w14:textFill>
            <w14:solidFill>
              <w14:schemeClr w14:val="tx1"/>
            </w14:solidFill>
          </w14:textFill>
        </w:rPr>
      </w:pPr>
      <w:r>
        <w:rPr>
          <w:rFonts w:hint="eastAsia" w:ascii="宋体" w:hAnsi="宋体" w:cs="宋体"/>
          <w:snapToGrid w:val="0"/>
          <w:color w:val="000000" w:themeColor="text1"/>
          <w:kern w:val="0"/>
          <w:sz w:val="32"/>
          <w:szCs w:val="32"/>
          <w:highlight w:val="none"/>
          <w14:textFill>
            <w14:solidFill>
              <w14:schemeClr w14:val="tx1"/>
            </w14:solidFill>
          </w14:textFill>
        </w:rPr>
        <w:t>项目编号：</w:t>
      </w:r>
    </w:p>
    <w:p>
      <w:pPr>
        <w:wordWrap w:val="0"/>
        <w:spacing w:line="500" w:lineRule="exact"/>
        <w:jc w:val="center"/>
        <w:rPr>
          <w:rFonts w:ascii="宋体" w:hAnsi="宋体" w:cs="宋体"/>
          <w:snapToGrid w:val="0"/>
          <w:color w:val="000000" w:themeColor="text1"/>
          <w:kern w:val="0"/>
          <w:sz w:val="32"/>
          <w:szCs w:val="32"/>
          <w:highlight w:val="none"/>
          <w14:textFill>
            <w14:solidFill>
              <w14:schemeClr w14:val="tx1"/>
            </w14:solidFill>
          </w14:textFill>
        </w:rPr>
      </w:pPr>
      <w:r>
        <w:rPr>
          <w:rFonts w:hint="eastAsia" w:ascii="宋体" w:hAnsi="宋体" w:cs="宋体"/>
          <w:snapToGrid w:val="0"/>
          <w:color w:val="000000" w:themeColor="text1"/>
          <w:kern w:val="0"/>
          <w:sz w:val="32"/>
          <w:szCs w:val="32"/>
          <w:highlight w:val="none"/>
          <w14:textFill>
            <w14:solidFill>
              <w14:schemeClr w14:val="tx1"/>
            </w14:solidFill>
          </w14:textFill>
        </w:rPr>
        <w:t>所投包号：</w:t>
      </w:r>
    </w:p>
    <w:p>
      <w:pPr>
        <w:wordWrap w:val="0"/>
        <w:spacing w:line="900" w:lineRule="exact"/>
        <w:rPr>
          <w:rFonts w:ascii="宋体" w:hAnsi="宋体" w:cs="宋体"/>
          <w:snapToGrid w:val="0"/>
          <w:color w:val="000000" w:themeColor="text1"/>
          <w:kern w:val="0"/>
          <w:szCs w:val="21"/>
          <w:highlight w:val="none"/>
          <w14:textFill>
            <w14:solidFill>
              <w14:schemeClr w14:val="tx1"/>
            </w14:solidFill>
          </w14:textFill>
        </w:rPr>
      </w:pPr>
    </w:p>
    <w:p>
      <w:pPr>
        <w:wordWrap w:val="0"/>
        <w:spacing w:line="1200" w:lineRule="auto"/>
        <w:jc w:val="center"/>
        <w:rPr>
          <w:rFonts w:ascii="宋体" w:hAnsi="宋体" w:cs="宋体"/>
          <w:b/>
          <w:bCs/>
          <w:snapToGrid w:val="0"/>
          <w:color w:val="000000" w:themeColor="text1"/>
          <w:kern w:val="0"/>
          <w:sz w:val="84"/>
          <w:szCs w:val="84"/>
          <w:highlight w:val="none"/>
          <w14:textFill>
            <w14:solidFill>
              <w14:schemeClr w14:val="tx1"/>
            </w14:solidFill>
          </w14:textFill>
        </w:rPr>
      </w:pPr>
      <w:r>
        <w:rPr>
          <w:rFonts w:hint="eastAsia" w:ascii="宋体" w:hAnsi="宋体" w:cs="宋体"/>
          <w:b/>
          <w:bCs/>
          <w:snapToGrid w:val="0"/>
          <w:color w:val="000000" w:themeColor="text1"/>
          <w:kern w:val="0"/>
          <w:sz w:val="84"/>
          <w:szCs w:val="84"/>
          <w:highlight w:val="none"/>
          <w14:textFill>
            <w14:solidFill>
              <w14:schemeClr w14:val="tx1"/>
            </w14:solidFill>
          </w14:textFill>
        </w:rPr>
        <w:t>投</w:t>
      </w:r>
    </w:p>
    <w:p>
      <w:pPr>
        <w:wordWrap w:val="0"/>
        <w:spacing w:line="1200" w:lineRule="auto"/>
        <w:jc w:val="center"/>
        <w:rPr>
          <w:rFonts w:ascii="宋体" w:hAnsi="宋体" w:cs="宋体"/>
          <w:b/>
          <w:bCs/>
          <w:snapToGrid w:val="0"/>
          <w:color w:val="000000" w:themeColor="text1"/>
          <w:kern w:val="0"/>
          <w:sz w:val="84"/>
          <w:szCs w:val="84"/>
          <w:highlight w:val="none"/>
          <w14:textFill>
            <w14:solidFill>
              <w14:schemeClr w14:val="tx1"/>
            </w14:solidFill>
          </w14:textFill>
        </w:rPr>
      </w:pPr>
      <w:r>
        <w:rPr>
          <w:rFonts w:hint="eastAsia" w:ascii="宋体" w:hAnsi="宋体" w:cs="宋体"/>
          <w:b/>
          <w:bCs/>
          <w:snapToGrid w:val="0"/>
          <w:color w:val="000000" w:themeColor="text1"/>
          <w:kern w:val="0"/>
          <w:sz w:val="84"/>
          <w:szCs w:val="84"/>
          <w:highlight w:val="none"/>
          <w14:textFill>
            <w14:solidFill>
              <w14:schemeClr w14:val="tx1"/>
            </w14:solidFill>
          </w14:textFill>
        </w:rPr>
        <w:t>标</w:t>
      </w:r>
    </w:p>
    <w:p>
      <w:pPr>
        <w:wordWrap w:val="0"/>
        <w:spacing w:line="1200" w:lineRule="auto"/>
        <w:jc w:val="center"/>
        <w:rPr>
          <w:rFonts w:ascii="宋体" w:hAnsi="宋体" w:cs="宋体"/>
          <w:b/>
          <w:bCs/>
          <w:snapToGrid w:val="0"/>
          <w:color w:val="000000" w:themeColor="text1"/>
          <w:kern w:val="0"/>
          <w:sz w:val="84"/>
          <w:szCs w:val="84"/>
          <w:highlight w:val="none"/>
          <w14:textFill>
            <w14:solidFill>
              <w14:schemeClr w14:val="tx1"/>
            </w14:solidFill>
          </w14:textFill>
        </w:rPr>
      </w:pPr>
      <w:r>
        <w:rPr>
          <w:rFonts w:hint="eastAsia" w:ascii="宋体" w:hAnsi="宋体" w:cs="宋体"/>
          <w:b/>
          <w:bCs/>
          <w:snapToGrid w:val="0"/>
          <w:color w:val="000000" w:themeColor="text1"/>
          <w:kern w:val="0"/>
          <w:sz w:val="84"/>
          <w:szCs w:val="84"/>
          <w:highlight w:val="none"/>
          <w14:textFill>
            <w14:solidFill>
              <w14:schemeClr w14:val="tx1"/>
            </w14:solidFill>
          </w14:textFill>
        </w:rPr>
        <w:t>书</w:t>
      </w:r>
    </w:p>
    <w:p>
      <w:pPr>
        <w:wordWrap w:val="0"/>
        <w:spacing w:line="900" w:lineRule="exact"/>
        <w:jc w:val="center"/>
        <w:rPr>
          <w:rFonts w:ascii="宋体" w:hAnsi="宋体" w:cs="宋体"/>
          <w:snapToGrid w:val="0"/>
          <w:color w:val="000000" w:themeColor="text1"/>
          <w:kern w:val="0"/>
          <w:sz w:val="84"/>
          <w:szCs w:val="84"/>
          <w:highlight w:val="none"/>
          <w14:textFill>
            <w14:solidFill>
              <w14:schemeClr w14:val="tx1"/>
            </w14:solidFill>
          </w14:textFill>
        </w:rPr>
      </w:pPr>
    </w:p>
    <w:p>
      <w:pPr>
        <w:wordWrap w:val="0"/>
        <w:spacing w:line="500" w:lineRule="exact"/>
        <w:jc w:val="center"/>
        <w:rPr>
          <w:rFonts w:ascii="宋体" w:hAnsi="宋体" w:cs="宋体"/>
          <w:snapToGrid w:val="0"/>
          <w:color w:val="000000" w:themeColor="text1"/>
          <w:kern w:val="0"/>
          <w:szCs w:val="21"/>
          <w:highlight w:val="none"/>
          <w14:textFill>
            <w14:solidFill>
              <w14:schemeClr w14:val="tx1"/>
            </w14:solidFill>
          </w14:textFill>
        </w:rPr>
      </w:pPr>
    </w:p>
    <w:p>
      <w:pPr>
        <w:wordWrap w:val="0"/>
        <w:spacing w:line="500" w:lineRule="exact"/>
        <w:rPr>
          <w:rFonts w:ascii="宋体" w:hAnsi="宋体" w:cs="宋体"/>
          <w:snapToGrid w:val="0"/>
          <w:color w:val="000000" w:themeColor="text1"/>
          <w:kern w:val="0"/>
          <w:szCs w:val="21"/>
          <w:highlight w:val="none"/>
          <w14:textFill>
            <w14:solidFill>
              <w14:schemeClr w14:val="tx1"/>
            </w14:solidFill>
          </w14:textFill>
        </w:rPr>
      </w:pPr>
    </w:p>
    <w:p>
      <w:pPr>
        <w:pStyle w:val="11"/>
        <w:rPr>
          <w:color w:val="000000" w:themeColor="text1"/>
          <w:highlight w:val="none"/>
          <w14:textFill>
            <w14:solidFill>
              <w14:schemeClr w14:val="tx1"/>
            </w14:solidFill>
          </w14:textFill>
        </w:rPr>
      </w:pPr>
    </w:p>
    <w:p>
      <w:pPr>
        <w:wordWrap w:val="0"/>
        <w:spacing w:line="500" w:lineRule="exact"/>
        <w:jc w:val="center"/>
        <w:rPr>
          <w:rFonts w:ascii="宋体" w:hAnsi="宋体" w:cs="宋体"/>
          <w:snapToGrid w:val="0"/>
          <w:color w:val="000000" w:themeColor="text1"/>
          <w:kern w:val="0"/>
          <w:szCs w:val="21"/>
          <w:highlight w:val="none"/>
          <w14:textFill>
            <w14:solidFill>
              <w14:schemeClr w14:val="tx1"/>
            </w14:solidFill>
          </w14:textFill>
        </w:rPr>
      </w:pPr>
    </w:p>
    <w:p>
      <w:pPr>
        <w:wordWrap w:val="0"/>
        <w:spacing w:line="720" w:lineRule="auto"/>
        <w:jc w:val="center"/>
        <w:rPr>
          <w:rFonts w:ascii="宋体" w:hAnsi="宋体" w:cs="宋体"/>
          <w:snapToGrid w:val="0"/>
          <w:color w:val="000000" w:themeColor="text1"/>
          <w:kern w:val="0"/>
          <w:sz w:val="32"/>
          <w:szCs w:val="32"/>
          <w:highlight w:val="none"/>
          <w14:textFill>
            <w14:solidFill>
              <w14:schemeClr w14:val="tx1"/>
            </w14:solidFill>
          </w14:textFill>
        </w:rPr>
      </w:pPr>
      <w:r>
        <w:rPr>
          <w:rFonts w:hint="eastAsia" w:ascii="宋体" w:hAnsi="宋体" w:cs="宋体"/>
          <w:snapToGrid w:val="0"/>
          <w:color w:val="000000" w:themeColor="text1"/>
          <w:kern w:val="0"/>
          <w:sz w:val="32"/>
          <w:szCs w:val="32"/>
          <w:highlight w:val="none"/>
          <w14:textFill>
            <w14:solidFill>
              <w14:schemeClr w14:val="tx1"/>
            </w14:solidFill>
          </w14:textFill>
        </w:rPr>
        <w:t>投 标 人：                  （签章）</w:t>
      </w:r>
    </w:p>
    <w:p>
      <w:pPr>
        <w:wordWrap w:val="0"/>
        <w:spacing w:line="720" w:lineRule="auto"/>
        <w:jc w:val="center"/>
        <w:rPr>
          <w:rFonts w:ascii="宋体" w:hAnsi="宋体" w:cs="宋体"/>
          <w:snapToGrid w:val="0"/>
          <w:color w:val="000000" w:themeColor="text1"/>
          <w:kern w:val="0"/>
          <w:sz w:val="32"/>
          <w:szCs w:val="32"/>
          <w:highlight w:val="none"/>
          <w14:textFill>
            <w14:solidFill>
              <w14:schemeClr w14:val="tx1"/>
            </w14:solidFill>
          </w14:textFill>
        </w:rPr>
      </w:pPr>
      <w:r>
        <w:rPr>
          <w:rFonts w:hint="eastAsia" w:ascii="宋体" w:hAnsi="宋体" w:cs="宋体"/>
          <w:snapToGrid w:val="0"/>
          <w:color w:val="000000" w:themeColor="text1"/>
          <w:kern w:val="0"/>
          <w:sz w:val="32"/>
          <w:szCs w:val="32"/>
          <w:highlight w:val="none"/>
          <w14:textFill>
            <w14:solidFill>
              <w14:schemeClr w14:val="tx1"/>
            </w14:solidFill>
          </w14:textFill>
        </w:rPr>
        <w:t>年      月      日</w:t>
      </w:r>
      <w:bookmarkStart w:id="191" w:name="_Toc22457"/>
      <w:bookmarkStart w:id="192" w:name="_Toc19920"/>
      <w:bookmarkStart w:id="193" w:name="_Toc462234316"/>
      <w:bookmarkStart w:id="194" w:name="_Toc11303"/>
      <w:bookmarkStart w:id="195" w:name="_Toc293560330"/>
      <w:bookmarkStart w:id="196" w:name="_Toc272141473"/>
      <w:bookmarkStart w:id="197" w:name="_Hlk450146465"/>
      <w:bookmarkStart w:id="198" w:name="_Toc482084478"/>
      <w:bookmarkStart w:id="199" w:name="_Toc17819"/>
    </w:p>
    <w:bookmarkEnd w:id="191"/>
    <w:bookmarkEnd w:id="192"/>
    <w:bookmarkEnd w:id="193"/>
    <w:bookmarkEnd w:id="194"/>
    <w:bookmarkEnd w:id="195"/>
    <w:bookmarkEnd w:id="196"/>
    <w:bookmarkEnd w:id="197"/>
    <w:bookmarkEnd w:id="198"/>
    <w:bookmarkEnd w:id="199"/>
    <w:p>
      <w:pPr>
        <w:spacing w:beforeLines="50" w:afterLines="50"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w:t>
      </w:r>
      <w:r>
        <w:rPr>
          <w:rFonts w:ascii="宋体" w:hAnsi="宋体"/>
          <w:b/>
          <w:color w:val="000000" w:themeColor="text1"/>
          <w:sz w:val="32"/>
          <w:szCs w:val="32"/>
          <w:highlight w:val="none"/>
          <w14:textFill>
            <w14:solidFill>
              <w14:schemeClr w14:val="tx1"/>
            </w14:solidFill>
          </w14:textFill>
        </w:rPr>
        <w:t>投标</w:t>
      </w:r>
      <w:r>
        <w:rPr>
          <w:rFonts w:hint="eastAsia" w:ascii="宋体" w:hAnsi="宋体"/>
          <w:b/>
          <w:color w:val="000000" w:themeColor="text1"/>
          <w:sz w:val="32"/>
          <w:szCs w:val="32"/>
          <w:highlight w:val="none"/>
          <w14:textFill>
            <w14:solidFill>
              <w14:schemeClr w14:val="tx1"/>
            </w14:solidFill>
          </w14:textFill>
        </w:rPr>
        <w:t>声明</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皖北卫生</w:t>
      </w:r>
      <w:r>
        <w:rPr>
          <w:rFonts w:ascii="宋体" w:hAnsi="宋体"/>
          <w:color w:val="000000" w:themeColor="text1"/>
          <w:sz w:val="24"/>
          <w:highlight w:val="none"/>
          <w14:textFill>
            <w14:solidFill>
              <w14:schemeClr w14:val="tx1"/>
            </w14:solidFill>
          </w14:textFill>
        </w:rPr>
        <w:t>职业学院：</w:t>
      </w:r>
    </w:p>
    <w:p>
      <w:pPr>
        <w:autoSpaceDE w:val="0"/>
        <w:autoSpaceDN w:val="0"/>
        <w:adjustRightInd w:val="0"/>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(投标单位全称)授权(姓名)(职务)为全权代表，参加你</w:t>
      </w:r>
      <w:r>
        <w:rPr>
          <w:rFonts w:hint="eastAsia" w:ascii="宋体" w:hAnsi="宋体"/>
          <w:color w:val="000000" w:themeColor="text1"/>
          <w:sz w:val="24"/>
          <w:highlight w:val="none"/>
          <w14:textFill>
            <w14:solidFill>
              <w14:schemeClr w14:val="tx1"/>
            </w14:solidFill>
          </w14:textFill>
        </w:rPr>
        <w:t>院采购项目</w:t>
      </w:r>
      <w:r>
        <w:rPr>
          <w:rFonts w:ascii="宋体" w:hAnsi="宋体"/>
          <w:color w:val="000000" w:themeColor="text1"/>
          <w:sz w:val="24"/>
          <w:highlight w:val="none"/>
          <w14:textFill>
            <w14:solidFill>
              <w14:schemeClr w14:val="tx1"/>
            </w14:solidFill>
          </w14:textFill>
        </w:rPr>
        <w:t>招标的有关活动，并宣布同意如下：</w:t>
      </w:r>
    </w:p>
    <w:p>
      <w:pPr>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我方愿意按照招标文件的全部要求进行投标(投标内容及价格以投标文件为准)；</w:t>
      </w:r>
    </w:p>
    <w:p>
      <w:pPr>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我方完全同意放弃对招标文件有误解的辩解权利；</w:t>
      </w:r>
    </w:p>
    <w:p>
      <w:pPr>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我方将按招标文件的规定履行合同责任和义务；</w:t>
      </w:r>
    </w:p>
    <w:p>
      <w:pPr>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4</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如果我方在投标有效期内撤回投标，投标保证金将被贵方没收；</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我方同意提供按照贵方要求的与其投标有关的一切数据或资料，理解贵方选择的评标方法；</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与本投标有关的一切正式往来通讯请寄：</w:t>
      </w:r>
    </w:p>
    <w:p>
      <w:pPr>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地址：                                       邮编：</w:t>
      </w:r>
    </w:p>
    <w:p>
      <w:pPr>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电话：                                       传真：</w:t>
      </w:r>
    </w:p>
    <w:p>
      <w:pPr>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投标方代表姓名、职务：</w:t>
      </w:r>
    </w:p>
    <w:p>
      <w:pPr>
        <w:spacing w:line="360" w:lineRule="auto"/>
        <w:ind w:left="4560" w:hanging="4560" w:hangingChars="1900"/>
        <w:rPr>
          <w:rFonts w:ascii="宋体" w:hAnsi="宋体"/>
          <w:color w:val="000000" w:themeColor="text1"/>
          <w:sz w:val="24"/>
          <w:highlight w:val="none"/>
          <w14:textFill>
            <w14:solidFill>
              <w14:schemeClr w14:val="tx1"/>
            </w14:solidFill>
          </w14:textFill>
        </w:rPr>
      </w:pPr>
    </w:p>
    <w:p>
      <w:pPr>
        <w:spacing w:line="360" w:lineRule="auto"/>
        <w:ind w:left="4560" w:hanging="4560" w:hangingChars="1900"/>
        <w:rPr>
          <w:rFonts w:ascii="宋体" w:hAnsi="宋体"/>
          <w:color w:val="000000" w:themeColor="text1"/>
          <w:sz w:val="24"/>
          <w:highlight w:val="none"/>
          <w14:textFill>
            <w14:solidFill>
              <w14:schemeClr w14:val="tx1"/>
            </w14:solidFill>
          </w14:textFill>
        </w:rPr>
      </w:pPr>
    </w:p>
    <w:p>
      <w:pPr>
        <w:spacing w:line="360" w:lineRule="auto"/>
        <w:ind w:left="4560" w:hanging="4560" w:hangingChars="1900"/>
        <w:jc w:val="righ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投标单位名称(加盖单位公章)</w:t>
      </w:r>
    </w:p>
    <w:p>
      <w:pPr>
        <w:spacing w:line="360" w:lineRule="auto"/>
        <w:ind w:firstLine="3360" w:firstLineChars="1400"/>
        <w:jc w:val="righ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日期：    年    月    日</w:t>
      </w:r>
    </w:p>
    <w:p>
      <w:pPr>
        <w:spacing w:line="360" w:lineRule="auto"/>
        <w:ind w:firstLine="3360" w:firstLineChars="1400"/>
        <w:jc w:val="right"/>
        <w:rPr>
          <w:rFonts w:ascii="宋体" w:hAnsi="宋体"/>
          <w:color w:val="000000" w:themeColor="text1"/>
          <w:sz w:val="24"/>
          <w:highlight w:val="none"/>
          <w14:textFill>
            <w14:solidFill>
              <w14:schemeClr w14:val="tx1"/>
            </w14:solidFill>
          </w14:textFill>
        </w:rPr>
      </w:pPr>
    </w:p>
    <w:p>
      <w:pPr>
        <w:spacing w:line="440" w:lineRule="exact"/>
        <w:ind w:left="4578" w:hanging="4578" w:hangingChars="1900"/>
        <w:rPr>
          <w:rFonts w:ascii="宋体" w:hAnsi="宋体" w:cs="宋体"/>
          <w:b/>
          <w:bCs/>
          <w:color w:val="000000" w:themeColor="text1"/>
          <w:sz w:val="24"/>
          <w:highlight w:val="none"/>
          <w14:textFill>
            <w14:solidFill>
              <w14:schemeClr w14:val="tx1"/>
            </w14:solidFill>
          </w14:textFill>
        </w:rPr>
      </w:pPr>
    </w:p>
    <w:p>
      <w:pPr>
        <w:spacing w:line="440" w:lineRule="exact"/>
        <w:ind w:left="4578" w:hanging="4578" w:hangingChars="1900"/>
        <w:rPr>
          <w:rFonts w:ascii="宋体" w:hAnsi="宋体" w:cs="宋体"/>
          <w:b/>
          <w:bCs/>
          <w:color w:val="000000" w:themeColor="text1"/>
          <w:sz w:val="24"/>
          <w:highlight w:val="none"/>
          <w14:textFill>
            <w14:solidFill>
              <w14:schemeClr w14:val="tx1"/>
            </w14:solidFill>
          </w14:textFill>
        </w:rPr>
      </w:pPr>
    </w:p>
    <w:p>
      <w:pPr>
        <w:spacing w:line="440" w:lineRule="exact"/>
        <w:ind w:left="4578" w:hanging="4578" w:hangingChars="1900"/>
        <w:rPr>
          <w:rFonts w:ascii="宋体" w:hAnsi="宋体" w:cs="宋体"/>
          <w:b/>
          <w:bCs/>
          <w:color w:val="000000" w:themeColor="text1"/>
          <w:sz w:val="24"/>
          <w:highlight w:val="none"/>
          <w14:textFill>
            <w14:solidFill>
              <w14:schemeClr w14:val="tx1"/>
            </w14:solidFill>
          </w14:textFill>
        </w:rPr>
      </w:pPr>
    </w:p>
    <w:p>
      <w:pPr>
        <w:spacing w:line="440" w:lineRule="exact"/>
        <w:ind w:left="4578" w:hanging="4578" w:hangingChars="1900"/>
        <w:rPr>
          <w:rFonts w:ascii="宋体" w:hAnsi="宋体" w:cs="宋体"/>
          <w:b/>
          <w:bCs/>
          <w:color w:val="000000" w:themeColor="text1"/>
          <w:sz w:val="24"/>
          <w:highlight w:val="none"/>
          <w14:textFill>
            <w14:solidFill>
              <w14:schemeClr w14:val="tx1"/>
            </w14:solidFill>
          </w14:textFill>
        </w:rPr>
      </w:pPr>
    </w:p>
    <w:p>
      <w:pPr>
        <w:pStyle w:val="11"/>
        <w:rPr>
          <w:color w:val="000000" w:themeColor="text1"/>
          <w:highlight w:val="none"/>
          <w14:textFill>
            <w14:solidFill>
              <w14:schemeClr w14:val="tx1"/>
            </w14:solidFill>
          </w14:textFill>
        </w:rPr>
      </w:pPr>
    </w:p>
    <w:p>
      <w:pPr>
        <w:spacing w:line="440" w:lineRule="exact"/>
        <w:ind w:left="4578" w:hanging="4578" w:hangingChars="1900"/>
        <w:rPr>
          <w:rFonts w:ascii="宋体" w:hAnsi="宋体" w:cs="宋体"/>
          <w:b/>
          <w:bCs/>
          <w:color w:val="000000" w:themeColor="text1"/>
          <w:sz w:val="24"/>
          <w:highlight w:val="none"/>
          <w14:textFill>
            <w14:solidFill>
              <w14:schemeClr w14:val="tx1"/>
            </w14:solidFill>
          </w14:textFill>
        </w:rPr>
      </w:pPr>
    </w:p>
    <w:p>
      <w:pPr>
        <w:spacing w:line="440" w:lineRule="exact"/>
        <w:ind w:left="4578" w:hanging="4578" w:hangingChars="1900"/>
        <w:rPr>
          <w:rFonts w:ascii="宋体" w:hAnsi="宋体" w:cs="宋体"/>
          <w:b/>
          <w:bCs/>
          <w:color w:val="000000" w:themeColor="text1"/>
          <w:sz w:val="24"/>
          <w:highlight w:val="none"/>
          <w14:textFill>
            <w14:solidFill>
              <w14:schemeClr w14:val="tx1"/>
            </w14:solidFill>
          </w14:textFill>
        </w:rPr>
      </w:pPr>
    </w:p>
    <w:p>
      <w:pPr>
        <w:spacing w:beforeLines="50" w:afterLines="50" w:line="360" w:lineRule="auto"/>
        <w:jc w:val="center"/>
        <w:rPr>
          <w:rFonts w:hint="eastAsia" w:ascii="宋体" w:hAnsi="宋体"/>
          <w:b/>
          <w:color w:val="000000" w:themeColor="text1"/>
          <w:sz w:val="32"/>
          <w:szCs w:val="32"/>
          <w:highlight w:val="none"/>
          <w14:textFill>
            <w14:solidFill>
              <w14:schemeClr w14:val="tx1"/>
            </w14:solidFill>
          </w14:textFill>
        </w:rPr>
      </w:pPr>
    </w:p>
    <w:p>
      <w:pPr>
        <w:spacing w:beforeLines="50" w:afterLines="50"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二、法定代表人身份证明</w:t>
      </w:r>
    </w:p>
    <w:p>
      <w:pPr>
        <w:pStyle w:val="10"/>
        <w:spacing w:line="440" w:lineRule="exact"/>
        <w:ind w:firstLine="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w:t>
      </w:r>
    </w:p>
    <w:p>
      <w:pPr>
        <w:pStyle w:val="1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p>
    <w:p>
      <w:pPr>
        <w:pStyle w:val="1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单位性质：</w:t>
      </w:r>
    </w:p>
    <w:p>
      <w:pPr>
        <w:pStyle w:val="1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w:t>
      </w:r>
    </w:p>
    <w:p>
      <w:pPr>
        <w:pStyle w:val="1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成立时间：年月日</w:t>
      </w:r>
    </w:p>
    <w:p>
      <w:pPr>
        <w:pStyle w:val="1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经营期限：</w:t>
      </w:r>
    </w:p>
    <w:p>
      <w:pPr>
        <w:pStyle w:val="1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    名：性别：年龄：______</w:t>
      </w:r>
    </w:p>
    <w:p>
      <w:pPr>
        <w:pStyle w:val="10"/>
        <w:spacing w:line="440" w:lineRule="exact"/>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职务：系：</w:t>
      </w:r>
      <w:r>
        <w:rPr>
          <w:rFonts w:hint="eastAsia" w:ascii="宋体" w:hAnsi="宋体" w:cs="宋体"/>
          <w:color w:val="000000" w:themeColor="text1"/>
          <w:sz w:val="24"/>
          <w:szCs w:val="24"/>
          <w:highlight w:val="none"/>
          <w:u w:val="single"/>
          <w14:textFill>
            <w14:solidFill>
              <w14:schemeClr w14:val="tx1"/>
            </w14:solidFill>
          </w14:textFill>
        </w:rPr>
        <w:t xml:space="preserve">          (投标人单位名称)            </w:t>
      </w:r>
    </w:p>
    <w:p>
      <w:pPr>
        <w:pStyle w:val="1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的法定代表人。</w:t>
      </w:r>
    </w:p>
    <w:p>
      <w:pPr>
        <w:pStyle w:val="1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p>
    <w:p>
      <w:pPr>
        <w:pStyle w:val="1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特此证明</w:t>
      </w:r>
    </w:p>
    <w:p>
      <w:pPr>
        <w:pStyle w:val="1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p>
    <w:p>
      <w:pPr>
        <w:pStyle w:val="10"/>
        <w:spacing w:line="440" w:lineRule="exact"/>
        <w:ind w:firstLine="3700" w:firstLineChars="154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投标人(盖法人章)：</w:t>
      </w:r>
    </w:p>
    <w:p>
      <w:pPr>
        <w:pStyle w:val="10"/>
        <w:spacing w:line="440" w:lineRule="exact"/>
        <w:ind w:firstLine="3720" w:firstLineChars="15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   期：年月日</w:t>
      </w:r>
    </w:p>
    <w:p>
      <w:pPr>
        <w:pStyle w:val="10"/>
        <w:kinsoku w:val="0"/>
        <w:topLinePunct/>
        <w:autoSpaceDE w:val="0"/>
        <w:autoSpaceDN w:val="0"/>
        <w:snapToGrid w:val="0"/>
        <w:spacing w:before="100" w:beforeAutospacing="1" w:after="100" w:afterAutospacing="1" w:line="440" w:lineRule="exact"/>
        <w:ind w:right="210" w:firstLine="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（粘身份证复印件）</w:t>
      </w:r>
    </w:p>
    <w:p>
      <w:pPr>
        <w:spacing w:line="440" w:lineRule="exact"/>
        <w:ind w:left="4560" w:hanging="4560" w:hangingChars="1900"/>
        <w:rPr>
          <w:rFonts w:ascii="宋体" w:hAnsi="宋体" w:cs="宋体"/>
          <w:color w:val="000000" w:themeColor="text1"/>
          <w:sz w:val="24"/>
          <w:highlight w:val="none"/>
          <w14:textFill>
            <w14:solidFill>
              <w14:schemeClr w14:val="tx1"/>
            </w14:solidFill>
          </w14:textFill>
        </w:rPr>
      </w:pPr>
    </w:p>
    <w:p>
      <w:pPr>
        <w:spacing w:line="440" w:lineRule="exact"/>
        <w:ind w:left="4560" w:hanging="4560" w:hangingChars="1900"/>
        <w:rPr>
          <w:rFonts w:ascii="宋体" w:hAnsi="宋体" w:cs="宋体"/>
          <w:color w:val="000000" w:themeColor="text1"/>
          <w:sz w:val="24"/>
          <w:highlight w:val="none"/>
          <w14:textFill>
            <w14:solidFill>
              <w14:schemeClr w14:val="tx1"/>
            </w14:solidFill>
          </w14:textFill>
        </w:rPr>
      </w:pPr>
    </w:p>
    <w:p>
      <w:pPr>
        <w:spacing w:line="360" w:lineRule="auto"/>
        <w:ind w:firstLine="3920" w:firstLineChars="1400"/>
        <w:jc w:val="right"/>
        <w:rPr>
          <w:rFonts w:ascii="宋体" w:hAnsi="宋体"/>
          <w:color w:val="000000" w:themeColor="text1"/>
          <w:sz w:val="28"/>
          <w:szCs w:val="28"/>
          <w:highlight w:val="none"/>
          <w14:textFill>
            <w14:solidFill>
              <w14:schemeClr w14:val="tx1"/>
            </w14:solidFill>
          </w14:textFill>
        </w:rPr>
      </w:pPr>
    </w:p>
    <w:p>
      <w:pPr>
        <w:widowControl/>
        <w:spacing w:line="360" w:lineRule="auto"/>
        <w:outlineLvl w:val="0"/>
        <w:rPr>
          <w:rFonts w:ascii="宋体" w:hAnsi="宋体"/>
          <w:b/>
          <w:color w:val="000000" w:themeColor="text1"/>
          <w:sz w:val="32"/>
          <w:szCs w:val="32"/>
          <w:highlight w:val="none"/>
          <w14:textFill>
            <w14:solidFill>
              <w14:schemeClr w14:val="tx1"/>
            </w14:solidFill>
          </w14:textFill>
        </w:rPr>
        <w:sectPr>
          <w:pgSz w:w="11906" w:h="16838"/>
          <w:pgMar w:top="1440" w:right="1566" w:bottom="1440" w:left="1520" w:header="851" w:footer="992" w:gutter="0"/>
          <w:pgNumType w:fmt="numberInDash"/>
          <w:cols w:space="720" w:num="1"/>
          <w:docGrid w:type="lines" w:linePitch="312" w:charSpace="0"/>
        </w:sectPr>
      </w:pPr>
    </w:p>
    <w:p>
      <w:pPr>
        <w:widowControl/>
        <w:spacing w:beforeLines="50" w:afterLines="50"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三、</w:t>
      </w:r>
      <w:r>
        <w:rPr>
          <w:rFonts w:ascii="宋体" w:hAnsi="宋体"/>
          <w:b/>
          <w:color w:val="000000" w:themeColor="text1"/>
          <w:sz w:val="32"/>
          <w:szCs w:val="32"/>
          <w:highlight w:val="none"/>
          <w14:textFill>
            <w14:solidFill>
              <w14:schemeClr w14:val="tx1"/>
            </w14:solidFill>
          </w14:textFill>
        </w:rPr>
        <w:t>法定代表人委托书</w:t>
      </w:r>
    </w:p>
    <w:p>
      <w:pPr>
        <w:widowControl/>
        <w:spacing w:line="360" w:lineRule="auto"/>
        <w:jc w:val="center"/>
        <w:rPr>
          <w:rFonts w:ascii="宋体" w:hAnsi="宋体"/>
          <w:b/>
          <w:color w:val="000000" w:themeColor="text1"/>
          <w:sz w:val="32"/>
          <w:szCs w:val="32"/>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(说明：法定代表人参加投标，不用此委托书)</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皖北卫生</w:t>
      </w:r>
      <w:r>
        <w:rPr>
          <w:rFonts w:ascii="宋体" w:hAnsi="宋体"/>
          <w:color w:val="000000" w:themeColor="text1"/>
          <w:sz w:val="24"/>
          <w:highlight w:val="none"/>
          <w14:textFill>
            <w14:solidFill>
              <w14:schemeClr w14:val="tx1"/>
            </w14:solidFill>
          </w14:textFill>
        </w:rPr>
        <w:t>职业学院：</w:t>
      </w:r>
    </w:p>
    <w:p>
      <w:pPr>
        <w:spacing w:line="360" w:lineRule="auto"/>
        <w:ind w:firstLine="48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兹委托参加贵单位组织的项目招标活动，全权代表我单位处理有关事宜。附全权代表情况：</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姓名：       性别：        年龄：        职务：        </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电话：       传真：        邮政编码：   </w:t>
      </w:r>
    </w:p>
    <w:p>
      <w:pPr>
        <w:spacing w:line="360" w:lineRule="auto"/>
        <w:ind w:firstLine="48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身份证号码：               详细通讯地址：</w:t>
      </w:r>
    </w:p>
    <w:p>
      <w:pPr>
        <w:spacing w:line="360" w:lineRule="auto"/>
        <w:ind w:left="6540" w:leftChars="2600" w:hanging="1080" w:hangingChars="450"/>
        <w:rPr>
          <w:rFonts w:ascii="宋体" w:hAnsi="宋体"/>
          <w:color w:val="000000" w:themeColor="text1"/>
          <w:sz w:val="24"/>
          <w:highlight w:val="none"/>
          <w14:textFill>
            <w14:solidFill>
              <w14:schemeClr w14:val="tx1"/>
            </w14:solidFill>
          </w14:textFill>
        </w:rPr>
      </w:pPr>
    </w:p>
    <w:p>
      <w:pPr>
        <w:spacing w:line="360" w:lineRule="auto"/>
        <w:ind w:left="6540" w:leftChars="2600" w:hanging="1080" w:hangingChars="45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单位名称(公章)</w:t>
      </w:r>
      <w:r>
        <w:rPr>
          <w:rFonts w:hint="eastAsia" w:ascii="宋体" w:hAnsi="宋体"/>
          <w:color w:val="000000" w:themeColor="text1"/>
          <w:sz w:val="24"/>
          <w:highlight w:val="none"/>
          <w14:textFill>
            <w14:solidFill>
              <w14:schemeClr w14:val="tx1"/>
            </w14:solidFill>
          </w14:textFill>
        </w:rPr>
        <w:t>：</w:t>
      </w:r>
    </w:p>
    <w:p>
      <w:pPr>
        <w:spacing w:line="360" w:lineRule="auto"/>
        <w:ind w:left="6540" w:leftChars="2600" w:hanging="1080" w:hangingChars="45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法定代表人(签字)</w:t>
      </w:r>
      <w:r>
        <w:rPr>
          <w:rFonts w:hint="eastAsia" w:ascii="宋体" w:hAnsi="宋体"/>
          <w:color w:val="000000" w:themeColor="text1"/>
          <w:sz w:val="24"/>
          <w:highlight w:val="none"/>
          <w14:textFill>
            <w14:solidFill>
              <w14:schemeClr w14:val="tx1"/>
            </w14:solidFill>
          </w14:textFill>
        </w:rPr>
        <w:t>：</w:t>
      </w:r>
    </w:p>
    <w:p>
      <w:pPr>
        <w:spacing w:line="360" w:lineRule="auto"/>
        <w:jc w:val="righ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   期：</w:t>
      </w:r>
      <w:r>
        <w:rPr>
          <w:rFonts w:ascii="宋体" w:hAnsi="宋体"/>
          <w:color w:val="000000" w:themeColor="text1"/>
          <w:sz w:val="24"/>
          <w:highlight w:val="none"/>
          <w14:textFill>
            <w14:solidFill>
              <w14:schemeClr w14:val="tx1"/>
            </w14:solidFill>
          </w14:textFill>
        </w:rPr>
        <w:t>年     月     日</w:t>
      </w:r>
    </w:p>
    <w:p>
      <w:pPr>
        <w:ind w:firstLine="140" w:firstLineChars="5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附：身份证复印件</w:t>
      </w:r>
    </w:p>
    <w:p>
      <w:pPr>
        <w:spacing w:line="360" w:lineRule="auto"/>
        <w:ind w:left="5601" w:leftChars="2667"/>
        <w:rPr>
          <w:rFonts w:ascii="宋体" w:hAnsi="宋体"/>
          <w:color w:val="000000" w:themeColor="text1"/>
          <w:sz w:val="24"/>
          <w:highlight w:val="none"/>
          <w14:textFill>
            <w14:solidFill>
              <w14:schemeClr w14:val="tx1"/>
            </w14:solidFill>
          </w14:textFill>
        </w:rPr>
      </w:pPr>
    </w:p>
    <w:p>
      <w:pPr>
        <w:pStyle w:val="10"/>
        <w:kinsoku w:val="0"/>
        <w:topLinePunct/>
        <w:autoSpaceDE w:val="0"/>
        <w:autoSpaceDN w:val="0"/>
        <w:snapToGrid w:val="0"/>
        <w:spacing w:before="100" w:beforeAutospacing="1" w:after="100" w:afterAutospacing="1" w:line="360" w:lineRule="auto"/>
        <w:ind w:right="210" w:firstLine="0"/>
        <w:rPr>
          <w:rFonts w:ascii="宋体" w:hAnsi="宋体"/>
          <w:b/>
          <w:color w:val="000000" w:themeColor="text1"/>
          <w:sz w:val="32"/>
          <w:szCs w:val="32"/>
          <w:highlight w:val="none"/>
          <w14:textFill>
            <w14:solidFill>
              <w14:schemeClr w14:val="tx1"/>
            </w14:solidFill>
          </w14:textFill>
        </w:rPr>
      </w:pPr>
    </w:p>
    <w:p>
      <w:pPr>
        <w:pStyle w:val="10"/>
        <w:kinsoku w:val="0"/>
        <w:topLinePunct/>
        <w:autoSpaceDE w:val="0"/>
        <w:autoSpaceDN w:val="0"/>
        <w:snapToGrid w:val="0"/>
        <w:spacing w:before="100" w:beforeAutospacing="1" w:after="100" w:afterAutospacing="1" w:line="360" w:lineRule="auto"/>
        <w:ind w:right="210" w:firstLine="0"/>
        <w:rPr>
          <w:rFonts w:ascii="宋体" w:hAnsi="宋体"/>
          <w:b/>
          <w:color w:val="000000" w:themeColor="text1"/>
          <w:sz w:val="32"/>
          <w:szCs w:val="32"/>
          <w:highlight w:val="none"/>
          <w14:textFill>
            <w14:solidFill>
              <w14:schemeClr w14:val="tx1"/>
            </w14:solidFill>
          </w14:textFill>
        </w:rPr>
      </w:pPr>
    </w:p>
    <w:p>
      <w:pPr>
        <w:pStyle w:val="10"/>
        <w:kinsoku w:val="0"/>
        <w:topLinePunct/>
        <w:autoSpaceDE w:val="0"/>
        <w:autoSpaceDN w:val="0"/>
        <w:snapToGrid w:val="0"/>
        <w:spacing w:before="100" w:beforeAutospacing="1" w:after="100" w:afterAutospacing="1" w:line="360" w:lineRule="auto"/>
        <w:ind w:right="210" w:firstLine="0"/>
        <w:rPr>
          <w:rFonts w:ascii="宋体" w:hAnsi="宋体"/>
          <w:b/>
          <w:color w:val="000000" w:themeColor="text1"/>
          <w:sz w:val="32"/>
          <w:szCs w:val="32"/>
          <w:highlight w:val="none"/>
          <w14:textFill>
            <w14:solidFill>
              <w14:schemeClr w14:val="tx1"/>
            </w14:solidFill>
          </w14:textFill>
        </w:rPr>
      </w:pPr>
    </w:p>
    <w:p>
      <w:pPr>
        <w:pStyle w:val="10"/>
        <w:kinsoku w:val="0"/>
        <w:topLinePunct/>
        <w:autoSpaceDE w:val="0"/>
        <w:autoSpaceDN w:val="0"/>
        <w:snapToGrid w:val="0"/>
        <w:spacing w:before="100" w:beforeAutospacing="1" w:after="100" w:afterAutospacing="1" w:line="360" w:lineRule="auto"/>
        <w:ind w:right="210" w:firstLine="0"/>
        <w:rPr>
          <w:rFonts w:ascii="宋体" w:hAnsi="宋体"/>
          <w:b/>
          <w:color w:val="000000" w:themeColor="text1"/>
          <w:sz w:val="32"/>
          <w:szCs w:val="32"/>
          <w:highlight w:val="none"/>
          <w14:textFill>
            <w14:solidFill>
              <w14:schemeClr w14:val="tx1"/>
            </w14:solidFill>
          </w14:textFill>
        </w:rPr>
        <w:sectPr>
          <w:pgSz w:w="11906" w:h="16838"/>
          <w:pgMar w:top="1440" w:right="1586" w:bottom="1440" w:left="1500" w:header="851" w:footer="992" w:gutter="0"/>
          <w:pgNumType w:fmt="numberInDash"/>
          <w:cols w:space="720" w:num="1"/>
          <w:docGrid w:type="lines" w:linePitch="312" w:charSpace="0"/>
        </w:sectPr>
      </w:pPr>
    </w:p>
    <w:p>
      <w:pPr>
        <w:pStyle w:val="10"/>
        <w:kinsoku w:val="0"/>
        <w:topLinePunct/>
        <w:autoSpaceDE w:val="0"/>
        <w:autoSpaceDN w:val="0"/>
        <w:snapToGrid w:val="0"/>
        <w:spacing w:beforeLines="50" w:afterLines="50" w:line="360" w:lineRule="auto"/>
        <w:ind w:right="210" w:firstLine="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四、廉政承诺书</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一、为了保证皖北卫生职业学院公开招标活动的公平竞争，促进廉政建设，我公司承诺在参加学校采购活动时做到遵守法纪、法规和廉政建设各项规定，诚实守信，坚决拒绝商业贿赂，不发生如下不当行为：</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（一）不向采购组织方工作人员及其家庭成员提供以下不正当利益：</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1.以任何理由送给现金、有价证券、支付凭证和高档礼品；</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2.报销或支付应由其个人负担的费用；</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3.宴请或邀请去营业性娱乐场所活动； </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4.其它行贿及提供不正当利益的行为。</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（二）不和他人串通，或者利用不正当手段谋求中标。 </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（三）违反法律、法规和廉政规定，影响工程质量和供应质量</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二、我公司如实施了上述行为之一，自愿接受学校采购部门根据《政府采购法》及其相关法规给予的如下处罚：</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1.参加采购的成交无效；</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2.处以采购金额千分之五以上千分之十以下的罚款；</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3.对不良行为予以记录并公告；</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4.三年内禁止参加皖北卫生职业学院集中采购活动；</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5.情节严重的，报请有关部门依法追究相关责任。</w:t>
      </w:r>
    </w:p>
    <w:p>
      <w:pPr>
        <w:spacing w:line="500" w:lineRule="exact"/>
        <w:ind w:firstLine="6480" w:firstLineChars="2700"/>
        <w:rPr>
          <w:rFonts w:ascii="宋体" w:hAnsi="宋体"/>
          <w:color w:val="000000" w:themeColor="text1"/>
          <w:sz w:val="24"/>
          <w:highlight w:val="none"/>
          <w14:textFill>
            <w14:solidFill>
              <w14:schemeClr w14:val="tx1"/>
            </w14:solidFill>
          </w14:textFill>
        </w:rPr>
      </w:pPr>
    </w:p>
    <w:p>
      <w:pPr>
        <w:spacing w:line="500" w:lineRule="exact"/>
        <w:ind w:firstLine="6480" w:firstLineChars="2700"/>
        <w:rPr>
          <w:rFonts w:ascii="宋体" w:hAnsi="宋体"/>
          <w:color w:val="000000" w:themeColor="text1"/>
          <w:sz w:val="24"/>
          <w:highlight w:val="none"/>
          <w14:textFill>
            <w14:solidFill>
              <w14:schemeClr w14:val="tx1"/>
            </w14:solidFill>
          </w14:textFill>
        </w:rPr>
      </w:pPr>
    </w:p>
    <w:p>
      <w:pPr>
        <w:spacing w:line="500" w:lineRule="exact"/>
        <w:ind w:firstLine="6000" w:firstLineChars="2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 诺 人：</w:t>
      </w:r>
    </w:p>
    <w:p>
      <w:pPr>
        <w:spacing w:line="500" w:lineRule="exact"/>
        <w:ind w:firstLine="5040" w:firstLineChars="21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承诺单位（盖章）：</w:t>
      </w:r>
    </w:p>
    <w:p>
      <w:pPr>
        <w:spacing w:line="500" w:lineRule="exact"/>
        <w:ind w:firstLine="6240" w:firstLineChars="26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  年  月   日</w:t>
      </w:r>
    </w:p>
    <w:p>
      <w:pPr>
        <w:spacing w:line="500" w:lineRule="exact"/>
        <w:ind w:firstLine="480" w:firstLineChars="200"/>
        <w:rPr>
          <w:rFonts w:ascii="宋体" w:hAnsi="宋体"/>
          <w:color w:val="000000" w:themeColor="text1"/>
          <w:sz w:val="24"/>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spacing w:beforeLines="50" w:afterLines="5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br w:type="page"/>
      </w:r>
      <w:bookmarkStart w:id="200" w:name="_Toc172597285"/>
      <w:bookmarkStart w:id="201" w:name="_Toc155661878"/>
      <w:bookmarkStart w:id="202" w:name="_Toc84297300"/>
      <w:r>
        <w:rPr>
          <w:rFonts w:hint="eastAsia" w:ascii="宋体" w:hAnsi="宋体"/>
          <w:b/>
          <w:color w:val="000000" w:themeColor="text1"/>
          <w:sz w:val="32"/>
          <w:szCs w:val="32"/>
          <w:highlight w:val="none"/>
          <w14:textFill>
            <w14:solidFill>
              <w14:schemeClr w14:val="tx1"/>
            </w14:solidFill>
          </w14:textFill>
        </w:rPr>
        <w:t>五、投标人资质材及投标人认为需要提供的其他材料</w:t>
      </w:r>
    </w:p>
    <w:p>
      <w:pPr>
        <w:spacing w:line="360" w:lineRule="auto"/>
        <w:jc w:val="center"/>
        <w:rPr>
          <w:rFonts w:ascii="宋体" w:hAnsi="宋体"/>
          <w:color w:val="000000" w:themeColor="text1"/>
          <w:sz w:val="24"/>
          <w:highlight w:val="none"/>
          <w14:textFill>
            <w14:solidFill>
              <w14:schemeClr w14:val="tx1"/>
            </w14:solidFill>
          </w14:textFill>
        </w:rPr>
      </w:pPr>
    </w:p>
    <w:p>
      <w:pPr>
        <w:spacing w:line="360" w:lineRule="auto"/>
        <w:jc w:val="center"/>
        <w:rPr>
          <w:rFonts w:ascii="宋体" w:hAnsi="宋体"/>
          <w:color w:val="000000" w:themeColor="text1"/>
          <w:sz w:val="24"/>
          <w:highlight w:val="none"/>
          <w14:textFill>
            <w14:solidFill>
              <w14:schemeClr w14:val="tx1"/>
            </w14:solidFill>
          </w14:textFill>
        </w:rPr>
      </w:pPr>
    </w:p>
    <w:p>
      <w:pPr>
        <w:spacing w:beforeLines="50" w:afterLines="5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六、技术支持方案</w:t>
      </w:r>
    </w:p>
    <w:p>
      <w:pPr>
        <w:spacing w:line="360" w:lineRule="auto"/>
        <w:jc w:val="center"/>
        <w:rPr>
          <w:rFonts w:ascii="宋体" w:hAnsi="宋体"/>
          <w:color w:val="000000" w:themeColor="text1"/>
          <w:sz w:val="24"/>
          <w:highlight w:val="none"/>
          <w14:textFill>
            <w14:solidFill>
              <w14:schemeClr w14:val="tx1"/>
            </w14:solidFill>
          </w14:textFill>
        </w:rPr>
      </w:pPr>
    </w:p>
    <w:p>
      <w:pPr>
        <w:spacing w:line="360" w:lineRule="auto"/>
        <w:jc w:val="center"/>
        <w:rPr>
          <w:rFonts w:ascii="宋体" w:hAnsi="宋体"/>
          <w:color w:val="000000" w:themeColor="text1"/>
          <w:sz w:val="24"/>
          <w:highlight w:val="none"/>
          <w14:textFill>
            <w14:solidFill>
              <w14:schemeClr w14:val="tx1"/>
            </w14:solidFill>
          </w14:textFill>
        </w:rPr>
      </w:pPr>
    </w:p>
    <w:bookmarkEnd w:id="200"/>
    <w:bookmarkEnd w:id="201"/>
    <w:bookmarkEnd w:id="202"/>
    <w:p>
      <w:pPr>
        <w:jc w:val="center"/>
        <w:rPr>
          <w:rFonts w:ascii="宋体" w:hAnsi="宋体"/>
          <w:b/>
          <w:color w:val="000000" w:themeColor="text1"/>
          <w:sz w:val="32"/>
          <w:szCs w:val="32"/>
          <w:highlight w:val="none"/>
          <w14:textFill>
            <w14:solidFill>
              <w14:schemeClr w14:val="tx1"/>
            </w14:solidFill>
          </w14:textFill>
        </w:rPr>
      </w:pPr>
    </w:p>
    <w:p>
      <w:pPr>
        <w:spacing w:beforeLines="50" w:afterLines="50"/>
        <w:jc w:val="center"/>
        <w:rPr>
          <w:rFonts w:ascii="宋体" w:hAnsi="宋体"/>
          <w:b/>
          <w:color w:val="000000" w:themeColor="text1"/>
          <w:sz w:val="32"/>
          <w:szCs w:val="32"/>
          <w:highlight w:val="none"/>
          <w14:textFill>
            <w14:solidFill>
              <w14:schemeClr w14:val="tx1"/>
            </w14:solidFill>
          </w14:textFill>
        </w:rPr>
        <w:sectPr>
          <w:pgSz w:w="11906" w:h="16838"/>
          <w:pgMar w:top="1440" w:right="1586" w:bottom="1440" w:left="1500" w:header="851" w:footer="992" w:gutter="0"/>
          <w:pgNumType w:fmt="numberInDash"/>
          <w:cols w:space="720" w:num="1"/>
          <w:docGrid w:type="lines" w:linePitch="312" w:charSpace="0"/>
        </w:sectPr>
      </w:pPr>
    </w:p>
    <w:p>
      <w:pPr>
        <w:spacing w:beforeLines="50" w:afterLines="50" w:line="40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七、服务承诺书</w:t>
      </w:r>
    </w:p>
    <w:p>
      <w:pPr>
        <w:spacing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致：皖北卫生职业学院</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如果我单位中标经营贵院食堂，在经营期间我司承诺如下事项：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、严格遵守《中华人民共和国食品安全法》、《中华人民共和国劳动法》、《学校食品安全与营养健康管理规定》及皖北卫生职业学院各项管理制度等规章制度。</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、具备高校食堂经营的准入条件。</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、承诺维护保管好学校的资产，不随意改动房屋结构和设施位置；</w:t>
      </w:r>
      <w:r>
        <w:rPr>
          <w:rFonts w:hint="eastAsia" w:ascii="宋体" w:hAnsi="宋体"/>
          <w:b/>
          <w:bCs/>
          <w:color w:val="000000" w:themeColor="text1"/>
          <w:sz w:val="24"/>
          <w:highlight w:val="none"/>
          <w14:textFill>
            <w14:solidFill>
              <w14:schemeClr w14:val="tx1"/>
            </w14:solidFill>
          </w14:textFill>
        </w:rPr>
        <w:t>不在操作功能区以外的地方增设摊位和售卖点；</w:t>
      </w:r>
      <w:r>
        <w:rPr>
          <w:rFonts w:hint="eastAsia" w:ascii="宋体" w:hAnsi="宋体"/>
          <w:color w:val="000000" w:themeColor="text1"/>
          <w:sz w:val="24"/>
          <w:highlight w:val="none"/>
          <w14:textFill>
            <w14:solidFill>
              <w14:schemeClr w14:val="tx1"/>
            </w14:solidFill>
          </w14:textFill>
        </w:rPr>
        <w:t>不占用食堂外围搞其他经营项目；不将经营场地分包、转包、转租、转让、分租；不私自增设大功率的电器或私自改动电线路。</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、承诺办理有效餐饮服务许可证，到期及时验证换证。所有从事食品生产、经营和销售的人员必须持合法、有效的健康证，并经卫生知识培训合格；经营期间内不更换食堂项目经理；更换食堂项目经理时至少提前</w:t>
      </w:r>
      <w:r>
        <w:rPr>
          <w:rFonts w:ascii="宋体" w:hAnsi="宋体"/>
          <w:color w:val="000000" w:themeColor="text1"/>
          <w:sz w:val="24"/>
          <w:highlight w:val="none"/>
          <w14:textFill>
            <w14:solidFill>
              <w14:schemeClr w14:val="tx1"/>
            </w14:solidFill>
          </w14:textFill>
        </w:rPr>
        <w:t>15</w:t>
      </w:r>
      <w:r>
        <w:rPr>
          <w:rFonts w:hint="eastAsia" w:ascii="宋体" w:hAnsi="宋体"/>
          <w:color w:val="000000" w:themeColor="text1"/>
          <w:sz w:val="24"/>
          <w:highlight w:val="none"/>
          <w14:textFill>
            <w14:solidFill>
              <w14:schemeClr w14:val="tx1"/>
            </w14:solidFill>
          </w14:textFill>
        </w:rPr>
        <w:t>天告知校方。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提交详细的食堂经营服务方案，有完整的组织机构和健全的规章制度，包括财务管理、人事管理、价格管理、工作规范、安全防患、卫生保障、用工培训、社保福利、民主管理、文明服务、物资采购、质量监督等制度；</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、承诺所购主料、辅料必须有商家有效证件、电话号码、经营地址、产品检验合格证或者化验单。不采用霉烂、变质或不新鲜的食物和三无（无生产厂家、无生产日期、无保质期）成品原料。</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、承诺如经营中出现食物中毒或人为事故，则承担经济、行政、法律等全部责任，以及患者抢救治疗的一切费用及善后工作的费用。</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、承诺配合学校对饮食质量、成本等的核算检查工作，承诺</w:t>
      </w:r>
      <w:r>
        <w:rPr>
          <w:rFonts w:hint="eastAsia" w:ascii="宋体" w:hAnsi="宋体"/>
          <w:color w:val="000000" w:themeColor="text1"/>
          <w:sz w:val="24"/>
          <w:highlight w:val="none"/>
          <w14:textFill>
            <w14:solidFill>
              <w14:schemeClr w14:val="tx1"/>
            </w14:solidFill>
          </w14:textFill>
        </w:rPr>
        <w:t>不使用转基因食品，使用一卡通售卖，建设智慧食堂，明码标价，</w:t>
      </w:r>
      <w:r>
        <w:rPr>
          <w:rFonts w:hint="eastAsia" w:ascii="宋体" w:hAnsi="宋体"/>
          <w:color w:val="000000" w:themeColor="text1"/>
          <w:sz w:val="24"/>
          <w:highlight w:val="none"/>
          <w14:textFill>
            <w14:solidFill>
              <w14:schemeClr w14:val="tx1"/>
            </w14:solidFill>
          </w14:textFill>
        </w:rPr>
        <w:t>未经学校同意不擅自调高各种主副食品的价格。</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、承诺自觉维护校园的和谐稳定，维护学校的荣誉，积极配合校方迎接上级教育、卫生部门的检查工作，确保检查顺利通过。</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、承诺经营亏损风险由经营方承担，经营方不得以国家、省、市政策规定之外的任何理由向学校申请减免费用。</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w:t>
      </w:r>
      <w:r>
        <w:rPr>
          <w:rFonts w:hint="eastAsia" w:ascii="宋体" w:hAnsi="宋体"/>
          <w:color w:val="000000" w:themeColor="text1"/>
          <w:sz w:val="24"/>
          <w:highlight w:val="none"/>
          <w14:textFill>
            <w14:solidFill>
              <w14:schemeClr w14:val="tx1"/>
            </w14:solidFill>
          </w14:textFill>
        </w:rPr>
        <w:t>、承诺在收到中标通知书</w:t>
      </w: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个工作日内与校方签订经营合同，并提交履约保证金及在规定的时间内完成交接、各项投入、装备及其他开餐准备工作。</w:t>
      </w:r>
    </w:p>
    <w:p>
      <w:pPr>
        <w:spacing w:line="400" w:lineRule="exact"/>
        <w:ind w:firstLine="480" w:firstLineChars="200"/>
        <w:rPr>
          <w:rFonts w:ascii="宋体" w:hAnsi="宋体"/>
          <w:color w:val="000000" w:themeColor="text1"/>
          <w:sz w:val="24"/>
          <w:highlight w:val="none"/>
          <w14:textFill>
            <w14:solidFill>
              <w14:schemeClr w14:val="tx1"/>
            </w14:solidFill>
          </w14:textFill>
        </w:rPr>
      </w:pPr>
    </w:p>
    <w:p>
      <w:pPr>
        <w:spacing w:line="400" w:lineRule="exact"/>
        <w:rPr>
          <w:rFonts w:ascii="宋体" w:hAnsi="宋体"/>
          <w:color w:val="000000" w:themeColor="text1"/>
          <w:sz w:val="24"/>
          <w:highlight w:val="none"/>
          <w14:textFill>
            <w14:solidFill>
              <w14:schemeClr w14:val="tx1"/>
            </w14:solidFill>
          </w14:textFill>
        </w:rPr>
      </w:pPr>
    </w:p>
    <w:p>
      <w:pPr>
        <w:spacing w:line="400" w:lineRule="exact"/>
        <w:ind w:firstLine="4560" w:firstLineChars="19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承诺人（单位公章）：</w:t>
      </w:r>
    </w:p>
    <w:p>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法定代表人或授权代表（签字）：</w:t>
      </w:r>
    </w:p>
    <w:p>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  期： 年  月   日</w:t>
      </w:r>
    </w:p>
    <w:p>
      <w:pPr>
        <w:spacing w:beforeLines="50" w:afterLines="50"/>
        <w:rPr>
          <w:rFonts w:ascii="宋体" w:hAnsi="宋体"/>
          <w:b/>
          <w:color w:val="000000" w:themeColor="text1"/>
          <w:sz w:val="32"/>
          <w:szCs w:val="32"/>
          <w:highlight w:val="none"/>
          <w14:textFill>
            <w14:solidFill>
              <w14:schemeClr w14:val="tx1"/>
            </w14:solidFill>
          </w14:textFill>
        </w:rPr>
        <w:sectPr>
          <w:pgSz w:w="11906" w:h="16838"/>
          <w:pgMar w:top="1440" w:right="1586" w:bottom="1440" w:left="1500" w:header="851" w:footer="992" w:gutter="0"/>
          <w:pgNumType w:fmt="numberInDash"/>
          <w:cols w:space="720" w:num="1"/>
          <w:docGrid w:type="lines" w:linePitch="312" w:charSpace="0"/>
        </w:sectPr>
      </w:pPr>
    </w:p>
    <w:p>
      <w:pPr>
        <w:spacing w:beforeLines="50" w:afterLines="5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八、投标报价书</w:t>
      </w:r>
    </w:p>
    <w:p>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投标报价书（单独密封）</w:t>
      </w:r>
    </w:p>
    <w:p>
      <w:pPr>
        <w:rPr>
          <w:rFonts w:ascii="宋体" w:hAnsi="宋体"/>
          <w:b/>
          <w:color w:val="000000" w:themeColor="text1"/>
          <w:sz w:val="28"/>
          <w:szCs w:val="28"/>
          <w:highlight w:val="none"/>
          <w14:textFill>
            <w14:solidFill>
              <w14:schemeClr w14:val="tx1"/>
            </w14:solidFill>
          </w14:textFill>
        </w:rPr>
      </w:pPr>
    </w:p>
    <w:p>
      <w:pPr>
        <w:adjustRightInd w:val="0"/>
        <w:snapToGrid w:val="0"/>
        <w:rPr>
          <w:rFonts w:ascii="宋体" w:hAnsi="宋体" w:cs="Arial"/>
          <w:b/>
          <w:color w:val="000000" w:themeColor="text1"/>
          <w:sz w:val="32"/>
          <w:szCs w:val="32"/>
          <w:highlight w:val="none"/>
          <w14:textFill>
            <w14:solidFill>
              <w14:schemeClr w14:val="tx1"/>
            </w14:solidFill>
          </w14:textFill>
        </w:rPr>
      </w:pPr>
      <w:r>
        <w:rPr>
          <w:rFonts w:hint="eastAsia" w:ascii="宋体" w:hAnsi="宋体" w:cs="Arial"/>
          <w:b/>
          <w:color w:val="000000" w:themeColor="text1"/>
          <w:sz w:val="32"/>
          <w:szCs w:val="32"/>
          <w:highlight w:val="none"/>
          <w14:textFill>
            <w14:solidFill>
              <w14:schemeClr w14:val="tx1"/>
            </w14:solidFill>
          </w14:textFill>
        </w:rPr>
        <w:t>致：皖北卫生职业学院</w:t>
      </w:r>
    </w:p>
    <w:p>
      <w:pPr>
        <w:adjustRightInd w:val="0"/>
        <w:snapToGrid w:val="0"/>
        <w:spacing w:line="720" w:lineRule="auto"/>
        <w:rPr>
          <w:rFonts w:ascii="宋体" w:hAnsi="宋体" w:cs="Arial"/>
          <w:b/>
          <w:color w:val="000000" w:themeColor="text1"/>
          <w:sz w:val="28"/>
          <w:szCs w:val="28"/>
          <w:highlight w:val="none"/>
          <w14:textFill>
            <w14:solidFill>
              <w14:schemeClr w14:val="tx1"/>
            </w14:solidFill>
          </w14:textFill>
        </w:rPr>
      </w:pPr>
    </w:p>
    <w:p>
      <w:pPr>
        <w:adjustRightInd w:val="0"/>
        <w:snapToGrid w:val="0"/>
        <w:spacing w:line="360" w:lineRule="auto"/>
        <w:ind w:firstLine="522" w:firstLineChars="200"/>
        <w:rPr>
          <w:rFonts w:ascii="宋体" w:hAnsi="宋体"/>
          <w:b/>
          <w:color w:val="000000" w:themeColor="text1"/>
          <w:sz w:val="28"/>
          <w:szCs w:val="28"/>
          <w:highlight w:val="none"/>
          <w14:textFill>
            <w14:solidFill>
              <w14:schemeClr w14:val="tx1"/>
            </w14:solidFill>
          </w14:textFill>
        </w:rPr>
      </w:pPr>
      <w:r>
        <w:rPr>
          <w:rFonts w:hint="eastAsia" w:ascii="宋体" w:hAnsi="宋体" w:cs="Arial"/>
          <w:color w:val="000000" w:themeColor="text1"/>
          <w:sz w:val="28"/>
          <w:szCs w:val="28"/>
          <w:highlight w:val="none"/>
          <w14:textFill>
            <w14:solidFill>
              <w14:schemeClr w14:val="tx1"/>
            </w14:solidFill>
          </w14:textFill>
        </w:rPr>
        <w:t>根据贵方的要求，授权代表经授权并代表报价方对本项目合同期内学校投资装饰装修与设备管理投资，及缴纳水资源管理费、污水处理费、垃圾清运及垃圾处理费、水电管理费（不含水电费）、食品卫生监督费、校园一卡通系统及明厨亮灶监控维护维修费、饮食文化活动及其公共建设费等上浮费用：</w:t>
      </w:r>
    </w:p>
    <w:p>
      <w:pPr>
        <w:adjustRightInd w:val="0"/>
        <w:snapToGrid w:val="0"/>
        <w:spacing w:line="440" w:lineRule="exact"/>
        <w:rPr>
          <w:rFonts w:ascii="宋体" w:hAnsi="宋体"/>
          <w:b/>
          <w:color w:val="000000" w:themeColor="text1"/>
          <w:sz w:val="28"/>
          <w:szCs w:val="28"/>
          <w:highlight w:val="none"/>
          <w14:textFill>
            <w14:solidFill>
              <w14:schemeClr w14:val="tx1"/>
            </w14:solidFill>
          </w14:textFill>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968"/>
        <w:gridCol w:w="2574"/>
        <w:gridCol w:w="1215"/>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007" w:type="dxa"/>
            <w:vAlign w:val="center"/>
          </w:tcPr>
          <w:p>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序号</w:t>
            </w:r>
          </w:p>
        </w:tc>
        <w:tc>
          <w:tcPr>
            <w:tcW w:w="2968" w:type="dxa"/>
            <w:vAlign w:val="center"/>
          </w:tcPr>
          <w:p>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商务竞争名称</w:t>
            </w:r>
          </w:p>
        </w:tc>
        <w:tc>
          <w:tcPr>
            <w:tcW w:w="2574" w:type="dxa"/>
            <w:vAlign w:val="center"/>
          </w:tcPr>
          <w:p>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上浮费用</w:t>
            </w:r>
          </w:p>
        </w:tc>
        <w:tc>
          <w:tcPr>
            <w:tcW w:w="1215" w:type="dxa"/>
            <w:vAlign w:val="center"/>
          </w:tcPr>
          <w:p>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总得分</w:t>
            </w:r>
          </w:p>
        </w:tc>
        <w:tc>
          <w:tcPr>
            <w:tcW w:w="1556" w:type="dxa"/>
            <w:vAlign w:val="center"/>
          </w:tcPr>
          <w:p>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007" w:type="dxa"/>
            <w:vAlign w:val="center"/>
          </w:tcPr>
          <w:p>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1</w:t>
            </w:r>
          </w:p>
        </w:tc>
        <w:tc>
          <w:tcPr>
            <w:tcW w:w="2968" w:type="dxa"/>
            <w:vAlign w:val="center"/>
          </w:tcPr>
          <w:p>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投资装饰装修与设备费用</w:t>
            </w:r>
          </w:p>
        </w:tc>
        <w:tc>
          <w:tcPr>
            <w:tcW w:w="2574" w:type="dxa"/>
            <w:vAlign w:val="center"/>
          </w:tcPr>
          <w:p>
            <w:pPr>
              <w:jc w:val="center"/>
              <w:rPr>
                <w:rFonts w:ascii="宋体" w:hAnsi="宋体"/>
                <w:b/>
                <w:bCs/>
                <w:color w:val="000000" w:themeColor="text1"/>
                <w:kern w:val="0"/>
                <w:szCs w:val="21"/>
                <w:highlight w:val="none"/>
                <w14:textFill>
                  <w14:solidFill>
                    <w14:schemeClr w14:val="tx1"/>
                  </w14:solidFill>
                </w14:textFill>
              </w:rPr>
            </w:pPr>
          </w:p>
        </w:tc>
        <w:tc>
          <w:tcPr>
            <w:tcW w:w="1215" w:type="dxa"/>
            <w:vAlign w:val="center"/>
          </w:tcPr>
          <w:p>
            <w:pPr>
              <w:jc w:val="center"/>
              <w:rPr>
                <w:rFonts w:ascii="宋体" w:hAnsi="宋体"/>
                <w:b/>
                <w:bCs/>
                <w:color w:val="000000" w:themeColor="text1"/>
                <w:kern w:val="0"/>
                <w:szCs w:val="21"/>
                <w:highlight w:val="none"/>
                <w14:textFill>
                  <w14:solidFill>
                    <w14:schemeClr w14:val="tx1"/>
                  </w14:solidFill>
                </w14:textFill>
              </w:rPr>
            </w:pPr>
          </w:p>
        </w:tc>
        <w:tc>
          <w:tcPr>
            <w:tcW w:w="1556" w:type="dxa"/>
            <w:vAlign w:val="center"/>
          </w:tcPr>
          <w:p>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低于100万</w:t>
            </w:r>
            <w:r>
              <w:rPr>
                <w:rFonts w:hint="eastAsia" w:ascii="宋体" w:hAnsi="宋体"/>
                <w:b/>
                <w:bCs/>
                <w:color w:val="000000" w:themeColor="text1"/>
                <w:kern w:val="0"/>
                <w:szCs w:val="21"/>
                <w:highlight w:val="none"/>
                <w:lang w:val="en-US" w:eastAsia="zh-CN"/>
                <w14:textFill>
                  <w14:solidFill>
                    <w14:schemeClr w14:val="tx1"/>
                  </w14:solidFill>
                </w14:textFill>
              </w:rPr>
              <w:t>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07" w:type="dxa"/>
            <w:vAlign w:val="center"/>
          </w:tcPr>
          <w:p>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2</w:t>
            </w:r>
          </w:p>
        </w:tc>
        <w:tc>
          <w:tcPr>
            <w:tcW w:w="2968" w:type="dxa"/>
            <w:vAlign w:val="center"/>
          </w:tcPr>
          <w:p>
            <w:pPr>
              <w:jc w:val="center"/>
              <w:rPr>
                <w:rFonts w:ascii="宋体" w:hAnsi="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水资源管理费、污水处理费、垃圾清运及垃圾处理费等费用</w:t>
            </w:r>
          </w:p>
        </w:tc>
        <w:tc>
          <w:tcPr>
            <w:tcW w:w="2574" w:type="dxa"/>
            <w:vAlign w:val="center"/>
          </w:tcPr>
          <w:p>
            <w:pPr>
              <w:jc w:val="center"/>
              <w:rPr>
                <w:rFonts w:ascii="宋体" w:hAnsi="宋体"/>
                <w:b/>
                <w:bCs/>
                <w:color w:val="000000" w:themeColor="text1"/>
                <w:kern w:val="0"/>
                <w:szCs w:val="21"/>
                <w:highlight w:val="none"/>
                <w14:textFill>
                  <w14:solidFill>
                    <w14:schemeClr w14:val="tx1"/>
                  </w14:solidFill>
                </w14:textFill>
              </w:rPr>
            </w:pPr>
          </w:p>
        </w:tc>
        <w:tc>
          <w:tcPr>
            <w:tcW w:w="1215" w:type="dxa"/>
            <w:vAlign w:val="center"/>
          </w:tcPr>
          <w:p>
            <w:pPr>
              <w:jc w:val="center"/>
              <w:rPr>
                <w:rFonts w:ascii="宋体" w:hAnsi="宋体"/>
                <w:b/>
                <w:bCs/>
                <w:color w:val="000000" w:themeColor="text1"/>
                <w:kern w:val="0"/>
                <w:szCs w:val="21"/>
                <w:highlight w:val="none"/>
                <w14:textFill>
                  <w14:solidFill>
                    <w14:schemeClr w14:val="tx1"/>
                  </w14:solidFill>
                </w14:textFill>
              </w:rPr>
            </w:pPr>
          </w:p>
        </w:tc>
        <w:tc>
          <w:tcPr>
            <w:tcW w:w="1556" w:type="dxa"/>
            <w:vAlign w:val="center"/>
          </w:tcPr>
          <w:p>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低于</w:t>
            </w:r>
            <w:r>
              <w:rPr>
                <w:rFonts w:hint="eastAsia" w:ascii="宋体" w:hAnsi="宋体"/>
                <w:b/>
                <w:bCs/>
                <w:color w:val="000000" w:themeColor="text1"/>
                <w:kern w:val="0"/>
                <w:szCs w:val="21"/>
                <w:highlight w:val="none"/>
                <w:lang w:val="en-US" w:eastAsia="zh-CN"/>
                <w14:textFill>
                  <w14:solidFill>
                    <w14:schemeClr w14:val="tx1"/>
                  </w14:solidFill>
                </w14:textFill>
              </w:rPr>
              <w:t>2</w:t>
            </w:r>
            <w:r>
              <w:rPr>
                <w:rFonts w:hint="eastAsia" w:ascii="宋体" w:hAnsi="宋体"/>
                <w:b/>
                <w:bCs/>
                <w:color w:val="000000" w:themeColor="text1"/>
                <w:kern w:val="0"/>
                <w:szCs w:val="21"/>
                <w:highlight w:val="none"/>
                <w14:textFill>
                  <w14:solidFill>
                    <w14:schemeClr w14:val="tx1"/>
                  </w14:solidFill>
                </w14:textFill>
              </w:rPr>
              <w:t>0万</w:t>
            </w:r>
            <w:r>
              <w:rPr>
                <w:rFonts w:hint="eastAsia" w:ascii="宋体" w:hAnsi="宋体"/>
                <w:b/>
                <w:bCs/>
                <w:color w:val="000000" w:themeColor="text1"/>
                <w:kern w:val="0"/>
                <w:szCs w:val="21"/>
                <w:highlight w:val="none"/>
                <w:lang w:val="en-US" w:eastAsia="zh-CN"/>
                <w14:textFill>
                  <w14:solidFill>
                    <w14:schemeClr w14:val="tx1"/>
                  </w14:solidFill>
                </w14:textFill>
              </w:rPr>
              <w:t>为无效标</w:t>
            </w:r>
          </w:p>
        </w:tc>
      </w:tr>
    </w:tbl>
    <w:p>
      <w:pPr>
        <w:spacing w:line="500" w:lineRule="exact"/>
        <w:rPr>
          <w:rFonts w:ascii="宋体" w:hAnsi="宋体" w:cs="宋体"/>
          <w:bCs/>
          <w:color w:val="000000" w:themeColor="text1"/>
          <w:kern w:val="0"/>
          <w:sz w:val="24"/>
          <w:highlight w:val="none"/>
          <w14:textFill>
            <w14:solidFill>
              <w14:schemeClr w14:val="tx1"/>
            </w14:solidFill>
          </w14:textFill>
        </w:rPr>
      </w:pPr>
    </w:p>
    <w:p>
      <w:pPr>
        <w:adjustRightInd w:val="0"/>
        <w:snapToGrid w:val="0"/>
        <w:spacing w:line="440" w:lineRule="exact"/>
        <w:rPr>
          <w:rFonts w:ascii="宋体" w:hAnsi="宋体"/>
          <w:b/>
          <w:color w:val="000000" w:themeColor="text1"/>
          <w:sz w:val="28"/>
          <w:szCs w:val="28"/>
          <w:highlight w:val="none"/>
          <w14:textFill>
            <w14:solidFill>
              <w14:schemeClr w14:val="tx1"/>
            </w14:solidFill>
          </w14:textFill>
        </w:rPr>
      </w:pPr>
    </w:p>
    <w:p>
      <w:pPr>
        <w:adjustRightInd w:val="0"/>
        <w:snapToGrid w:val="0"/>
        <w:spacing w:line="440" w:lineRule="exact"/>
        <w:rPr>
          <w:rFonts w:ascii="宋体" w:hAnsi="宋体"/>
          <w:b/>
          <w:color w:val="000000" w:themeColor="text1"/>
          <w:sz w:val="28"/>
          <w:szCs w:val="28"/>
          <w:highlight w:val="none"/>
          <w14:textFill>
            <w14:solidFill>
              <w14:schemeClr w14:val="tx1"/>
            </w14:solidFill>
          </w14:textFill>
        </w:rPr>
      </w:pPr>
    </w:p>
    <w:p>
      <w:pPr>
        <w:adjustRightInd w:val="0"/>
        <w:snapToGrid w:val="0"/>
        <w:spacing w:line="440" w:lineRule="exact"/>
        <w:rPr>
          <w:rFonts w:ascii="宋体" w:hAnsi="宋体"/>
          <w:b/>
          <w:color w:val="000000" w:themeColor="text1"/>
          <w:sz w:val="28"/>
          <w:szCs w:val="28"/>
          <w:highlight w:val="none"/>
          <w14:textFill>
            <w14:solidFill>
              <w14:schemeClr w14:val="tx1"/>
            </w14:solidFill>
          </w14:textFill>
        </w:rPr>
      </w:pPr>
    </w:p>
    <w:p>
      <w:pPr>
        <w:adjustRightInd w:val="0"/>
        <w:snapToGrid w:val="0"/>
        <w:spacing w:line="440" w:lineRule="exact"/>
        <w:ind w:firstLine="3654" w:firstLineChars="140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 xml:space="preserve">  投标报价单位（公章）：</w:t>
      </w:r>
    </w:p>
    <w:p>
      <w:pPr>
        <w:adjustRightInd w:val="0"/>
        <w:snapToGrid w:val="0"/>
        <w:spacing w:line="440" w:lineRule="exact"/>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 xml:space="preserve">                        法定代表人或授权代表（签字）：</w:t>
      </w:r>
    </w:p>
    <w:p>
      <w:pPr>
        <w:adjustRightInd w:val="0"/>
        <w:snapToGrid w:val="0"/>
        <w:spacing w:line="440" w:lineRule="exact"/>
        <w:rPr>
          <w:color w:val="000000" w:themeColor="text1"/>
          <w:sz w:val="44"/>
          <w:szCs w:val="44"/>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 xml:space="preserve">                                    日期：</w:t>
      </w:r>
    </w:p>
    <w:p>
      <w:pPr>
        <w:jc w:val="center"/>
        <w:rPr>
          <w:rFonts w:hint="eastAsia" w:ascii="宋体" w:hAnsi="宋体"/>
          <w:b/>
          <w:color w:val="000000" w:themeColor="text1"/>
          <w:sz w:val="32"/>
          <w:szCs w:val="32"/>
          <w:highlight w:val="none"/>
          <w14:textFill>
            <w14:solidFill>
              <w14:schemeClr w14:val="tx1"/>
            </w14:solidFill>
          </w14:textFill>
        </w:rPr>
      </w:pPr>
    </w:p>
    <w:p>
      <w:pPr>
        <w:jc w:val="center"/>
        <w:rPr>
          <w:rFonts w:hint="eastAsia"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投标报价书（单独密封）</w:t>
      </w:r>
    </w:p>
    <w:p>
      <w:pPr>
        <w:adjustRightInd w:val="0"/>
        <w:snapToGrid w:val="0"/>
        <w:rPr>
          <w:rFonts w:ascii="宋体" w:hAnsi="宋体" w:cs="Arial"/>
          <w:b/>
          <w:color w:val="000000" w:themeColor="text1"/>
          <w:sz w:val="24"/>
          <w:szCs w:val="24"/>
          <w:highlight w:val="none"/>
          <w14:textFill>
            <w14:solidFill>
              <w14:schemeClr w14:val="tx1"/>
            </w14:solidFill>
          </w14:textFill>
        </w:rPr>
      </w:pPr>
      <w:r>
        <w:rPr>
          <w:rFonts w:hint="eastAsia" w:ascii="宋体" w:hAnsi="宋体" w:cs="Arial"/>
          <w:b/>
          <w:color w:val="000000" w:themeColor="text1"/>
          <w:sz w:val="24"/>
          <w:szCs w:val="24"/>
          <w:highlight w:val="none"/>
          <w14:textFill>
            <w14:solidFill>
              <w14:schemeClr w14:val="tx1"/>
            </w14:solidFill>
          </w14:textFill>
        </w:rPr>
        <w:t>致：皖北卫生职业学院</w:t>
      </w:r>
    </w:p>
    <w:p>
      <w:pPr>
        <w:ind w:firstLine="442" w:firstLineChars="200"/>
        <w:jc w:val="left"/>
        <w:rPr>
          <w:rFonts w:ascii="宋体" w:hAnsi="宋体" w:cs="Arial"/>
          <w:color w:val="000000" w:themeColor="text1"/>
          <w:sz w:val="24"/>
          <w:szCs w:val="24"/>
          <w:highlight w:val="none"/>
          <w14:textFill>
            <w14:solidFill>
              <w14:schemeClr w14:val="tx1"/>
            </w14:solidFill>
          </w14:textFill>
        </w:rPr>
      </w:pPr>
      <w:r>
        <w:rPr>
          <w:rFonts w:hint="eastAsia" w:ascii="宋体" w:hAnsi="宋体" w:cs="Arial"/>
          <w:color w:val="000000" w:themeColor="text1"/>
          <w:sz w:val="24"/>
          <w:szCs w:val="24"/>
          <w:highlight w:val="none"/>
          <w14:textFill>
            <w14:solidFill>
              <w14:schemeClr w14:val="tx1"/>
            </w14:solidFill>
          </w14:textFill>
        </w:rPr>
        <w:t>根据贵方的要求，授权代表经授权并代表报价方对本项目合同期内学校食堂基本大伙品目参考报价单为：</w:t>
      </w:r>
    </w:p>
    <w:tbl>
      <w:tblPr>
        <w:tblStyle w:val="18"/>
        <w:tblW w:w="10072"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1156"/>
        <w:gridCol w:w="899"/>
        <w:gridCol w:w="1099"/>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菜品名称</w:t>
            </w:r>
          </w:p>
        </w:tc>
        <w:tc>
          <w:tcPr>
            <w:tcW w:w="20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份量</w:t>
            </w:r>
          </w:p>
        </w:tc>
        <w:tc>
          <w:tcPr>
            <w:tcW w:w="109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报价</w:t>
            </w:r>
          </w:p>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（元）</w:t>
            </w:r>
          </w:p>
        </w:tc>
        <w:tc>
          <w:tcPr>
            <w:tcW w:w="48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单位</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数量</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白米饭</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精面馒头</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早、中、晚三餐必提供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鲜肉包子</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早、晚餐必提供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素馅包子</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早、晚餐必提供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茶叶蛋</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个</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早餐必提供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白米粥</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碗口直径15cm,早、晚餐必提供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杂粮粥</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碗口直径15cm,早、晚餐必提供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豆浆</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碗口直径15cm, 早餐必提供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素菜面条</w:t>
            </w:r>
          </w:p>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（挂面）</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碗口直径17cm, 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肉丝汤面条</w:t>
            </w:r>
          </w:p>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（挂面）</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１</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碗口直径17cm, 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现冲鸡蛋高汤</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碗</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１</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汤质必须为大骨汤或鸡汤类高汤，碗口直径15cm, 早餐必提供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低价素菜</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120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如土豆丝类，中、晚餐必提供，每餐不少于2个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时令叶类素菜</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中、晚餐必提供，所有菜品每餐不少于15个。其中，“荤素混炒”中的荤菜以猪肉丝、肉片报价，荤素比为4:6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时令瓜果类素菜</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荤素混炒</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荤素混烧</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中、晚餐必提供，所有菜品每餐不少于10个。其中，“荤素混烧”中的荤菜以猪肉报价，荤素比为5:5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纯烧猪肉</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纯烧鸡肉</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纯烧鱼肉</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蛋炒饭</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炒面</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克</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免费汤</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中午10:40-12:10</w:t>
            </w:r>
          </w:p>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下午4:50-6:10必提供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饮品</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毫升</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350</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严禁使用添加剂及调色剂等调制，可用果蔬等制作，中、晚餐必提供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合计报价</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p>
        </w:tc>
      </w:tr>
    </w:tbl>
    <w:p>
      <w:pPr>
        <w:adjustRightInd w:val="0"/>
        <w:snapToGrid w:val="0"/>
        <w:spacing w:line="440" w:lineRule="exact"/>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投标报价单位（公章）：</w:t>
      </w:r>
    </w:p>
    <w:p>
      <w:pPr>
        <w:adjustRightInd w:val="0"/>
        <w:snapToGrid w:val="0"/>
        <w:spacing w:line="440" w:lineRule="exact"/>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                        法定代表人或授权代表（签字）：</w:t>
      </w:r>
    </w:p>
    <w:p>
      <w:pPr>
        <w:adjustRightInd w:val="0"/>
        <w:snapToGrid w:val="0"/>
        <w:spacing w:line="440" w:lineRule="exact"/>
        <w:ind w:firstLine="5746" w:firstLineChars="26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日期：</w:t>
      </w:r>
    </w:p>
    <w:p>
      <w:pPr>
        <w:adjustRightInd w:val="0"/>
        <w:snapToGrid w:val="0"/>
        <w:spacing w:line="44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九、承诺书</w:t>
      </w:r>
    </w:p>
    <w:p>
      <w:pPr>
        <w:adjustRightInd w:val="0"/>
        <w:snapToGrid w:val="0"/>
        <w:spacing w:line="360" w:lineRule="auto"/>
        <w:ind w:firstLine="522" w:firstLineChars="200"/>
        <w:jc w:val="center"/>
        <w:rPr>
          <w:rFonts w:ascii="宋体" w:hAnsi="宋体" w:cs="Arial"/>
          <w:color w:val="000000" w:themeColor="text1"/>
          <w:sz w:val="28"/>
          <w:szCs w:val="28"/>
          <w:highlight w:val="none"/>
          <w14:textFill>
            <w14:solidFill>
              <w14:schemeClr w14:val="tx1"/>
            </w14:solidFill>
          </w14:textFill>
        </w:rPr>
      </w:pPr>
    </w:p>
    <w:p>
      <w:pPr>
        <w:adjustRightInd w:val="0"/>
        <w:snapToGrid w:val="0"/>
        <w:spacing w:line="360" w:lineRule="auto"/>
        <w:ind w:firstLine="522" w:firstLineChars="200"/>
        <w:jc w:val="center"/>
        <w:rPr>
          <w:rFonts w:ascii="宋体" w:hAnsi="宋体" w:cs="Arial"/>
          <w:color w:val="000000" w:themeColor="text1"/>
          <w:sz w:val="28"/>
          <w:szCs w:val="28"/>
          <w:highlight w:val="none"/>
          <w14:textFill>
            <w14:solidFill>
              <w14:schemeClr w14:val="tx1"/>
            </w14:solidFill>
          </w14:textFill>
        </w:rPr>
      </w:pPr>
      <w:r>
        <w:rPr>
          <w:rFonts w:hint="eastAsia" w:ascii="宋体" w:hAnsi="宋体" w:cs="Arial"/>
          <w:color w:val="000000" w:themeColor="text1"/>
          <w:sz w:val="28"/>
          <w:szCs w:val="28"/>
          <w:highlight w:val="none"/>
          <w14:textFill>
            <w14:solidFill>
              <w14:schemeClr w14:val="tx1"/>
            </w14:solidFill>
          </w14:textFill>
        </w:rPr>
        <w:t>（提供招标文件要求提供的承诺书）</w:t>
      </w:r>
    </w:p>
    <w:p>
      <w:pPr>
        <w:wordWrap w:val="0"/>
        <w:ind w:firstLine="3757" w:firstLineChars="1700"/>
        <w:jc w:val="right"/>
        <w:rPr>
          <w:rFonts w:ascii="宋体" w:hAnsi="宋体" w:cs="宋体"/>
          <w:snapToGrid w:val="0"/>
          <w:color w:val="000000" w:themeColor="text1"/>
          <w:kern w:val="0"/>
          <w:sz w:val="24"/>
          <w:szCs w:val="24"/>
          <w:highlight w:val="none"/>
          <w:u w:val="single"/>
          <w14:textFill>
            <w14:solidFill>
              <w14:schemeClr w14:val="tx1"/>
            </w14:solidFill>
          </w14:textFill>
        </w:rPr>
      </w:pPr>
    </w:p>
    <w:sectPr>
      <w:headerReference r:id="rId3" w:type="default"/>
      <w:footerReference r:id="rId4" w:type="default"/>
      <w:pgSz w:w="11906" w:h="16838"/>
      <w:pgMar w:top="1440" w:right="1080" w:bottom="1440" w:left="1080" w:header="851" w:footer="850" w:gutter="0"/>
      <w:pgNumType w:start="1"/>
      <w:cols w:space="0" w:num="1"/>
      <w:docGrid w:type="linesAndChars" w:linePitch="288" w:charSpace="-40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rPr>
    </w:pPr>
    <w:r>
      <w:pict>
        <v:shape id="_x0000_s1027" o:spid="_x0000_s1027" o:spt="202" type="#_x0000_t202" style="position:absolute;left:0pt;margin-left:83.7pt;margin-top:749.8pt;height:16.65pt;width:10.2pt;mso-position-horizontal-relative:page;mso-position-vertical-relative:page;z-index:-251657216;mso-width-relative:page;mso-height-relative:page;" filled="f" stroked="f" coordsize="21600,21600" o:gfxdata="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ZQqIdoAAAANAQAADwAAAAAAAAABACAAAAAiAAAAZHJzL2Rvd25yZXYueG1s&#10;UEsBAhQAFAAAAAgAh07iQOt6YWC9AQAAfgMAAA4AAAAAAAAAAQAgAAAAKQEAAGRycy9lMm9Eb2Mu&#10;eG1sUEsFBgAAAAAGAAYAWQEAAFgFAAAAAA==&#10;">
          <v:path/>
          <v:fill on="f" focussize="0,0"/>
          <v:stroke on="f" joinstyle="miter"/>
          <v:imagedata o:title=""/>
          <o:lock v:ext="edit"/>
          <v:textbox inset="0mm,0mm,0mm,0mm">
            <w:txbxContent>
              <w:p>
                <w:pPr>
                  <w:spacing w:before="19"/>
                  <w:jc w:val="left"/>
                  <w:rPr>
                    <w:rFonts w:ascii="Times New Roman"/>
                    <w:sz w:val="11"/>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78F58"/>
    <w:multiLevelType w:val="singleLevel"/>
    <w:tmpl w:val="90D78F58"/>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formatting="1" w:enforcement="0"/>
  <w:defaultTabStop w:val="420"/>
  <w:drawingGridHorizontalSpacing w:val="95"/>
  <w:drawingGridVerticalSpacing w:val="144"/>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I2MmRmYmNlZjc3NWI5ZTBmZmVkZTE2OTdmMmZjMzgifQ=="/>
    <w:docVar w:name="KSO_WPS_MARK_KEY" w:val="756ddf20-23df-4442-b05f-a78c859919d6"/>
  </w:docVars>
  <w:rsids>
    <w:rsidRoot w:val="00172A27"/>
    <w:rsid w:val="00064A57"/>
    <w:rsid w:val="000E0067"/>
    <w:rsid w:val="001131AB"/>
    <w:rsid w:val="001517D1"/>
    <w:rsid w:val="00172A27"/>
    <w:rsid w:val="00176A62"/>
    <w:rsid w:val="00177CA2"/>
    <w:rsid w:val="001B4F9E"/>
    <w:rsid w:val="002316BA"/>
    <w:rsid w:val="00244E3C"/>
    <w:rsid w:val="00255B94"/>
    <w:rsid w:val="00307C6D"/>
    <w:rsid w:val="00326569"/>
    <w:rsid w:val="003D498C"/>
    <w:rsid w:val="003F1C05"/>
    <w:rsid w:val="004B2E24"/>
    <w:rsid w:val="004B5B58"/>
    <w:rsid w:val="00502B4A"/>
    <w:rsid w:val="00512A1D"/>
    <w:rsid w:val="00565F2D"/>
    <w:rsid w:val="00594C58"/>
    <w:rsid w:val="0059608F"/>
    <w:rsid w:val="00663FFE"/>
    <w:rsid w:val="006A7315"/>
    <w:rsid w:val="00791668"/>
    <w:rsid w:val="00814E88"/>
    <w:rsid w:val="0084101C"/>
    <w:rsid w:val="008838CD"/>
    <w:rsid w:val="008D4A11"/>
    <w:rsid w:val="00960D27"/>
    <w:rsid w:val="00975B7F"/>
    <w:rsid w:val="009C04B5"/>
    <w:rsid w:val="00A25A1A"/>
    <w:rsid w:val="00A45B64"/>
    <w:rsid w:val="00A62DBF"/>
    <w:rsid w:val="00AE4384"/>
    <w:rsid w:val="00B332D3"/>
    <w:rsid w:val="00BF6784"/>
    <w:rsid w:val="00C24DE0"/>
    <w:rsid w:val="00C6060A"/>
    <w:rsid w:val="00C75811"/>
    <w:rsid w:val="00CD5AD5"/>
    <w:rsid w:val="00D52DF9"/>
    <w:rsid w:val="00DB1518"/>
    <w:rsid w:val="00DF34C5"/>
    <w:rsid w:val="00E02515"/>
    <w:rsid w:val="00E62762"/>
    <w:rsid w:val="00E938BF"/>
    <w:rsid w:val="00F457C2"/>
    <w:rsid w:val="00F46E2F"/>
    <w:rsid w:val="00F91EA4"/>
    <w:rsid w:val="01814321"/>
    <w:rsid w:val="01B12E58"/>
    <w:rsid w:val="02403886"/>
    <w:rsid w:val="027F5F5B"/>
    <w:rsid w:val="02AB78A7"/>
    <w:rsid w:val="02B439CB"/>
    <w:rsid w:val="02DC5CB3"/>
    <w:rsid w:val="0321591B"/>
    <w:rsid w:val="035A307B"/>
    <w:rsid w:val="042C4A18"/>
    <w:rsid w:val="04365609"/>
    <w:rsid w:val="04A737B0"/>
    <w:rsid w:val="04C23F68"/>
    <w:rsid w:val="05993FA8"/>
    <w:rsid w:val="06E71EDE"/>
    <w:rsid w:val="06F21F49"/>
    <w:rsid w:val="06F4663D"/>
    <w:rsid w:val="072D11D3"/>
    <w:rsid w:val="075108B1"/>
    <w:rsid w:val="07532D42"/>
    <w:rsid w:val="07DA59B3"/>
    <w:rsid w:val="07E05F75"/>
    <w:rsid w:val="08F47BF3"/>
    <w:rsid w:val="096D2C7C"/>
    <w:rsid w:val="09F00295"/>
    <w:rsid w:val="0A287CF7"/>
    <w:rsid w:val="0AAD385D"/>
    <w:rsid w:val="0B0F759D"/>
    <w:rsid w:val="0B266665"/>
    <w:rsid w:val="0B50208F"/>
    <w:rsid w:val="0B8436DE"/>
    <w:rsid w:val="0B941DCD"/>
    <w:rsid w:val="0E8F4578"/>
    <w:rsid w:val="108F73D5"/>
    <w:rsid w:val="10F62B72"/>
    <w:rsid w:val="10F95046"/>
    <w:rsid w:val="118071C2"/>
    <w:rsid w:val="11EA7EFB"/>
    <w:rsid w:val="12744159"/>
    <w:rsid w:val="131C7E30"/>
    <w:rsid w:val="13255454"/>
    <w:rsid w:val="134404C4"/>
    <w:rsid w:val="1418758F"/>
    <w:rsid w:val="14AB6037"/>
    <w:rsid w:val="151E2460"/>
    <w:rsid w:val="15B95186"/>
    <w:rsid w:val="164356B0"/>
    <w:rsid w:val="17BF7AB9"/>
    <w:rsid w:val="18066E53"/>
    <w:rsid w:val="183B10AF"/>
    <w:rsid w:val="18BB5AE8"/>
    <w:rsid w:val="1A850730"/>
    <w:rsid w:val="1B230947"/>
    <w:rsid w:val="1B903686"/>
    <w:rsid w:val="1C0D4CD7"/>
    <w:rsid w:val="1C4900D5"/>
    <w:rsid w:val="1CE343B6"/>
    <w:rsid w:val="1D7D0CC6"/>
    <w:rsid w:val="1E116CA0"/>
    <w:rsid w:val="1E1508DB"/>
    <w:rsid w:val="1E3130EE"/>
    <w:rsid w:val="1EBF0EDC"/>
    <w:rsid w:val="1ED50F0F"/>
    <w:rsid w:val="1F8B41DC"/>
    <w:rsid w:val="1FAF133B"/>
    <w:rsid w:val="201F445B"/>
    <w:rsid w:val="209B5B46"/>
    <w:rsid w:val="216D65E2"/>
    <w:rsid w:val="219052CB"/>
    <w:rsid w:val="227B5090"/>
    <w:rsid w:val="23405992"/>
    <w:rsid w:val="234B227F"/>
    <w:rsid w:val="24A266C5"/>
    <w:rsid w:val="250B703F"/>
    <w:rsid w:val="26B77933"/>
    <w:rsid w:val="274331D9"/>
    <w:rsid w:val="278D25B0"/>
    <w:rsid w:val="27AA2E27"/>
    <w:rsid w:val="27F74C0F"/>
    <w:rsid w:val="282F6CC2"/>
    <w:rsid w:val="28415816"/>
    <w:rsid w:val="28625FCE"/>
    <w:rsid w:val="296658A0"/>
    <w:rsid w:val="29AE6384"/>
    <w:rsid w:val="29C447D9"/>
    <w:rsid w:val="29F463E5"/>
    <w:rsid w:val="2B59224B"/>
    <w:rsid w:val="2B8871B1"/>
    <w:rsid w:val="2BA2058D"/>
    <w:rsid w:val="2C9E49F9"/>
    <w:rsid w:val="2D236108"/>
    <w:rsid w:val="2E5D5608"/>
    <w:rsid w:val="2EDB2B02"/>
    <w:rsid w:val="2F25260C"/>
    <w:rsid w:val="2F61560E"/>
    <w:rsid w:val="2F655681"/>
    <w:rsid w:val="2F866E22"/>
    <w:rsid w:val="304815C3"/>
    <w:rsid w:val="30A443F4"/>
    <w:rsid w:val="31252C17"/>
    <w:rsid w:val="31496359"/>
    <w:rsid w:val="31FE1708"/>
    <w:rsid w:val="32A47543"/>
    <w:rsid w:val="33196C65"/>
    <w:rsid w:val="334C5749"/>
    <w:rsid w:val="33B57CD6"/>
    <w:rsid w:val="33EF74ED"/>
    <w:rsid w:val="346C547B"/>
    <w:rsid w:val="34BC79B9"/>
    <w:rsid w:val="34F77C76"/>
    <w:rsid w:val="350C7DCA"/>
    <w:rsid w:val="36704443"/>
    <w:rsid w:val="36B971F0"/>
    <w:rsid w:val="36F63DF3"/>
    <w:rsid w:val="3758786C"/>
    <w:rsid w:val="37C4383C"/>
    <w:rsid w:val="37D50947"/>
    <w:rsid w:val="37FB65FF"/>
    <w:rsid w:val="38EA1ECC"/>
    <w:rsid w:val="38EC41E7"/>
    <w:rsid w:val="39DF7A23"/>
    <w:rsid w:val="3A125E23"/>
    <w:rsid w:val="3B0F701D"/>
    <w:rsid w:val="3B5F2BEF"/>
    <w:rsid w:val="3BB80FEA"/>
    <w:rsid w:val="3C87472E"/>
    <w:rsid w:val="3CB34B2F"/>
    <w:rsid w:val="3CF6091C"/>
    <w:rsid w:val="3D6406AA"/>
    <w:rsid w:val="3D6A38DF"/>
    <w:rsid w:val="3D985812"/>
    <w:rsid w:val="3DDE2F12"/>
    <w:rsid w:val="3FD32DD0"/>
    <w:rsid w:val="3FE87743"/>
    <w:rsid w:val="40344BA2"/>
    <w:rsid w:val="40842F0A"/>
    <w:rsid w:val="408847A8"/>
    <w:rsid w:val="410D7BD6"/>
    <w:rsid w:val="41440F1B"/>
    <w:rsid w:val="41AC2719"/>
    <w:rsid w:val="431E31A2"/>
    <w:rsid w:val="435A36A9"/>
    <w:rsid w:val="43686B13"/>
    <w:rsid w:val="43995C23"/>
    <w:rsid w:val="44974855"/>
    <w:rsid w:val="45A34A75"/>
    <w:rsid w:val="460832F6"/>
    <w:rsid w:val="460D5750"/>
    <w:rsid w:val="46276812"/>
    <w:rsid w:val="46715EB0"/>
    <w:rsid w:val="46A14816"/>
    <w:rsid w:val="475D3FF8"/>
    <w:rsid w:val="47AB5186"/>
    <w:rsid w:val="47B83392"/>
    <w:rsid w:val="480C17B4"/>
    <w:rsid w:val="48223734"/>
    <w:rsid w:val="4A67332F"/>
    <w:rsid w:val="4B1F3F5B"/>
    <w:rsid w:val="4B3D4C26"/>
    <w:rsid w:val="4B7B52FE"/>
    <w:rsid w:val="4BC36FDC"/>
    <w:rsid w:val="4C0355F4"/>
    <w:rsid w:val="4C173F06"/>
    <w:rsid w:val="4C72630D"/>
    <w:rsid w:val="4CA23CA2"/>
    <w:rsid w:val="4CF72422"/>
    <w:rsid w:val="4D1B04CD"/>
    <w:rsid w:val="4DCA4C8B"/>
    <w:rsid w:val="4E020A02"/>
    <w:rsid w:val="4EB33338"/>
    <w:rsid w:val="4F3E6E69"/>
    <w:rsid w:val="50E65A75"/>
    <w:rsid w:val="51472A53"/>
    <w:rsid w:val="515636BF"/>
    <w:rsid w:val="52353AF2"/>
    <w:rsid w:val="539A4AC7"/>
    <w:rsid w:val="53ED4843"/>
    <w:rsid w:val="53F34CFB"/>
    <w:rsid w:val="53FB308C"/>
    <w:rsid w:val="5455279C"/>
    <w:rsid w:val="547447F3"/>
    <w:rsid w:val="54A01A51"/>
    <w:rsid w:val="54F7024E"/>
    <w:rsid w:val="56917B91"/>
    <w:rsid w:val="56D2108D"/>
    <w:rsid w:val="57307BDB"/>
    <w:rsid w:val="57335DC3"/>
    <w:rsid w:val="5736688C"/>
    <w:rsid w:val="57C74E66"/>
    <w:rsid w:val="5886386C"/>
    <w:rsid w:val="589C18D2"/>
    <w:rsid w:val="58C47EF0"/>
    <w:rsid w:val="58E26FC7"/>
    <w:rsid w:val="58FC3B2E"/>
    <w:rsid w:val="593F4415"/>
    <w:rsid w:val="59701E26"/>
    <w:rsid w:val="59EC23C9"/>
    <w:rsid w:val="59F14595"/>
    <w:rsid w:val="5A9C22E2"/>
    <w:rsid w:val="5AA24261"/>
    <w:rsid w:val="5B565809"/>
    <w:rsid w:val="5B9C5BD2"/>
    <w:rsid w:val="5BE02FDF"/>
    <w:rsid w:val="5DDF68CC"/>
    <w:rsid w:val="5E1F3B6D"/>
    <w:rsid w:val="5EAE4427"/>
    <w:rsid w:val="60C01DB0"/>
    <w:rsid w:val="61DA7B4A"/>
    <w:rsid w:val="62153A4B"/>
    <w:rsid w:val="62522A10"/>
    <w:rsid w:val="6319057B"/>
    <w:rsid w:val="639338F7"/>
    <w:rsid w:val="64994927"/>
    <w:rsid w:val="64AF388B"/>
    <w:rsid w:val="64B5542C"/>
    <w:rsid w:val="65363F24"/>
    <w:rsid w:val="66015B90"/>
    <w:rsid w:val="6645741E"/>
    <w:rsid w:val="666D606B"/>
    <w:rsid w:val="66D14188"/>
    <w:rsid w:val="66D4757C"/>
    <w:rsid w:val="681E586F"/>
    <w:rsid w:val="68464DC5"/>
    <w:rsid w:val="68FD5910"/>
    <w:rsid w:val="692844CB"/>
    <w:rsid w:val="6A6D45C2"/>
    <w:rsid w:val="6A9A31A7"/>
    <w:rsid w:val="6B9755A6"/>
    <w:rsid w:val="6BAD69DE"/>
    <w:rsid w:val="6CD92610"/>
    <w:rsid w:val="6DB477EA"/>
    <w:rsid w:val="6DCB62B1"/>
    <w:rsid w:val="6EB0197E"/>
    <w:rsid w:val="6FBB2D5E"/>
    <w:rsid w:val="70BD0596"/>
    <w:rsid w:val="71033AF8"/>
    <w:rsid w:val="719455E7"/>
    <w:rsid w:val="71CD2586"/>
    <w:rsid w:val="71CE42C3"/>
    <w:rsid w:val="71E92F01"/>
    <w:rsid w:val="721469FD"/>
    <w:rsid w:val="72983E98"/>
    <w:rsid w:val="72E14F57"/>
    <w:rsid w:val="732756B1"/>
    <w:rsid w:val="73681879"/>
    <w:rsid w:val="73F92CEC"/>
    <w:rsid w:val="744728EE"/>
    <w:rsid w:val="74D30849"/>
    <w:rsid w:val="74E155D4"/>
    <w:rsid w:val="75DC3786"/>
    <w:rsid w:val="762878B8"/>
    <w:rsid w:val="764F6C19"/>
    <w:rsid w:val="76D90BB3"/>
    <w:rsid w:val="76F442AB"/>
    <w:rsid w:val="78F148D9"/>
    <w:rsid w:val="7919490C"/>
    <w:rsid w:val="793623AB"/>
    <w:rsid w:val="7A5A3131"/>
    <w:rsid w:val="7A9711A9"/>
    <w:rsid w:val="7B19105B"/>
    <w:rsid w:val="7B3A2568"/>
    <w:rsid w:val="7B845591"/>
    <w:rsid w:val="7BF344C5"/>
    <w:rsid w:val="7CCD6C4F"/>
    <w:rsid w:val="7DCB2E47"/>
    <w:rsid w:val="7DDB16B4"/>
    <w:rsid w:val="7FBA5628"/>
    <w:rsid w:val="7FCB5E84"/>
    <w:rsid w:val="7FFB1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link w:val="25"/>
    <w:qFormat/>
    <w:uiPriority w:val="0"/>
    <w:pPr>
      <w:wordWrap w:val="0"/>
      <w:spacing w:line="720" w:lineRule="auto"/>
      <w:jc w:val="left"/>
      <w:outlineLvl w:val="0"/>
    </w:pPr>
    <w:rPr>
      <w:rFonts w:ascii="宋体" w:hAnsi="宋体" w:cs="宋体"/>
      <w:b/>
      <w:bCs/>
      <w:kern w:val="44"/>
      <w:sz w:val="32"/>
      <w:szCs w:val="32"/>
    </w:rPr>
  </w:style>
  <w:style w:type="paragraph" w:styleId="7">
    <w:name w:val="heading 2"/>
    <w:basedOn w:val="1"/>
    <w:next w:val="1"/>
    <w:link w:val="24"/>
    <w:unhideWhenUsed/>
    <w:qFormat/>
    <w:uiPriority w:val="0"/>
    <w:pPr>
      <w:wordWrap w:val="0"/>
      <w:spacing w:line="600" w:lineRule="auto"/>
      <w:jc w:val="center"/>
      <w:outlineLvl w:val="1"/>
    </w:pPr>
    <w:rPr>
      <w:rFonts w:ascii="宋体" w:hAnsi="宋体" w:cs="宋体"/>
      <w:b/>
      <w:bCs/>
      <w:sz w:val="32"/>
      <w:szCs w:val="28"/>
    </w:rPr>
  </w:style>
  <w:style w:type="paragraph" w:styleId="8">
    <w:name w:val="heading 3"/>
    <w:basedOn w:val="1"/>
    <w:next w:val="1"/>
    <w:unhideWhenUsed/>
    <w:qFormat/>
    <w:uiPriority w:val="0"/>
    <w:pPr>
      <w:wordWrap w:val="0"/>
      <w:spacing w:line="360" w:lineRule="auto"/>
      <w:ind w:firstLine="720" w:firstLineChars="200"/>
      <w:jc w:val="left"/>
      <w:outlineLvl w:val="2"/>
    </w:pPr>
    <w:rPr>
      <w:rFonts w:ascii="宋体" w:hAnsi="宋体" w:cs="宋体"/>
      <w:b/>
      <w:bCs/>
      <w:sz w:val="24"/>
      <w:szCs w:val="28"/>
    </w:rPr>
  </w:style>
  <w:style w:type="paragraph" w:styleId="9">
    <w:name w:val="heading 4"/>
    <w:basedOn w:val="1"/>
    <w:next w:val="1"/>
    <w:autoRedefine/>
    <w:unhideWhenUsed/>
    <w:qFormat/>
    <w:uiPriority w:val="0"/>
    <w:pPr>
      <w:keepNext/>
      <w:keepLines/>
      <w:spacing w:line="372" w:lineRule="auto"/>
      <w:outlineLvl w:val="3"/>
    </w:pPr>
    <w:rPr>
      <w:rFonts w:ascii="Arial" w:hAnsi="Arial" w:eastAsia="黑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left="420" w:leftChars="200" w:firstLine="420" w:firstLineChars="200"/>
    </w:p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next w:val="3"/>
    <w:qFormat/>
    <w:uiPriority w:val="0"/>
    <w:pPr>
      <w:snapToGrid w:val="0"/>
    </w:pPr>
    <w:rPr>
      <w:rFonts w:ascii="Arial" w:hAnsi="Arial" w:cs="Arial"/>
      <w:szCs w:val="24"/>
    </w:rPr>
  </w:style>
  <w:style w:type="paragraph" w:styleId="5">
    <w:name w:val="List"/>
    <w:basedOn w:val="1"/>
    <w:qFormat/>
    <w:uiPriority w:val="0"/>
    <w:pPr>
      <w:ind w:left="420" w:hanging="420"/>
    </w:pPr>
    <w:rPr>
      <w:rFonts w:ascii="Arial" w:hAnsi="Arial" w:eastAsia="楷体_GB2312"/>
      <w:sz w:val="28"/>
    </w:rPr>
  </w:style>
  <w:style w:type="paragraph" w:styleId="10">
    <w:name w:val="Normal Indent"/>
    <w:basedOn w:val="1"/>
    <w:qFormat/>
    <w:uiPriority w:val="0"/>
    <w:pPr>
      <w:ind w:firstLine="420"/>
    </w:pPr>
    <w:rPr>
      <w:szCs w:val="20"/>
    </w:rPr>
  </w:style>
  <w:style w:type="paragraph" w:styleId="11">
    <w:name w:val="Body Text"/>
    <w:basedOn w:val="1"/>
    <w:next w:val="1"/>
    <w:qFormat/>
    <w:uiPriority w:val="0"/>
    <w:pPr>
      <w:spacing w:line="900" w:lineRule="exact"/>
    </w:pPr>
    <w:rPr>
      <w:rFonts w:ascii="黑体" w:hAnsi="华文细黑" w:eastAsia="黑体"/>
      <w:bCs/>
      <w:w w:val="90"/>
      <w:sz w:val="72"/>
      <w:szCs w:val="84"/>
    </w:rPr>
  </w:style>
  <w:style w:type="paragraph" w:styleId="12">
    <w:name w:val="toc 3"/>
    <w:basedOn w:val="1"/>
    <w:next w:val="1"/>
    <w:qFormat/>
    <w:uiPriority w:val="39"/>
    <w:pPr>
      <w:spacing w:line="360" w:lineRule="auto"/>
      <w:ind w:left="768" w:leftChars="400"/>
      <w:jc w:val="left"/>
    </w:pPr>
    <w:rPr>
      <w:rFonts w:ascii="宋体" w:hAnsi="宋体" w:cs="宋体"/>
      <w:iCs/>
      <w:sz w:val="24"/>
      <w:szCs w:val="28"/>
    </w:rPr>
  </w:style>
  <w:style w:type="paragraph" w:styleId="13">
    <w:name w:val="Plain Text"/>
    <w:basedOn w:val="1"/>
    <w:qFormat/>
    <w:uiPriority w:val="0"/>
    <w:rPr>
      <w:rFonts w:ascii="宋体" w:hAnsi="Courier New"/>
      <w:szCs w:val="20"/>
    </w:rPr>
  </w:style>
  <w:style w:type="paragraph" w:styleId="14">
    <w:name w:val="footer"/>
    <w:basedOn w:val="1"/>
    <w:qFormat/>
    <w:uiPriority w:val="0"/>
    <w:pPr>
      <w:tabs>
        <w:tab w:val="center" w:pos="4153"/>
        <w:tab w:val="right" w:pos="8306"/>
      </w:tabs>
      <w:snapToGrid w:val="0"/>
      <w:jc w:val="left"/>
    </w:pPr>
    <w:rPr>
      <w:sz w:val="24"/>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360" w:lineRule="auto"/>
      <w:jc w:val="left"/>
    </w:pPr>
    <w:rPr>
      <w:rFonts w:ascii="宋体" w:hAnsi="宋体" w:cs="宋体"/>
      <w:b/>
      <w:caps/>
      <w:sz w:val="28"/>
      <w:szCs w:val="32"/>
    </w:rPr>
  </w:style>
  <w:style w:type="paragraph" w:styleId="17">
    <w:name w:val="toc 2"/>
    <w:basedOn w:val="1"/>
    <w:next w:val="1"/>
    <w:qFormat/>
    <w:uiPriority w:val="39"/>
    <w:pPr>
      <w:tabs>
        <w:tab w:val="right" w:leader="dot" w:pos="9403"/>
      </w:tabs>
      <w:spacing w:line="360" w:lineRule="auto"/>
      <w:ind w:left="384" w:leftChars="200"/>
      <w:jc w:val="left"/>
    </w:pPr>
    <w:rPr>
      <w:rFonts w:ascii="宋体" w:hAnsi="宋体" w:cs="宋体"/>
      <w:b/>
      <w:bCs/>
      <w:smallCaps/>
      <w:sz w:val="24"/>
      <w:szCs w:val="28"/>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autoRedefine/>
    <w:qFormat/>
    <w:uiPriority w:val="0"/>
    <w:rPr>
      <w:color w:val="0000FF"/>
      <w:u w:val="single"/>
    </w:rPr>
  </w:style>
  <w:style w:type="paragraph" w:customStyle="1" w:styleId="22">
    <w:name w:val="冰"/>
    <w:qFormat/>
    <w:uiPriority w:val="0"/>
    <w:pPr>
      <w:wordWrap w:val="0"/>
      <w:spacing w:line="360" w:lineRule="auto"/>
      <w:ind w:firstLine="720" w:firstLineChars="200"/>
    </w:pPr>
    <w:rPr>
      <w:rFonts w:ascii="宋体" w:hAnsi="宋体" w:eastAsia="宋体" w:cs="宋体"/>
      <w:kern w:val="2"/>
      <w:sz w:val="28"/>
      <w:szCs w:val="28"/>
      <w:lang w:val="en-US" w:eastAsia="zh-CN" w:bidi="ar-SA"/>
    </w:rPr>
  </w:style>
  <w:style w:type="paragraph" w:customStyle="1" w:styleId="23">
    <w:name w:val="婵"/>
    <w:qFormat/>
    <w:uiPriority w:val="0"/>
    <w:pPr>
      <w:wordWrap w:val="0"/>
      <w:spacing w:line="360" w:lineRule="auto"/>
      <w:ind w:firstLine="720" w:firstLineChars="200"/>
    </w:pPr>
    <w:rPr>
      <w:rFonts w:ascii="宋体" w:hAnsi="宋体" w:eastAsia="宋体" w:cs="宋体"/>
      <w:kern w:val="2"/>
      <w:sz w:val="24"/>
      <w:szCs w:val="24"/>
      <w:lang w:val="en-US" w:eastAsia="zh-CN" w:bidi="ar-SA"/>
    </w:rPr>
  </w:style>
  <w:style w:type="character" w:customStyle="1" w:styleId="24">
    <w:name w:val="标题 2 Char"/>
    <w:link w:val="7"/>
    <w:qFormat/>
    <w:uiPriority w:val="0"/>
    <w:rPr>
      <w:rFonts w:ascii="宋体" w:hAnsi="宋体" w:eastAsia="宋体" w:cs="宋体"/>
      <w:b/>
      <w:bCs/>
      <w:sz w:val="32"/>
      <w:szCs w:val="28"/>
    </w:rPr>
  </w:style>
  <w:style w:type="character" w:customStyle="1" w:styleId="25">
    <w:name w:val="标题 1 Char"/>
    <w:link w:val="6"/>
    <w:qFormat/>
    <w:uiPriority w:val="0"/>
    <w:rPr>
      <w:rFonts w:ascii="宋体" w:hAnsi="宋体" w:eastAsia="宋体" w:cs="宋体"/>
      <w:b/>
      <w:bCs/>
      <w:kern w:val="44"/>
      <w:sz w:val="32"/>
      <w:szCs w:val="32"/>
    </w:rPr>
  </w:style>
  <w:style w:type="paragraph" w:customStyle="1" w:styleId="26">
    <w:name w:val="p0"/>
    <w:basedOn w:val="1"/>
    <w:qFormat/>
    <w:uiPriority w:val="0"/>
    <w:pPr>
      <w:widowControl/>
    </w:pPr>
    <w:rPr>
      <w:rFonts w:ascii="Times New Roman" w:hAnsi="Times New Roman"/>
      <w:kern w:val="0"/>
      <w:szCs w:val="21"/>
    </w:rPr>
  </w:style>
  <w:style w:type="paragraph" w:customStyle="1" w:styleId="27">
    <w:name w:val="GW-正文"/>
    <w:basedOn w:val="1"/>
    <w:qFormat/>
    <w:uiPriority w:val="0"/>
    <w:pPr>
      <w:spacing w:line="360" w:lineRule="auto"/>
      <w:ind w:firstLine="200" w:firstLineChars="200"/>
      <w:contextualSpacing/>
    </w:pPr>
    <w:rPr>
      <w:szCs w:val="24"/>
      <w:lang w:val="zh-CN"/>
    </w:rPr>
  </w:style>
  <w:style w:type="paragraph" w:customStyle="1" w:styleId="28">
    <w:name w:val="msolistparagraph"/>
    <w:basedOn w:val="1"/>
    <w:qFormat/>
    <w:uiPriority w:val="0"/>
    <w:pPr>
      <w:ind w:firstLine="420" w:firstLineChars="200"/>
    </w:pPr>
  </w:style>
  <w:style w:type="paragraph" w:customStyle="1" w:styleId="29">
    <w:name w:val="正文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
    <w:name w:val="H2"/>
    <w:basedOn w:val="8"/>
    <w:next w:val="1"/>
    <w:qFormat/>
    <w:uiPriority w:val="0"/>
    <w:pPr>
      <w:jc w:val="center"/>
    </w:pPr>
    <w:rPr>
      <w:rFonts w:cs="Arial"/>
      <w:color w:val="000000"/>
      <w:sz w:val="21"/>
      <w:szCs w:val="21"/>
    </w:rPr>
  </w:style>
  <w:style w:type="paragraph" w:styleId="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34780</Words>
  <Characters>36239</Characters>
  <Lines>301</Lines>
  <Paragraphs>85</Paragraphs>
  <TotalTime>0</TotalTime>
  <ScaleCrop>false</ScaleCrop>
  <LinksUpToDate>false</LinksUpToDate>
  <CharactersWithSpaces>36983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2021-07-30T05:50:00Z</dcterms:created>
  <dc:creator>Administrator</dc:creator>
  <cp:lastModifiedBy>二丁目</cp:lastModifiedBy>
  <cp:lastPrinted>2022-08-04T00:50:00Z</cp:lastPrinted>
  <dcterms:modified xsi:type="dcterms:W3CDTF">2024-07-15T07:23:57Z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D75C6BD28BAE4DFFB1E12893DF081CAB</vt:lpwstr>
  </property>
</Properties>
</file>