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宋体" w:hAnsi="宋体" w:eastAsia="方正黑体_GBK" w:cs="宋体"/>
          <w:b/>
          <w:bCs/>
          <w:sz w:val="36"/>
          <w:szCs w:val="36"/>
          <w:lang w:val="en-US" w:eastAsia="zh-CN"/>
        </w:rPr>
      </w:pPr>
      <w:r>
        <w:rPr>
          <w:rFonts w:hint="eastAsia" w:ascii="方正黑体_GBK" w:hAnsi="方正黑体_GBK" w:eastAsia="方正黑体_GBK" w:cs="方正黑体_GBK"/>
          <w:b/>
          <w:bCs/>
          <w:kern w:val="0"/>
          <w:sz w:val="48"/>
          <w:szCs w:val="48"/>
          <w:lang w:eastAsia="zh-CN"/>
        </w:rPr>
        <w:t>皖北卫生职业学院2019-2022年预算执行与财务收支审计采购项目</w:t>
      </w:r>
    </w:p>
    <w:p>
      <w:pPr>
        <w:spacing w:line="800" w:lineRule="exact"/>
        <w:jc w:val="center"/>
        <w:rPr>
          <w:rFonts w:ascii="宋体" w:hAnsi="宋体" w:cs="宋体"/>
          <w:b/>
          <w:bCs/>
          <w:sz w:val="36"/>
          <w:szCs w:val="36"/>
        </w:rPr>
      </w:pPr>
    </w:p>
    <w:p>
      <w:pPr>
        <w:spacing w:line="800" w:lineRule="exact"/>
        <w:jc w:val="center"/>
        <w:rPr>
          <w:rFonts w:hint="eastAsia" w:ascii="宋体" w:hAnsi="宋体" w:eastAsia="宋体" w:cs="宋体"/>
          <w:b/>
          <w:bCs/>
          <w:sz w:val="32"/>
          <w:szCs w:val="32"/>
          <w:lang w:eastAsia="zh-CN"/>
        </w:rPr>
      </w:pPr>
      <w:r>
        <w:rPr>
          <w:rFonts w:hint="eastAsia" w:ascii="宋体" w:hAnsi="宋体" w:cs="宋体"/>
          <w:b/>
          <w:bCs/>
          <w:sz w:val="36"/>
          <w:szCs w:val="36"/>
        </w:rPr>
        <w:t>项目编号：AH</w:t>
      </w:r>
      <w:r>
        <w:rPr>
          <w:rFonts w:hint="eastAsia" w:ascii="宋体" w:hAnsi="宋体" w:cs="宋体"/>
          <w:b/>
          <w:bCs/>
          <w:sz w:val="36"/>
          <w:szCs w:val="36"/>
          <w:lang w:val="en-US" w:eastAsia="zh-CN"/>
        </w:rPr>
        <w:t>WR</w:t>
      </w:r>
      <w:r>
        <w:rPr>
          <w:rFonts w:hint="eastAsia" w:ascii="宋体" w:hAnsi="宋体" w:cs="宋体"/>
          <w:b/>
          <w:bCs/>
          <w:sz w:val="36"/>
          <w:szCs w:val="36"/>
        </w:rPr>
        <w:t>202301</w:t>
      </w:r>
      <w:r>
        <w:rPr>
          <w:rFonts w:hint="eastAsia" w:ascii="宋体" w:hAnsi="宋体" w:cs="宋体"/>
          <w:b/>
          <w:bCs/>
          <w:sz w:val="36"/>
          <w:szCs w:val="36"/>
          <w:lang w:val="en-US" w:eastAsia="zh-CN"/>
        </w:rPr>
        <w:t>7</w:t>
      </w:r>
    </w:p>
    <w:p>
      <w:pPr>
        <w:spacing w:line="800" w:lineRule="exact"/>
        <w:jc w:val="center"/>
        <w:rPr>
          <w:rFonts w:ascii="黑体" w:eastAsia="黑体"/>
          <w:b/>
          <w:bCs/>
          <w:sz w:val="52"/>
          <w:szCs w:val="52"/>
        </w:rPr>
      </w:pPr>
    </w:p>
    <w:p>
      <w:pPr>
        <w:spacing w:line="800" w:lineRule="exact"/>
        <w:jc w:val="center"/>
        <w:rPr>
          <w:rFonts w:ascii="黑体" w:eastAsia="黑体"/>
          <w:b/>
          <w:bCs/>
          <w:sz w:val="52"/>
          <w:szCs w:val="52"/>
        </w:rPr>
      </w:pPr>
      <w:r>
        <w:rPr>
          <w:rFonts w:hint="eastAsia" w:ascii="黑体" w:eastAsia="黑体"/>
          <w:b/>
          <w:bCs/>
          <w:sz w:val="52"/>
          <w:szCs w:val="52"/>
        </w:rPr>
        <w:t>竞</w:t>
      </w:r>
    </w:p>
    <w:p>
      <w:pPr>
        <w:spacing w:line="800" w:lineRule="exact"/>
        <w:jc w:val="center"/>
        <w:rPr>
          <w:rFonts w:ascii="黑体" w:eastAsia="黑体"/>
          <w:b/>
          <w:bCs/>
          <w:sz w:val="52"/>
          <w:szCs w:val="52"/>
        </w:rPr>
      </w:pPr>
      <w:r>
        <w:rPr>
          <w:rFonts w:hint="eastAsia" w:ascii="黑体" w:eastAsia="黑体"/>
          <w:b/>
          <w:bCs/>
          <w:sz w:val="52"/>
          <w:szCs w:val="52"/>
        </w:rPr>
        <w:t>争</w:t>
      </w:r>
    </w:p>
    <w:p>
      <w:pPr>
        <w:spacing w:line="800" w:lineRule="exact"/>
        <w:jc w:val="center"/>
        <w:rPr>
          <w:rFonts w:ascii="黑体" w:eastAsia="黑体"/>
          <w:b/>
          <w:bCs/>
          <w:sz w:val="52"/>
          <w:szCs w:val="52"/>
        </w:rPr>
      </w:pPr>
      <w:r>
        <w:rPr>
          <w:rFonts w:hint="eastAsia" w:ascii="黑体" w:eastAsia="黑体"/>
          <w:b/>
          <w:bCs/>
          <w:sz w:val="52"/>
          <w:szCs w:val="52"/>
        </w:rPr>
        <w:t>性</w:t>
      </w:r>
    </w:p>
    <w:p>
      <w:pPr>
        <w:spacing w:line="800" w:lineRule="exact"/>
        <w:jc w:val="center"/>
        <w:rPr>
          <w:rFonts w:ascii="黑体" w:eastAsia="黑体"/>
          <w:b/>
          <w:bCs/>
          <w:sz w:val="52"/>
          <w:szCs w:val="52"/>
        </w:rPr>
      </w:pPr>
      <w:r>
        <w:rPr>
          <w:rFonts w:hint="eastAsia" w:ascii="黑体" w:eastAsia="黑体"/>
          <w:b/>
          <w:bCs/>
          <w:sz w:val="52"/>
          <w:szCs w:val="52"/>
        </w:rPr>
        <w:t>磋</w:t>
      </w:r>
    </w:p>
    <w:p>
      <w:pPr>
        <w:spacing w:line="800" w:lineRule="exact"/>
        <w:jc w:val="center"/>
        <w:rPr>
          <w:rFonts w:ascii="黑体" w:eastAsia="黑体"/>
          <w:b/>
          <w:bCs/>
          <w:sz w:val="52"/>
          <w:szCs w:val="52"/>
        </w:rPr>
      </w:pPr>
      <w:r>
        <w:rPr>
          <w:rFonts w:hint="eastAsia" w:ascii="黑体" w:eastAsia="黑体"/>
          <w:b/>
          <w:bCs/>
          <w:sz w:val="52"/>
          <w:szCs w:val="52"/>
        </w:rPr>
        <w:t>商</w:t>
      </w:r>
    </w:p>
    <w:p>
      <w:pPr>
        <w:spacing w:line="800" w:lineRule="exact"/>
        <w:jc w:val="center"/>
        <w:rPr>
          <w:rFonts w:ascii="黑体" w:eastAsia="黑体"/>
          <w:b/>
          <w:bCs/>
          <w:sz w:val="52"/>
          <w:szCs w:val="52"/>
        </w:rPr>
      </w:pPr>
      <w:r>
        <w:rPr>
          <w:rFonts w:hint="eastAsia" w:ascii="黑体" w:eastAsia="黑体"/>
          <w:b/>
          <w:bCs/>
          <w:sz w:val="52"/>
          <w:szCs w:val="52"/>
        </w:rPr>
        <w:t>文</w:t>
      </w:r>
    </w:p>
    <w:p>
      <w:pPr>
        <w:spacing w:line="800" w:lineRule="exact"/>
        <w:jc w:val="center"/>
        <w:rPr>
          <w:rFonts w:ascii="黑体" w:eastAsia="黑体"/>
          <w:b/>
          <w:bCs/>
          <w:sz w:val="52"/>
          <w:szCs w:val="52"/>
        </w:rPr>
      </w:pPr>
      <w:r>
        <w:rPr>
          <w:rFonts w:hint="eastAsia" w:ascii="黑体" w:eastAsia="黑体"/>
          <w:b/>
          <w:bCs/>
          <w:sz w:val="52"/>
          <w:szCs w:val="52"/>
        </w:rPr>
        <w:t>件</w:t>
      </w:r>
    </w:p>
    <w:p>
      <w:pPr>
        <w:pStyle w:val="2"/>
        <w:ind w:firstLine="560"/>
        <w:rPr>
          <w:rFonts w:ascii="宋体" w:hAnsi="宋体" w:eastAsia="宋体" w:cs="宋体"/>
        </w:rPr>
      </w:pPr>
    </w:p>
    <w:p>
      <w:pPr>
        <w:jc w:val="center"/>
        <w:rPr>
          <w:rFonts w:ascii="宋体" w:hAnsi="宋体" w:cs="宋体"/>
          <w:sz w:val="24"/>
          <w:szCs w:val="24"/>
        </w:rPr>
      </w:pPr>
    </w:p>
    <w:p>
      <w:pPr>
        <w:jc w:val="center"/>
        <w:rPr>
          <w:rFonts w:ascii="宋体" w:hAnsi="宋体" w:cs="宋体"/>
          <w:b/>
          <w:bCs/>
          <w:sz w:val="28"/>
          <w:szCs w:val="28"/>
        </w:rPr>
      </w:pPr>
      <w:r>
        <w:rPr>
          <w:rFonts w:hint="eastAsia" w:ascii="宋体" w:hAnsi="宋体" w:cs="宋体"/>
          <w:b/>
          <w:bCs/>
          <w:sz w:val="28"/>
          <w:szCs w:val="28"/>
        </w:rPr>
        <w:t>采购人：皖北卫生职业学院（盖章）</w:t>
      </w:r>
    </w:p>
    <w:p>
      <w:pPr>
        <w:ind w:firstLine="843" w:firstLineChars="300"/>
        <w:rPr>
          <w:rFonts w:ascii="宋体" w:hAnsi="宋体" w:cs="宋体"/>
          <w:b/>
          <w:bCs/>
          <w:sz w:val="28"/>
          <w:szCs w:val="28"/>
        </w:rPr>
      </w:pPr>
    </w:p>
    <w:p>
      <w:pPr>
        <w:ind w:firstLine="843" w:firstLineChars="300"/>
        <w:rPr>
          <w:rFonts w:ascii="宋体" w:hAnsi="宋体" w:cs="宋体"/>
          <w:b/>
          <w:bCs/>
          <w:sz w:val="28"/>
          <w:szCs w:val="28"/>
        </w:rPr>
      </w:pPr>
    </w:p>
    <w:p>
      <w:pPr>
        <w:ind w:firstLine="1405" w:firstLineChars="500"/>
        <w:rPr>
          <w:rFonts w:ascii="宋体" w:hAnsi="宋体" w:cs="宋体"/>
          <w:b/>
          <w:bCs/>
          <w:sz w:val="28"/>
          <w:szCs w:val="28"/>
        </w:rPr>
      </w:pPr>
      <w:r>
        <w:rPr>
          <w:rFonts w:hint="eastAsia" w:ascii="宋体" w:hAnsi="宋体" w:cs="宋体"/>
          <w:b/>
          <w:bCs/>
          <w:sz w:val="28"/>
          <w:szCs w:val="28"/>
        </w:rPr>
        <w:t>代理机构：</w:t>
      </w:r>
      <w:r>
        <w:rPr>
          <w:rFonts w:hint="eastAsia" w:ascii="宋体" w:hAnsi="宋体" w:cs="宋体"/>
          <w:b/>
          <w:bCs/>
          <w:sz w:val="28"/>
          <w:szCs w:val="28"/>
          <w:lang w:val="en-US" w:eastAsia="zh-CN"/>
        </w:rPr>
        <w:t>安徽皖瑞工程造价咨询事务所有限公司</w:t>
      </w:r>
      <w:r>
        <w:rPr>
          <w:rFonts w:hint="eastAsia" w:ascii="宋体" w:hAnsi="宋体" w:cs="宋体"/>
          <w:b/>
          <w:bCs/>
          <w:sz w:val="28"/>
          <w:szCs w:val="28"/>
        </w:rPr>
        <w:t>（盖章）</w:t>
      </w:r>
    </w:p>
    <w:p>
      <w:pPr>
        <w:pStyle w:val="2"/>
        <w:ind w:firstLine="640"/>
        <w:rPr>
          <w:b/>
          <w:bCs/>
          <w:sz w:val="32"/>
          <w:szCs w:val="22"/>
        </w:rPr>
      </w:pPr>
    </w:p>
    <w:p>
      <w:pPr>
        <w:spacing w:line="360" w:lineRule="auto"/>
        <w:ind w:right="42" w:rightChars="20"/>
        <w:jc w:val="center"/>
        <w:rPr>
          <w:rFonts w:ascii="宋体" w:hAnsi="宋体" w:cs="宋体"/>
          <w:b/>
          <w:bCs/>
          <w:sz w:val="32"/>
          <w:szCs w:val="32"/>
        </w:rPr>
      </w:pPr>
      <w:r>
        <w:rPr>
          <w:rFonts w:hint="eastAsia" w:ascii="宋体" w:hAnsi="宋体" w:cs="宋体"/>
          <w:b/>
          <w:bCs/>
          <w:sz w:val="32"/>
          <w:szCs w:val="32"/>
        </w:rPr>
        <w:t>2023年</w:t>
      </w:r>
      <w:r>
        <w:rPr>
          <w:rFonts w:hint="eastAsia" w:ascii="宋体" w:hAnsi="宋体" w:cs="宋体"/>
          <w:b/>
          <w:bCs/>
          <w:sz w:val="32"/>
          <w:szCs w:val="32"/>
          <w:lang w:val="en-US" w:eastAsia="zh-CN"/>
        </w:rPr>
        <w:t>10</w:t>
      </w:r>
      <w:r>
        <w:rPr>
          <w:rFonts w:hint="eastAsia" w:ascii="宋体" w:hAnsi="宋体" w:cs="宋体"/>
          <w:b/>
          <w:bCs/>
          <w:sz w:val="32"/>
          <w:szCs w:val="32"/>
        </w:rPr>
        <w:t>月</w:t>
      </w:r>
    </w:p>
    <w:p>
      <w:pPr>
        <w:spacing w:line="360" w:lineRule="exact"/>
        <w:ind w:firstLine="803" w:firstLineChars="200"/>
        <w:jc w:val="center"/>
        <w:rPr>
          <w:rFonts w:ascii="黑体" w:hAnsi="黑体" w:eastAsia="黑体"/>
          <w:b/>
          <w:bCs/>
          <w:sz w:val="40"/>
          <w:szCs w:val="40"/>
        </w:rPr>
        <w:sectPr>
          <w:pgSz w:w="11910" w:h="16850"/>
          <w:pgMar w:top="1380" w:right="900" w:bottom="1480" w:left="1440" w:header="1046" w:footer="1218" w:gutter="0"/>
          <w:cols w:space="720" w:num="1"/>
        </w:sectPr>
      </w:pPr>
      <w:bookmarkStart w:id="0" w:name="_Toc511899286"/>
      <w:bookmarkEnd w:id="0"/>
      <w:bookmarkStart w:id="1" w:name="_Toc272218544"/>
    </w:p>
    <w:p>
      <w:pPr>
        <w:spacing w:line="360" w:lineRule="exact"/>
        <w:ind w:firstLine="723" w:firstLineChars="200"/>
        <w:jc w:val="center"/>
        <w:rPr>
          <w:rFonts w:ascii="宋体" w:hAnsi="宋体" w:cs="宋体"/>
          <w:b/>
          <w:bCs/>
          <w:kern w:val="0"/>
          <w:sz w:val="24"/>
          <w:szCs w:val="24"/>
        </w:rPr>
      </w:pPr>
      <w:r>
        <w:rPr>
          <w:rFonts w:hint="eastAsia" w:ascii="宋体" w:hAnsi="宋体" w:cs="宋体"/>
          <w:b/>
          <w:bCs/>
          <w:sz w:val="36"/>
          <w:szCs w:val="36"/>
          <w:lang w:val="zh-CN"/>
        </w:rPr>
        <w:t>目  录</w:t>
      </w:r>
    </w:p>
    <w:p>
      <w:pPr>
        <w:pStyle w:val="17"/>
        <w:tabs>
          <w:tab w:val="right" w:leader="dot" w:pos="9570"/>
        </w:tabs>
        <w:ind w:left="420"/>
        <w:rPr>
          <w:rFonts w:ascii="宋体" w:hAnsi="宋体" w:eastAsia="宋体" w:cs="宋体"/>
          <w:b w:val="0"/>
          <w:bCs w:val="0"/>
        </w:rPr>
      </w:pPr>
      <w:r>
        <w:rPr>
          <w:rFonts w:hint="eastAsia" w:ascii="宋体" w:hAnsi="宋体" w:eastAsia="宋体" w:cs="宋体"/>
          <w:lang w:val="zh-CN"/>
        </w:rPr>
        <w:fldChar w:fldCharType="begin"/>
      </w:r>
      <w:r>
        <w:rPr>
          <w:rFonts w:hint="eastAsia" w:ascii="宋体" w:hAnsi="宋体" w:eastAsia="宋体" w:cs="宋体"/>
          <w:lang w:val="zh-CN"/>
        </w:rPr>
        <w:instrText xml:space="preserve"> TOC \o "1-3" \h \z \u </w:instrText>
      </w:r>
      <w:r>
        <w:rPr>
          <w:rFonts w:hint="eastAsia" w:ascii="宋体" w:hAnsi="宋体" w:eastAsia="宋体" w:cs="宋体"/>
          <w:lang w:val="zh-CN"/>
        </w:rPr>
        <w:fldChar w:fldCharType="separate"/>
      </w:r>
      <w:r>
        <w:fldChar w:fldCharType="begin"/>
      </w:r>
      <w:r>
        <w:instrText xml:space="preserve"> HYPERLINK \l "_Toc9403" </w:instrText>
      </w:r>
      <w:r>
        <w:fldChar w:fldCharType="separate"/>
      </w:r>
      <w:r>
        <w:rPr>
          <w:rFonts w:hint="eastAsia" w:ascii="宋体" w:hAnsi="宋体" w:eastAsia="宋体" w:cs="宋体"/>
          <w:b w:val="0"/>
          <w:bCs w:val="0"/>
        </w:rPr>
        <w:t>第一章 竞争性磋商公告</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_Toc9403 </w:instrText>
      </w:r>
      <w:r>
        <w:rPr>
          <w:rFonts w:hint="eastAsia" w:ascii="宋体" w:hAnsi="宋体" w:eastAsia="宋体" w:cs="宋体"/>
          <w:b w:val="0"/>
          <w:bCs w:val="0"/>
        </w:rPr>
        <w:fldChar w:fldCharType="separate"/>
      </w:r>
      <w:r>
        <w:rPr>
          <w:rFonts w:hint="eastAsia" w:ascii="宋体" w:hAnsi="宋体" w:eastAsia="宋体" w:cs="宋体"/>
          <w:b w:val="0"/>
          <w:bCs w:val="0"/>
        </w:rPr>
        <w:t>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7"/>
        <w:tabs>
          <w:tab w:val="right" w:leader="dot" w:pos="9570"/>
        </w:tabs>
        <w:ind w:left="420"/>
        <w:rPr>
          <w:rFonts w:ascii="宋体" w:hAnsi="宋体" w:eastAsia="宋体" w:cs="宋体"/>
          <w:b w:val="0"/>
          <w:bCs w:val="0"/>
        </w:rPr>
      </w:pPr>
      <w:r>
        <w:fldChar w:fldCharType="begin"/>
      </w:r>
      <w:r>
        <w:instrText xml:space="preserve"> HYPERLINK \l "_Toc31011" </w:instrText>
      </w:r>
      <w:r>
        <w:fldChar w:fldCharType="separate"/>
      </w:r>
      <w:r>
        <w:rPr>
          <w:rFonts w:hint="eastAsia" w:ascii="宋体" w:hAnsi="宋体" w:eastAsia="宋体" w:cs="宋体"/>
          <w:b w:val="0"/>
          <w:bCs w:val="0"/>
        </w:rPr>
        <w:t>第二章 供应商须知前附表</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_Toc31011 </w:instrText>
      </w:r>
      <w:r>
        <w:rPr>
          <w:rFonts w:hint="eastAsia" w:ascii="宋体" w:hAnsi="宋体" w:eastAsia="宋体" w:cs="宋体"/>
          <w:b w:val="0"/>
          <w:bCs w:val="0"/>
        </w:rPr>
        <w:fldChar w:fldCharType="separate"/>
      </w:r>
      <w:r>
        <w:rPr>
          <w:rFonts w:hint="eastAsia" w:ascii="宋体" w:hAnsi="宋体" w:eastAsia="宋体" w:cs="宋体"/>
          <w:b w:val="0"/>
          <w:bCs w:val="0"/>
        </w:rPr>
        <w:t>3</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7"/>
        <w:tabs>
          <w:tab w:val="right" w:leader="dot" w:pos="9570"/>
        </w:tabs>
        <w:ind w:left="420"/>
        <w:rPr>
          <w:rFonts w:ascii="宋体" w:hAnsi="宋体" w:eastAsia="宋体" w:cs="宋体"/>
          <w:b w:val="0"/>
          <w:bCs w:val="0"/>
        </w:rPr>
      </w:pPr>
      <w:r>
        <w:fldChar w:fldCharType="begin"/>
      </w:r>
      <w:r>
        <w:instrText xml:space="preserve"> HYPERLINK \l "_Toc18529" </w:instrText>
      </w:r>
      <w:r>
        <w:fldChar w:fldCharType="separate"/>
      </w:r>
      <w:r>
        <w:rPr>
          <w:rFonts w:hint="eastAsia" w:ascii="宋体" w:hAnsi="宋体" w:eastAsia="宋体" w:cs="宋体"/>
          <w:b w:val="0"/>
          <w:bCs w:val="0"/>
        </w:rPr>
        <w:t>第三章 采购需求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_Toc18529 </w:instrText>
      </w:r>
      <w:r>
        <w:rPr>
          <w:rFonts w:hint="eastAsia" w:ascii="宋体" w:hAnsi="宋体" w:eastAsia="宋体" w:cs="宋体"/>
          <w:b w:val="0"/>
          <w:bCs w:val="0"/>
        </w:rPr>
        <w:fldChar w:fldCharType="separate"/>
      </w:r>
      <w:r>
        <w:rPr>
          <w:rFonts w:hint="eastAsia" w:ascii="宋体" w:hAnsi="宋体" w:eastAsia="宋体" w:cs="宋体"/>
          <w:b w:val="0"/>
          <w:bCs w:val="0"/>
        </w:rPr>
        <w:t>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7"/>
        <w:tabs>
          <w:tab w:val="right" w:leader="dot" w:pos="9570"/>
        </w:tabs>
        <w:ind w:left="420"/>
        <w:rPr>
          <w:rFonts w:ascii="宋体" w:hAnsi="宋体" w:eastAsia="宋体" w:cs="宋体"/>
          <w:b w:val="0"/>
          <w:bCs w:val="0"/>
        </w:rPr>
      </w:pPr>
      <w:r>
        <w:fldChar w:fldCharType="begin"/>
      </w:r>
      <w:r>
        <w:instrText xml:space="preserve"> HYPERLINK \l "_Toc55" </w:instrText>
      </w:r>
      <w:r>
        <w:fldChar w:fldCharType="separate"/>
      </w:r>
      <w:r>
        <w:rPr>
          <w:rFonts w:hint="eastAsia" w:ascii="宋体" w:hAnsi="宋体" w:eastAsia="宋体" w:cs="宋体"/>
          <w:b w:val="0"/>
          <w:bCs w:val="0"/>
        </w:rPr>
        <w:t>第四章 实质性响应审查</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_Toc55 </w:instrText>
      </w:r>
      <w:r>
        <w:rPr>
          <w:rFonts w:hint="eastAsia" w:ascii="宋体" w:hAnsi="宋体" w:eastAsia="宋体" w:cs="宋体"/>
          <w:b w:val="0"/>
          <w:bCs w:val="0"/>
        </w:rPr>
        <w:fldChar w:fldCharType="separate"/>
      </w:r>
      <w:r>
        <w:rPr>
          <w:rFonts w:hint="eastAsia" w:ascii="宋体" w:hAnsi="宋体" w:eastAsia="宋体" w:cs="宋体"/>
          <w:b w:val="0"/>
          <w:bCs w:val="0"/>
        </w:rPr>
        <w:t>7</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7"/>
        <w:tabs>
          <w:tab w:val="right" w:leader="dot" w:pos="9570"/>
        </w:tabs>
        <w:ind w:left="420"/>
        <w:rPr>
          <w:rFonts w:ascii="宋体" w:hAnsi="宋体" w:eastAsia="宋体" w:cs="宋体"/>
          <w:b w:val="0"/>
          <w:bCs w:val="0"/>
        </w:rPr>
      </w:pPr>
      <w:r>
        <w:fldChar w:fldCharType="begin"/>
      </w:r>
      <w:r>
        <w:instrText xml:space="preserve"> HYPERLINK \l "_Toc18594" </w:instrText>
      </w:r>
      <w:r>
        <w:fldChar w:fldCharType="separate"/>
      </w:r>
      <w:r>
        <w:rPr>
          <w:rFonts w:hint="eastAsia" w:ascii="宋体" w:hAnsi="宋体" w:eastAsia="宋体" w:cs="宋体"/>
          <w:b w:val="0"/>
          <w:bCs w:val="0"/>
        </w:rPr>
        <w:t>第五章 评分办法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_Toc18594 </w:instrText>
      </w:r>
      <w:r>
        <w:rPr>
          <w:rFonts w:hint="eastAsia" w:ascii="宋体" w:hAnsi="宋体" w:eastAsia="宋体" w:cs="宋体"/>
          <w:b w:val="0"/>
          <w:bCs w:val="0"/>
        </w:rPr>
        <w:fldChar w:fldCharType="separate"/>
      </w:r>
      <w:r>
        <w:rPr>
          <w:rFonts w:hint="eastAsia" w:ascii="宋体" w:hAnsi="宋体" w:eastAsia="宋体" w:cs="宋体"/>
          <w:b w:val="0"/>
          <w:bCs w:val="0"/>
        </w:rPr>
        <w:t>9</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7"/>
        <w:tabs>
          <w:tab w:val="right" w:leader="dot" w:pos="9570"/>
        </w:tabs>
        <w:ind w:left="420"/>
        <w:rPr>
          <w:rFonts w:ascii="宋体" w:hAnsi="宋体" w:eastAsia="宋体" w:cs="宋体"/>
          <w:b w:val="0"/>
          <w:bCs w:val="0"/>
        </w:rPr>
      </w:pPr>
      <w:r>
        <w:fldChar w:fldCharType="begin"/>
      </w:r>
      <w:r>
        <w:instrText xml:space="preserve"> HYPERLINK \l "_Toc17460" </w:instrText>
      </w:r>
      <w:r>
        <w:fldChar w:fldCharType="separate"/>
      </w:r>
      <w:r>
        <w:rPr>
          <w:rFonts w:hint="eastAsia" w:ascii="宋体" w:hAnsi="宋体" w:eastAsia="宋体" w:cs="宋体"/>
          <w:b w:val="0"/>
          <w:bCs w:val="0"/>
        </w:rPr>
        <w:t>第六章 供应商须知</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_Toc17460 </w:instrText>
      </w:r>
      <w:r>
        <w:rPr>
          <w:rFonts w:hint="eastAsia" w:ascii="宋体" w:hAnsi="宋体" w:eastAsia="宋体" w:cs="宋体"/>
          <w:b w:val="0"/>
          <w:bCs w:val="0"/>
        </w:rPr>
        <w:fldChar w:fldCharType="separate"/>
      </w:r>
      <w:r>
        <w:rPr>
          <w:rFonts w:hint="eastAsia" w:ascii="宋体" w:hAnsi="宋体" w:eastAsia="宋体" w:cs="宋体"/>
          <w:b w:val="0"/>
          <w:bCs w:val="0"/>
        </w:rPr>
        <w:t>11</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7"/>
        <w:tabs>
          <w:tab w:val="right" w:leader="dot" w:pos="9570"/>
        </w:tabs>
        <w:ind w:left="420"/>
        <w:rPr>
          <w:rFonts w:hint="eastAsia" w:ascii="宋体" w:hAnsi="宋体" w:eastAsia="宋体" w:cs="宋体"/>
          <w:b w:val="0"/>
          <w:bCs w:val="0"/>
          <w:lang w:val="en-US" w:eastAsia="zh-CN"/>
        </w:rPr>
      </w:pPr>
      <w:r>
        <w:fldChar w:fldCharType="begin"/>
      </w:r>
      <w:r>
        <w:instrText xml:space="preserve"> HYPERLINK \l "_Toc16784" </w:instrText>
      </w:r>
      <w:r>
        <w:fldChar w:fldCharType="separate"/>
      </w:r>
      <w:r>
        <w:rPr>
          <w:rFonts w:hint="eastAsia" w:ascii="宋体" w:hAnsi="宋体" w:eastAsia="宋体" w:cs="宋体"/>
          <w:b w:val="0"/>
          <w:bCs w:val="0"/>
          <w:szCs w:val="32"/>
        </w:rPr>
        <w:t>第七章 合同条款及格式</w:t>
      </w:r>
      <w:r>
        <w:rPr>
          <w:rFonts w:hint="eastAsia" w:ascii="宋体" w:hAnsi="宋体" w:eastAsia="宋体" w:cs="宋体"/>
          <w:b w:val="0"/>
          <w:bCs w:val="0"/>
        </w:rPr>
        <w:tab/>
      </w:r>
      <w:r>
        <w:rPr>
          <w:rFonts w:hint="eastAsia" w:ascii="宋体" w:hAnsi="宋体" w:eastAsia="宋体" w:cs="宋体"/>
          <w:b w:val="0"/>
          <w:bCs w:val="0"/>
          <w:lang w:val="en-US" w:eastAsia="zh-CN"/>
        </w:rPr>
        <w:t>2</w:t>
      </w:r>
      <w:r>
        <w:rPr>
          <w:rFonts w:hint="eastAsia" w:ascii="宋体" w:hAnsi="宋体" w:eastAsia="宋体" w:cs="宋体"/>
          <w:b w:val="0"/>
          <w:bCs w:val="0"/>
        </w:rPr>
        <w:fldChar w:fldCharType="end"/>
      </w:r>
      <w:r>
        <w:rPr>
          <w:rFonts w:hint="eastAsia" w:ascii="宋体" w:hAnsi="宋体" w:eastAsia="宋体" w:cs="宋体"/>
          <w:b w:val="0"/>
          <w:bCs w:val="0"/>
          <w:lang w:val="en-US" w:eastAsia="zh-CN"/>
        </w:rPr>
        <w:t>6</w:t>
      </w:r>
    </w:p>
    <w:p>
      <w:pPr>
        <w:pStyle w:val="17"/>
        <w:tabs>
          <w:tab w:val="right" w:leader="dot" w:pos="9570"/>
        </w:tabs>
        <w:ind w:left="420"/>
        <w:rPr>
          <w:rFonts w:hint="eastAsia" w:ascii="宋体" w:hAnsi="宋体" w:eastAsia="宋体" w:cs="宋体"/>
          <w:b w:val="0"/>
          <w:bCs w:val="0"/>
          <w:lang w:val="en-US" w:eastAsia="zh-CN"/>
        </w:rPr>
      </w:pPr>
      <w:r>
        <w:fldChar w:fldCharType="begin"/>
      </w:r>
      <w:r>
        <w:instrText xml:space="preserve"> HYPERLINK \l "_Toc1671" </w:instrText>
      </w:r>
      <w:r>
        <w:fldChar w:fldCharType="separate"/>
      </w:r>
      <w:r>
        <w:rPr>
          <w:rFonts w:hint="eastAsia" w:ascii="宋体" w:hAnsi="宋体" w:eastAsia="宋体" w:cs="宋体"/>
          <w:b w:val="0"/>
          <w:bCs w:val="0"/>
        </w:rPr>
        <w:t>第八章 磋商响应文件</w:t>
      </w:r>
      <w:r>
        <w:rPr>
          <w:rFonts w:hint="eastAsia" w:ascii="宋体" w:hAnsi="宋体" w:eastAsia="宋体" w:cs="宋体"/>
          <w:b w:val="0"/>
          <w:bCs w:val="0"/>
        </w:rPr>
        <w:tab/>
      </w:r>
      <w:r>
        <w:rPr>
          <w:rFonts w:hint="eastAsia" w:ascii="宋体" w:hAnsi="宋体" w:eastAsia="宋体" w:cs="宋体"/>
          <w:b w:val="0"/>
          <w:bCs w:val="0"/>
          <w:lang w:val="en-US" w:eastAsia="zh-CN"/>
        </w:rPr>
        <w:t>3</w:t>
      </w:r>
      <w:r>
        <w:rPr>
          <w:rFonts w:hint="eastAsia" w:ascii="宋体" w:hAnsi="宋体" w:eastAsia="宋体" w:cs="宋体"/>
          <w:b w:val="0"/>
          <w:bCs w:val="0"/>
        </w:rPr>
        <w:fldChar w:fldCharType="end"/>
      </w:r>
      <w:r>
        <w:rPr>
          <w:rFonts w:hint="eastAsia" w:ascii="宋体" w:hAnsi="宋体" w:eastAsia="宋体" w:cs="宋体"/>
          <w:b w:val="0"/>
          <w:bCs w:val="0"/>
          <w:lang w:val="en-US" w:eastAsia="zh-CN"/>
        </w:rPr>
        <w:t>2</w:t>
      </w:r>
    </w:p>
    <w:p>
      <w:pPr>
        <w:pStyle w:val="11"/>
        <w:tabs>
          <w:tab w:val="right" w:leader="dot" w:pos="9570"/>
        </w:tabs>
        <w:ind w:left="840"/>
        <w:rPr>
          <w:rFonts w:ascii="宋体" w:hAnsi="宋体" w:cs="宋体"/>
        </w:rPr>
      </w:pPr>
    </w:p>
    <w:p>
      <w:pPr>
        <w:rPr>
          <w:lang w:val="zh-CN"/>
        </w:rPr>
      </w:pPr>
      <w:r>
        <w:rPr>
          <w:rFonts w:hint="eastAsia" w:ascii="宋体" w:hAnsi="宋体" w:cs="宋体"/>
          <w:lang w:val="zh-CN"/>
        </w:rPr>
        <w:fldChar w:fldCharType="end"/>
      </w:r>
    </w:p>
    <w:p>
      <w:pPr>
        <w:pStyle w:val="29"/>
        <w:spacing w:line="440" w:lineRule="exact"/>
        <w:rPr>
          <w:rFonts w:eastAsia="宋体"/>
          <w:color w:val="auto"/>
        </w:rPr>
        <w:sectPr>
          <w:footerReference r:id="rId3" w:type="default"/>
          <w:pgSz w:w="11910" w:h="16850"/>
          <w:pgMar w:top="1380" w:right="900" w:bottom="1480" w:left="1440" w:header="1046" w:footer="1218" w:gutter="0"/>
          <w:pgNumType w:start="1"/>
          <w:cols w:space="720" w:num="1"/>
        </w:sectPr>
      </w:pPr>
    </w:p>
    <w:p>
      <w:pPr>
        <w:pStyle w:val="29"/>
        <w:spacing w:line="440" w:lineRule="exact"/>
        <w:rPr>
          <w:rFonts w:eastAsia="宋体"/>
          <w:color w:val="auto"/>
        </w:rPr>
      </w:pPr>
      <w:bookmarkStart w:id="2" w:name="_Toc9403"/>
      <w:r>
        <w:rPr>
          <w:rFonts w:hint="eastAsia" w:eastAsia="宋体"/>
          <w:color w:val="auto"/>
        </w:rPr>
        <w:t>第一章 竞争性磋商公告</w:t>
      </w:r>
      <w:bookmarkEnd w:id="1"/>
      <w:bookmarkEnd w:id="2"/>
    </w:p>
    <w:p>
      <w:pPr>
        <w:spacing w:line="440" w:lineRule="exact"/>
        <w:ind w:firstLine="420" w:firstLineChars="200"/>
        <w:rPr>
          <w:rFonts w:ascii="宋体" w:hAnsi="宋体" w:cs="宋体"/>
          <w:color w:val="000000" w:themeColor="text1"/>
        </w:rPr>
      </w:pPr>
      <w:r>
        <w:rPr>
          <w:rFonts w:hint="eastAsia" w:ascii="宋体" w:hAnsi="宋体" w:cs="宋体"/>
          <w:color w:val="000000" w:themeColor="text1"/>
          <w:u w:val="single"/>
          <w:lang w:eastAsia="zh-CN"/>
        </w:rPr>
        <w:t>安徽皖瑞工程造价咨询事务所有限公司</w:t>
      </w:r>
      <w:r>
        <w:rPr>
          <w:rFonts w:hint="eastAsia" w:ascii="宋体" w:hAnsi="宋体" w:cs="宋体"/>
          <w:color w:val="000000" w:themeColor="text1"/>
        </w:rPr>
        <w:t>受</w:t>
      </w:r>
      <w:r>
        <w:rPr>
          <w:rFonts w:hint="eastAsia" w:ascii="宋体" w:hAnsi="宋体" w:cs="宋体"/>
          <w:color w:val="000000" w:themeColor="text1"/>
          <w:u w:val="single"/>
        </w:rPr>
        <w:t>皖北卫生职业学院</w:t>
      </w:r>
      <w:r>
        <w:rPr>
          <w:rFonts w:hint="eastAsia" w:ascii="宋体" w:hAnsi="宋体" w:cs="宋体"/>
          <w:color w:val="000000" w:themeColor="text1"/>
        </w:rPr>
        <w:t>的委托，现对</w:t>
      </w:r>
      <w:r>
        <w:rPr>
          <w:rFonts w:hint="eastAsia" w:ascii="宋体" w:hAnsi="宋体" w:cs="宋体"/>
          <w:color w:val="000000" w:themeColor="text1"/>
          <w:u w:val="single"/>
          <w:lang w:eastAsia="zh-CN"/>
        </w:rPr>
        <w:t>皖北卫生职业学院2019-2022年预算执行与财务收支审计采购项目</w:t>
      </w:r>
      <w:r>
        <w:rPr>
          <w:rFonts w:hint="eastAsia" w:ascii="宋体" w:hAnsi="宋体" w:cs="宋体"/>
          <w:color w:val="000000" w:themeColor="text1"/>
          <w:u w:val="single"/>
        </w:rPr>
        <w:t xml:space="preserve"> </w:t>
      </w:r>
      <w:r>
        <w:rPr>
          <w:rFonts w:hint="eastAsia" w:ascii="宋体" w:hAnsi="宋体" w:cs="宋体"/>
          <w:color w:val="000000" w:themeColor="text1"/>
        </w:rPr>
        <w:t>进行竞争性磋商，欢迎具备条件的国内供应商参加磋商。</w:t>
      </w:r>
    </w:p>
    <w:p>
      <w:pPr>
        <w:pStyle w:val="31"/>
        <w:jc w:val="left"/>
        <w:rPr>
          <w:rFonts w:cs="宋体"/>
          <w:color w:val="000000" w:themeColor="text1"/>
        </w:rPr>
      </w:pPr>
      <w:bookmarkStart w:id="3" w:name="_Toc511899287"/>
      <w:bookmarkEnd w:id="3"/>
      <w:bookmarkStart w:id="4" w:name="_Toc26736"/>
      <w:bookmarkStart w:id="5" w:name="_Toc11370"/>
      <w:r>
        <w:rPr>
          <w:rFonts w:hint="eastAsia" w:cs="宋体"/>
          <w:color w:val="000000" w:themeColor="text1"/>
        </w:rPr>
        <w:t>一、项目名称及内容</w:t>
      </w:r>
      <w:bookmarkEnd w:id="4"/>
      <w:bookmarkEnd w:id="5"/>
    </w:p>
    <w:p>
      <w:pPr>
        <w:spacing w:line="360" w:lineRule="auto"/>
        <w:ind w:firstLine="210" w:firstLineChars="100"/>
        <w:rPr>
          <w:rFonts w:hint="eastAsia" w:ascii="宋体" w:hAnsi="宋体" w:cs="宋体"/>
          <w:color w:val="000000" w:themeColor="text1"/>
        </w:rPr>
      </w:pPr>
      <w:r>
        <w:rPr>
          <w:rFonts w:hint="eastAsia"/>
          <w:color w:val="000000" w:themeColor="text1"/>
        </w:rPr>
        <w:t>1、项</w:t>
      </w:r>
      <w:r>
        <w:rPr>
          <w:rFonts w:hint="eastAsia" w:ascii="宋体" w:hAnsi="宋体" w:cs="宋体"/>
          <w:color w:val="000000" w:themeColor="text1"/>
        </w:rPr>
        <w:t>目编号：</w:t>
      </w:r>
      <w:r>
        <w:rPr>
          <w:rFonts w:hint="eastAsia" w:ascii="宋体" w:hAnsi="宋体" w:cs="宋体"/>
          <w:color w:val="000000" w:themeColor="text1"/>
          <w:lang w:eastAsia="zh-CN"/>
        </w:rPr>
        <w:t>AHWR2023017</w:t>
      </w:r>
      <w:r>
        <w:rPr>
          <w:rFonts w:hint="eastAsia" w:ascii="宋体" w:hAnsi="宋体" w:cs="宋体"/>
          <w:color w:val="000000" w:themeColor="text1"/>
        </w:rPr>
        <w:t>；</w:t>
      </w:r>
    </w:p>
    <w:p>
      <w:pPr>
        <w:spacing w:line="360" w:lineRule="auto"/>
        <w:ind w:firstLine="210" w:firstLineChars="100"/>
        <w:rPr>
          <w:rFonts w:hint="eastAsia" w:ascii="宋体" w:hAnsi="宋体" w:cs="宋体"/>
          <w:color w:val="000000" w:themeColor="text1"/>
        </w:rPr>
      </w:pPr>
      <w:r>
        <w:rPr>
          <w:rFonts w:hint="eastAsia" w:ascii="宋体" w:hAnsi="宋体" w:cs="宋体"/>
          <w:color w:val="000000" w:themeColor="text1"/>
        </w:rPr>
        <w:t>2、项目名称：</w:t>
      </w:r>
      <w:r>
        <w:rPr>
          <w:rFonts w:hint="eastAsia" w:ascii="宋体" w:hAnsi="宋体" w:cs="宋体"/>
          <w:color w:val="000000" w:themeColor="text1"/>
          <w:lang w:eastAsia="zh-CN"/>
        </w:rPr>
        <w:t>皖北卫生职业学院2019-2022年预算执行与财务收支审计采购项目</w:t>
      </w:r>
      <w:r>
        <w:rPr>
          <w:rFonts w:hint="eastAsia" w:ascii="宋体" w:hAnsi="宋体" w:cs="宋体"/>
          <w:color w:val="000000" w:themeColor="text1"/>
        </w:rPr>
        <w:t xml:space="preserve"> ；</w:t>
      </w:r>
    </w:p>
    <w:p>
      <w:pPr>
        <w:spacing w:line="360" w:lineRule="auto"/>
        <w:ind w:firstLine="210" w:firstLineChars="100"/>
        <w:rPr>
          <w:rFonts w:hint="eastAsia" w:ascii="宋体" w:hAnsi="宋体" w:cs="宋体"/>
          <w:color w:val="000000" w:themeColor="text1"/>
        </w:rPr>
      </w:pPr>
      <w:r>
        <w:rPr>
          <w:rFonts w:hint="eastAsia" w:ascii="宋体" w:hAnsi="宋体" w:cs="宋体"/>
          <w:color w:val="000000" w:themeColor="text1"/>
        </w:rPr>
        <w:t>3、采购人：皖北卫生职业学院；</w:t>
      </w:r>
    </w:p>
    <w:p>
      <w:pPr>
        <w:spacing w:line="360" w:lineRule="auto"/>
        <w:ind w:firstLine="210" w:firstLineChars="100"/>
        <w:rPr>
          <w:rFonts w:hint="eastAsia" w:ascii="宋体" w:hAnsi="宋体" w:cs="宋体"/>
          <w:color w:val="000000" w:themeColor="text1"/>
        </w:rPr>
      </w:pPr>
      <w:r>
        <w:rPr>
          <w:rFonts w:hint="eastAsia" w:ascii="宋体" w:hAnsi="宋体" w:cs="宋体"/>
          <w:color w:val="000000" w:themeColor="text1"/>
        </w:rPr>
        <w:t>4、资金来源：自筹资金；</w:t>
      </w:r>
    </w:p>
    <w:p>
      <w:pPr>
        <w:spacing w:line="360" w:lineRule="auto"/>
        <w:ind w:firstLine="210" w:firstLineChars="100"/>
        <w:rPr>
          <w:rFonts w:hint="eastAsia" w:ascii="宋体" w:hAnsi="宋体" w:cs="宋体"/>
          <w:color w:val="000000" w:themeColor="text1"/>
        </w:rPr>
      </w:pPr>
      <w:r>
        <w:rPr>
          <w:rFonts w:hint="eastAsia" w:ascii="宋体" w:hAnsi="宋体" w:cs="宋体"/>
          <w:color w:val="000000" w:themeColor="text1"/>
        </w:rPr>
        <w:t>5、采购预算（最高限价）：</w:t>
      </w:r>
      <w:r>
        <w:rPr>
          <w:rFonts w:hint="eastAsia" w:ascii="宋体" w:hAnsi="宋体" w:cs="宋体"/>
          <w:color w:val="000000" w:themeColor="text1"/>
          <w:lang w:val="en-US" w:eastAsia="zh-CN"/>
        </w:rPr>
        <w:t>48000.00</w:t>
      </w:r>
      <w:r>
        <w:rPr>
          <w:rFonts w:hint="eastAsia" w:ascii="宋体" w:hAnsi="宋体" w:cs="宋体"/>
          <w:color w:val="000000" w:themeColor="text1"/>
        </w:rPr>
        <w:t>元</w:t>
      </w:r>
      <w:r>
        <w:rPr>
          <w:rFonts w:hint="eastAsia" w:ascii="宋体" w:hAnsi="宋体" w:cs="宋体"/>
          <w:color w:val="000000" w:themeColor="text1"/>
          <w:lang w:val="en-US" w:eastAsia="zh-CN"/>
        </w:rPr>
        <w:t>/年度（共4年）</w:t>
      </w:r>
      <w:r>
        <w:rPr>
          <w:rFonts w:hint="eastAsia" w:ascii="宋体" w:hAnsi="宋体" w:cs="宋体"/>
          <w:color w:val="000000" w:themeColor="text1"/>
        </w:rPr>
        <w:t>；</w:t>
      </w:r>
    </w:p>
    <w:p>
      <w:pPr>
        <w:spacing w:line="360" w:lineRule="auto"/>
        <w:ind w:firstLine="210" w:firstLineChars="100"/>
        <w:rPr>
          <w:rFonts w:hint="eastAsia" w:ascii="宋体" w:hAnsi="宋体" w:cs="宋体"/>
          <w:color w:val="000000" w:themeColor="text1"/>
        </w:rPr>
      </w:pPr>
      <w:r>
        <w:rPr>
          <w:rFonts w:hint="eastAsia" w:ascii="宋体" w:hAnsi="宋体" w:cs="宋体"/>
          <w:color w:val="000000" w:themeColor="text1"/>
        </w:rPr>
        <w:t>6、项目服务期：</w:t>
      </w:r>
      <w:r>
        <w:rPr>
          <w:rFonts w:hint="eastAsia" w:ascii="宋体" w:hAnsi="宋体" w:cs="宋体"/>
          <w:color w:val="000000" w:themeColor="text1"/>
          <w:lang w:val="en-US" w:eastAsia="zh-CN"/>
        </w:rPr>
        <w:t>150</w:t>
      </w:r>
      <w:r>
        <w:rPr>
          <w:rFonts w:hint="eastAsia" w:ascii="宋体" w:hAnsi="宋体" w:cs="宋体"/>
          <w:color w:val="000000" w:themeColor="text1"/>
        </w:rPr>
        <w:t>天完成全部工作；</w:t>
      </w:r>
    </w:p>
    <w:p>
      <w:pPr>
        <w:spacing w:line="360" w:lineRule="auto"/>
        <w:ind w:firstLine="210" w:firstLineChars="100"/>
        <w:rPr>
          <w:rFonts w:hint="eastAsia" w:ascii="宋体" w:hAnsi="宋体" w:cs="宋体"/>
          <w:color w:val="000000" w:themeColor="text1"/>
        </w:rPr>
      </w:pPr>
      <w:r>
        <w:rPr>
          <w:rFonts w:hint="eastAsia" w:ascii="宋体" w:hAnsi="宋体" w:cs="宋体"/>
          <w:color w:val="000000" w:themeColor="text1"/>
        </w:rPr>
        <w:t>7、采购需求：</w:t>
      </w:r>
      <w:r>
        <w:rPr>
          <w:rFonts w:hint="eastAsia" w:ascii="宋体" w:hAnsi="宋体" w:cs="宋体"/>
          <w:color w:val="000000" w:themeColor="text1"/>
          <w:lang w:eastAsia="zh-CN"/>
        </w:rPr>
        <w:t>皖北卫生职业学院2019-2022年预算执行与财务收支审计采购项目</w:t>
      </w:r>
      <w:r>
        <w:rPr>
          <w:rFonts w:hint="eastAsia" w:ascii="宋体" w:hAnsi="宋体" w:cs="宋体"/>
          <w:color w:val="000000" w:themeColor="text1"/>
        </w:rPr>
        <w:t xml:space="preserve"> ，具体详见采购文件。</w:t>
      </w:r>
    </w:p>
    <w:p>
      <w:pPr>
        <w:pStyle w:val="7"/>
        <w:keepNext/>
        <w:keepLines/>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000000" w:themeColor="text1"/>
          <w:kern w:val="2"/>
          <w:sz w:val="21"/>
          <w:szCs w:val="21"/>
          <w:lang w:val="en-US" w:eastAsia="zh-CN" w:bidi="ar-SA"/>
        </w:rPr>
      </w:pPr>
      <w:bookmarkStart w:id="6" w:name="_Toc19022"/>
      <w:bookmarkStart w:id="7" w:name="_Toc35393630"/>
      <w:bookmarkStart w:id="8" w:name="_Toc22990"/>
      <w:bookmarkStart w:id="9" w:name="_Toc28359090"/>
      <w:bookmarkStart w:id="10" w:name="_Toc28359013"/>
      <w:bookmarkStart w:id="11" w:name="_Toc28654"/>
      <w:bookmarkStart w:id="12" w:name="_Toc35393799"/>
      <w:bookmarkStart w:id="13" w:name="_Toc22137"/>
      <w:bookmarkStart w:id="14" w:name="_Toc5990"/>
      <w:bookmarkStart w:id="15" w:name="_Toc5086"/>
      <w:bookmarkStart w:id="16" w:name="_Toc31011"/>
      <w:r>
        <w:rPr>
          <w:rFonts w:hint="eastAsia" w:ascii="宋体" w:hAnsi="宋体" w:eastAsia="宋体" w:cs="宋体"/>
          <w:b w:val="0"/>
          <w:bCs w:val="0"/>
          <w:color w:val="000000" w:themeColor="text1"/>
          <w:kern w:val="2"/>
          <w:sz w:val="21"/>
          <w:szCs w:val="21"/>
          <w:lang w:val="en-US" w:eastAsia="zh-CN" w:bidi="ar-SA"/>
        </w:rPr>
        <w:t>二、申请人的资格要求：</w:t>
      </w:r>
      <w:bookmarkEnd w:id="6"/>
      <w:bookmarkEnd w:id="7"/>
      <w:bookmarkEnd w:id="8"/>
      <w:bookmarkEnd w:id="9"/>
      <w:bookmarkEnd w:id="10"/>
      <w:bookmarkEnd w:id="11"/>
      <w:bookmarkEnd w:id="12"/>
      <w:bookmarkEnd w:id="13"/>
      <w:bookmarkEnd w:id="14"/>
      <w:bookmarkEnd w:id="15"/>
    </w:p>
    <w:p>
      <w:pPr>
        <w:spacing w:line="560" w:lineRule="exact"/>
        <w:ind w:firstLine="420" w:firstLineChars="200"/>
        <w:rPr>
          <w:rFonts w:hint="eastAsia" w:ascii="宋体" w:hAnsi="宋体" w:eastAsia="宋体" w:cs="宋体"/>
          <w:b w:val="0"/>
          <w:bCs w:val="0"/>
          <w:color w:val="000000" w:themeColor="text1"/>
          <w:kern w:val="2"/>
          <w:sz w:val="21"/>
          <w:szCs w:val="21"/>
          <w:lang w:val="en-US" w:eastAsia="zh-CN" w:bidi="ar-SA"/>
        </w:rPr>
      </w:pPr>
      <w:r>
        <w:rPr>
          <w:rFonts w:hint="eastAsia" w:ascii="宋体" w:hAnsi="宋体" w:eastAsia="宋体" w:cs="宋体"/>
          <w:b w:val="0"/>
          <w:bCs w:val="0"/>
          <w:color w:val="000000" w:themeColor="text1"/>
          <w:kern w:val="2"/>
          <w:sz w:val="21"/>
          <w:szCs w:val="21"/>
          <w:lang w:val="en-US" w:eastAsia="zh-CN" w:bidi="ar-SA"/>
        </w:rPr>
        <w:t>1.满足《中华人民共和国政府采购法》第二十二条规定；</w:t>
      </w:r>
    </w:p>
    <w:p>
      <w:pPr>
        <w:spacing w:line="560" w:lineRule="exact"/>
        <w:ind w:firstLine="420" w:firstLineChars="200"/>
        <w:rPr>
          <w:rFonts w:hint="eastAsia" w:ascii="宋体" w:hAnsi="宋体" w:eastAsia="宋体" w:cs="宋体"/>
          <w:b w:val="0"/>
          <w:bCs w:val="0"/>
          <w:color w:val="000000" w:themeColor="text1"/>
          <w:kern w:val="2"/>
          <w:sz w:val="21"/>
          <w:szCs w:val="21"/>
          <w:lang w:val="en-US" w:eastAsia="zh-CN" w:bidi="ar-SA"/>
        </w:rPr>
      </w:pPr>
      <w:r>
        <w:rPr>
          <w:rFonts w:hint="eastAsia" w:ascii="宋体" w:hAnsi="宋体" w:eastAsia="宋体" w:cs="宋体"/>
          <w:b w:val="0"/>
          <w:bCs w:val="0"/>
          <w:color w:val="000000" w:themeColor="text1"/>
          <w:kern w:val="2"/>
          <w:sz w:val="21"/>
          <w:szCs w:val="21"/>
          <w:lang w:val="en-US" w:eastAsia="zh-CN" w:bidi="ar-SA"/>
        </w:rPr>
        <w:t>2.落实政府采购政策需满足的资格要求：／</w:t>
      </w:r>
    </w:p>
    <w:p>
      <w:pPr>
        <w:spacing w:line="560" w:lineRule="exact"/>
        <w:ind w:firstLine="420" w:firstLineChars="200"/>
        <w:rPr>
          <w:rFonts w:hint="eastAsia" w:ascii="宋体" w:hAnsi="宋体" w:eastAsia="宋体" w:cs="宋体"/>
          <w:b w:val="0"/>
          <w:bCs w:val="0"/>
          <w:color w:val="000000" w:themeColor="text1"/>
          <w:kern w:val="2"/>
          <w:sz w:val="21"/>
          <w:szCs w:val="21"/>
          <w:lang w:val="en-US" w:eastAsia="zh-CN" w:bidi="ar-SA"/>
        </w:rPr>
      </w:pPr>
      <w:r>
        <w:rPr>
          <w:rFonts w:hint="eastAsia" w:ascii="宋体" w:hAnsi="宋体" w:eastAsia="宋体" w:cs="宋体"/>
          <w:b w:val="0"/>
          <w:bCs w:val="0"/>
          <w:color w:val="000000" w:themeColor="text1"/>
          <w:kern w:val="2"/>
          <w:sz w:val="21"/>
          <w:szCs w:val="21"/>
          <w:lang w:val="en-US" w:eastAsia="zh-CN" w:bidi="ar-SA"/>
        </w:rPr>
        <w:t>3.本项目的特定资格要求：</w:t>
      </w:r>
    </w:p>
    <w:p>
      <w:pPr>
        <w:spacing w:line="560" w:lineRule="exact"/>
        <w:ind w:firstLine="420" w:firstLineChars="200"/>
        <w:rPr>
          <w:rFonts w:hint="eastAsia" w:ascii="宋体" w:hAnsi="宋体" w:eastAsia="宋体" w:cs="宋体"/>
          <w:b w:val="0"/>
          <w:bCs w:val="0"/>
          <w:color w:val="000000" w:themeColor="text1"/>
          <w:kern w:val="2"/>
          <w:sz w:val="21"/>
          <w:szCs w:val="21"/>
          <w:lang w:val="en-US" w:eastAsia="zh-CN" w:bidi="ar-SA"/>
        </w:rPr>
      </w:pPr>
      <w:r>
        <w:rPr>
          <w:rFonts w:hint="eastAsia" w:ascii="宋体" w:hAnsi="宋体" w:eastAsia="宋体" w:cs="宋体"/>
          <w:b w:val="0"/>
          <w:bCs w:val="0"/>
          <w:color w:val="000000" w:themeColor="text1"/>
          <w:kern w:val="2"/>
          <w:sz w:val="21"/>
          <w:szCs w:val="21"/>
          <w:lang w:val="en-US" w:eastAsia="zh-CN" w:bidi="ar-SA"/>
        </w:rPr>
        <w:t xml:space="preserve">3.1供应商（含不具有独立法人资格的分公司、不含具备独立法人资格的子公司）存在以下不良信用记录情形之一,不得推荐为中标候选人，不得确定为中标人: </w:t>
      </w:r>
    </w:p>
    <w:p>
      <w:pPr>
        <w:spacing w:line="560" w:lineRule="exact"/>
        <w:ind w:firstLine="420" w:firstLineChars="200"/>
        <w:rPr>
          <w:rFonts w:hint="eastAsia" w:ascii="宋体" w:hAnsi="宋体" w:eastAsia="宋体" w:cs="宋体"/>
          <w:b w:val="0"/>
          <w:bCs w:val="0"/>
          <w:color w:val="000000" w:themeColor="text1"/>
          <w:kern w:val="2"/>
          <w:sz w:val="21"/>
          <w:szCs w:val="21"/>
          <w:lang w:val="en-US" w:eastAsia="zh-CN" w:bidi="ar-SA"/>
        </w:rPr>
      </w:pPr>
      <w:r>
        <w:rPr>
          <w:rFonts w:hint="eastAsia" w:ascii="宋体" w:hAnsi="宋体" w:eastAsia="宋体" w:cs="宋体"/>
          <w:b w:val="0"/>
          <w:bCs w:val="0"/>
          <w:color w:val="000000" w:themeColor="text1"/>
          <w:kern w:val="2"/>
          <w:sz w:val="21"/>
          <w:szCs w:val="21"/>
          <w:lang w:val="en-US" w:eastAsia="zh-CN" w:bidi="ar-SA"/>
        </w:rPr>
        <w:t>（1）供应商被人民法院列入失信被执行人的；</w:t>
      </w:r>
    </w:p>
    <w:p>
      <w:pPr>
        <w:spacing w:line="560" w:lineRule="exact"/>
        <w:ind w:firstLine="420" w:firstLineChars="200"/>
        <w:rPr>
          <w:rFonts w:hint="eastAsia" w:ascii="宋体" w:hAnsi="宋体" w:eastAsia="宋体" w:cs="宋体"/>
          <w:b w:val="0"/>
          <w:bCs w:val="0"/>
          <w:color w:val="000000" w:themeColor="text1"/>
          <w:kern w:val="2"/>
          <w:sz w:val="21"/>
          <w:szCs w:val="21"/>
          <w:lang w:val="en-US" w:eastAsia="zh-CN" w:bidi="ar-SA"/>
        </w:rPr>
      </w:pPr>
      <w:r>
        <w:rPr>
          <w:rFonts w:hint="eastAsia" w:ascii="宋体" w:hAnsi="宋体" w:eastAsia="宋体" w:cs="宋体"/>
          <w:b w:val="0"/>
          <w:bCs w:val="0"/>
          <w:color w:val="000000" w:themeColor="text1"/>
          <w:kern w:val="2"/>
          <w:sz w:val="21"/>
          <w:szCs w:val="21"/>
          <w:lang w:val="en-US" w:eastAsia="zh-CN" w:bidi="ar-SA"/>
        </w:rPr>
        <w:t>（2）供应商或其法定代表人或拟派项目经理（项目负责人）被列入行贿犯罪档案的；</w:t>
      </w:r>
    </w:p>
    <w:p>
      <w:pPr>
        <w:spacing w:line="560" w:lineRule="exact"/>
        <w:ind w:firstLine="420" w:firstLineChars="200"/>
        <w:rPr>
          <w:rFonts w:hint="eastAsia" w:ascii="宋体" w:hAnsi="宋体" w:eastAsia="宋体" w:cs="宋体"/>
          <w:b w:val="0"/>
          <w:bCs w:val="0"/>
          <w:color w:val="000000" w:themeColor="text1"/>
          <w:kern w:val="2"/>
          <w:sz w:val="21"/>
          <w:szCs w:val="21"/>
          <w:lang w:val="en-US" w:eastAsia="zh-CN" w:bidi="ar-SA"/>
        </w:rPr>
      </w:pPr>
      <w:r>
        <w:rPr>
          <w:rFonts w:hint="eastAsia" w:ascii="宋体" w:hAnsi="宋体" w:eastAsia="宋体" w:cs="宋体"/>
          <w:b w:val="0"/>
          <w:bCs w:val="0"/>
          <w:color w:val="000000" w:themeColor="text1"/>
          <w:kern w:val="2"/>
          <w:sz w:val="21"/>
          <w:szCs w:val="21"/>
          <w:lang w:val="en-US" w:eastAsia="zh-CN" w:bidi="ar-SA"/>
        </w:rPr>
        <w:t>（3）供应商被市场监督管理局列入企业经营异常名录的；</w:t>
      </w:r>
    </w:p>
    <w:p>
      <w:pPr>
        <w:spacing w:line="560" w:lineRule="exact"/>
        <w:ind w:firstLine="420" w:firstLineChars="200"/>
        <w:rPr>
          <w:rFonts w:hint="eastAsia" w:ascii="宋体" w:hAnsi="宋体" w:eastAsia="宋体" w:cs="宋体"/>
          <w:b w:val="0"/>
          <w:bCs w:val="0"/>
          <w:color w:val="000000" w:themeColor="text1"/>
          <w:kern w:val="2"/>
          <w:sz w:val="21"/>
          <w:szCs w:val="21"/>
          <w:lang w:val="en-US" w:eastAsia="zh-CN" w:bidi="ar-SA"/>
        </w:rPr>
      </w:pPr>
      <w:r>
        <w:rPr>
          <w:rFonts w:hint="eastAsia" w:ascii="宋体" w:hAnsi="宋体" w:eastAsia="宋体" w:cs="宋体"/>
          <w:b w:val="0"/>
          <w:bCs w:val="0"/>
          <w:color w:val="000000" w:themeColor="text1"/>
          <w:kern w:val="2"/>
          <w:sz w:val="21"/>
          <w:szCs w:val="21"/>
          <w:lang w:val="en-US" w:eastAsia="zh-CN" w:bidi="ar-SA"/>
        </w:rPr>
        <w:t>（4）供应商被税务部门列入重大税收违法案件当事人名单的；</w:t>
      </w:r>
    </w:p>
    <w:p>
      <w:pPr>
        <w:spacing w:line="560" w:lineRule="exact"/>
        <w:ind w:firstLine="420" w:firstLineChars="200"/>
        <w:rPr>
          <w:rFonts w:hint="eastAsia" w:ascii="宋体" w:hAnsi="宋体" w:eastAsia="宋体" w:cs="宋体"/>
          <w:b w:val="0"/>
          <w:bCs w:val="0"/>
          <w:color w:val="000000" w:themeColor="text1"/>
          <w:kern w:val="2"/>
          <w:sz w:val="21"/>
          <w:szCs w:val="21"/>
          <w:lang w:val="en-US" w:eastAsia="zh-CN" w:bidi="ar-SA"/>
        </w:rPr>
      </w:pPr>
      <w:r>
        <w:rPr>
          <w:rFonts w:hint="eastAsia" w:ascii="宋体" w:hAnsi="宋体" w:eastAsia="宋体" w:cs="宋体"/>
          <w:b w:val="0"/>
          <w:bCs w:val="0"/>
          <w:color w:val="000000" w:themeColor="text1"/>
          <w:kern w:val="2"/>
          <w:sz w:val="21"/>
          <w:szCs w:val="21"/>
          <w:lang w:val="en-US" w:eastAsia="zh-CN" w:bidi="ar-SA"/>
        </w:rPr>
        <w:t>（5）供应商被政府采购监管部门列入政府采购严重违法失信行为记录名单的。</w:t>
      </w:r>
    </w:p>
    <w:p>
      <w:pPr>
        <w:spacing w:line="560" w:lineRule="exact"/>
        <w:ind w:firstLine="420" w:firstLineChars="200"/>
        <w:rPr>
          <w:rFonts w:hint="eastAsia" w:ascii="宋体" w:hAnsi="宋体" w:eastAsia="宋体" w:cs="宋体"/>
          <w:b w:val="0"/>
          <w:bCs w:val="0"/>
          <w:color w:val="000000" w:themeColor="text1"/>
          <w:kern w:val="2"/>
          <w:sz w:val="21"/>
          <w:szCs w:val="21"/>
          <w:lang w:val="en-US" w:eastAsia="zh-CN" w:bidi="ar-SA"/>
        </w:rPr>
      </w:pPr>
      <w:r>
        <w:rPr>
          <w:rFonts w:hint="eastAsia" w:ascii="宋体" w:hAnsi="宋体" w:eastAsia="宋体" w:cs="宋体"/>
          <w:b w:val="0"/>
          <w:bCs w:val="0"/>
          <w:color w:val="000000" w:themeColor="text1"/>
          <w:kern w:val="2"/>
          <w:sz w:val="21"/>
          <w:szCs w:val="21"/>
          <w:lang w:val="en-US" w:eastAsia="zh-CN" w:bidi="ar-SA"/>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pPr>
        <w:spacing w:line="560" w:lineRule="exact"/>
        <w:ind w:firstLine="420" w:firstLineChars="200"/>
        <w:rPr>
          <w:rFonts w:hint="eastAsia" w:ascii="宋体" w:hAnsi="宋体" w:eastAsia="宋体" w:cs="宋体"/>
          <w:b w:val="0"/>
          <w:bCs w:val="0"/>
          <w:color w:val="000000" w:themeColor="text1"/>
          <w:kern w:val="2"/>
          <w:sz w:val="21"/>
          <w:szCs w:val="21"/>
          <w:lang w:val="en-US" w:eastAsia="zh-CN" w:bidi="ar-SA"/>
        </w:rPr>
      </w:pPr>
      <w:r>
        <w:rPr>
          <w:rFonts w:hint="eastAsia" w:ascii="宋体" w:hAnsi="宋体" w:eastAsia="宋体" w:cs="宋体"/>
          <w:b w:val="0"/>
          <w:bCs w:val="0"/>
          <w:color w:val="000000" w:themeColor="text1"/>
          <w:kern w:val="2"/>
          <w:sz w:val="21"/>
          <w:szCs w:val="21"/>
          <w:lang w:val="en-US" w:eastAsia="zh-CN" w:bidi="ar-SA"/>
        </w:rPr>
        <w:t>情形（2）由供应商提供无行贿犯罪记录承诺函。</w:t>
      </w:r>
    </w:p>
    <w:p>
      <w:pPr>
        <w:spacing w:line="560" w:lineRule="exact"/>
        <w:ind w:firstLine="420" w:firstLineChars="200"/>
        <w:rPr>
          <w:rFonts w:hint="eastAsia" w:ascii="宋体" w:hAnsi="宋体" w:eastAsia="宋体" w:cs="宋体"/>
          <w:b w:val="0"/>
          <w:bCs w:val="0"/>
          <w:color w:val="000000" w:themeColor="text1"/>
          <w:kern w:val="2"/>
          <w:sz w:val="21"/>
          <w:szCs w:val="21"/>
          <w:lang w:val="en-US" w:eastAsia="zh-CN" w:bidi="ar-SA"/>
        </w:rPr>
      </w:pPr>
      <w:r>
        <w:rPr>
          <w:rFonts w:hint="eastAsia" w:ascii="宋体" w:hAnsi="宋体" w:eastAsia="宋体" w:cs="宋体"/>
          <w:b w:val="0"/>
          <w:bCs w:val="0"/>
          <w:color w:val="000000" w:themeColor="text1"/>
          <w:kern w:val="2"/>
          <w:sz w:val="21"/>
          <w:szCs w:val="21"/>
          <w:lang w:val="en-US" w:eastAsia="zh-CN" w:bidi="ar-SA"/>
        </w:rPr>
        <w:t>3.2本项目不接受联合体。</w:t>
      </w:r>
    </w:p>
    <w:p>
      <w:pPr>
        <w:spacing w:line="560" w:lineRule="exact"/>
        <w:ind w:firstLine="420" w:firstLineChars="200"/>
        <w:rPr>
          <w:rFonts w:hint="eastAsia" w:ascii="宋体" w:hAnsi="宋体" w:eastAsia="宋体" w:cs="宋体"/>
          <w:b w:val="0"/>
          <w:bCs w:val="0"/>
          <w:color w:val="000000" w:themeColor="text1"/>
          <w:kern w:val="2"/>
          <w:sz w:val="21"/>
          <w:szCs w:val="21"/>
          <w:lang w:val="en-US" w:eastAsia="zh-CN" w:bidi="ar-SA"/>
        </w:rPr>
      </w:pPr>
      <w:r>
        <w:rPr>
          <w:rFonts w:hint="eastAsia" w:ascii="宋体" w:hAnsi="宋体" w:eastAsia="宋体" w:cs="宋体"/>
          <w:b w:val="0"/>
          <w:bCs w:val="0"/>
          <w:color w:val="000000" w:themeColor="text1"/>
          <w:kern w:val="2"/>
          <w:sz w:val="21"/>
          <w:szCs w:val="21"/>
          <w:lang w:val="en-US" w:eastAsia="zh-CN" w:bidi="ar-SA"/>
        </w:rPr>
        <w:t>4.本项目的特定资格要求：统一社会信用代码的企业法人营业执照；具备相应的审计资质并提交证明(会计师事务所执业证书)。</w:t>
      </w:r>
    </w:p>
    <w:p>
      <w:pPr>
        <w:spacing w:line="560" w:lineRule="exact"/>
        <w:ind w:firstLine="420" w:firstLineChars="200"/>
        <w:rPr>
          <w:rFonts w:hint="eastAsia" w:ascii="宋体" w:hAnsi="宋体" w:eastAsia="宋体" w:cs="宋体"/>
          <w:b w:val="0"/>
          <w:bCs w:val="0"/>
          <w:color w:val="000000" w:themeColor="text1"/>
          <w:kern w:val="2"/>
          <w:sz w:val="21"/>
          <w:szCs w:val="21"/>
          <w:lang w:val="en-US" w:eastAsia="zh-CN" w:bidi="ar-SA"/>
        </w:rPr>
      </w:pPr>
      <w:r>
        <w:rPr>
          <w:rFonts w:hint="eastAsia" w:ascii="宋体" w:hAnsi="宋体" w:eastAsia="宋体" w:cs="宋体"/>
          <w:b w:val="0"/>
          <w:bCs w:val="0"/>
          <w:color w:val="000000" w:themeColor="text1"/>
          <w:kern w:val="2"/>
          <w:sz w:val="21"/>
          <w:szCs w:val="21"/>
          <w:lang w:val="en-US" w:eastAsia="zh-CN" w:bidi="ar-SA"/>
        </w:rPr>
        <w:t>5.本项目审计组负责人必须是国家注册会计师，需提供审计负责人的所在单位近半年社保证明文件。</w:t>
      </w:r>
    </w:p>
    <w:p>
      <w:pPr>
        <w:spacing w:line="360" w:lineRule="auto"/>
        <w:rPr>
          <w:rFonts w:ascii="宋体" w:hAnsi="宋体" w:cs="宋体"/>
          <w:b/>
          <w:bCs/>
          <w:color w:val="000000" w:themeColor="text1"/>
        </w:rPr>
      </w:pPr>
      <w:r>
        <w:rPr>
          <w:rFonts w:hint="eastAsia" w:ascii="宋体" w:hAnsi="宋体" w:cs="宋体"/>
          <w:b/>
          <w:bCs/>
          <w:color w:val="000000" w:themeColor="text1"/>
        </w:rPr>
        <w:t>三、报名及招标文件获取方式</w:t>
      </w:r>
    </w:p>
    <w:p>
      <w:pPr>
        <w:spacing w:line="360" w:lineRule="auto"/>
        <w:ind w:firstLine="210" w:firstLineChars="100"/>
        <w:rPr>
          <w:rFonts w:hint="eastAsia" w:ascii="宋体" w:hAnsi="宋体" w:cs="宋体"/>
          <w:color w:val="000000" w:themeColor="text1"/>
        </w:rPr>
      </w:pPr>
      <w:r>
        <w:rPr>
          <w:rFonts w:hint="eastAsia" w:ascii="宋体" w:hAnsi="宋体" w:cs="宋体"/>
          <w:color w:val="000000" w:themeColor="text1"/>
        </w:rPr>
        <w:t>1.报名时间：2023年</w:t>
      </w:r>
      <w:r>
        <w:rPr>
          <w:rFonts w:hint="eastAsia" w:ascii="宋体" w:hAnsi="宋体" w:cs="宋体"/>
          <w:color w:val="000000" w:themeColor="text1"/>
          <w:lang w:val="en-US" w:eastAsia="zh-CN"/>
        </w:rPr>
        <w:t>10</w:t>
      </w:r>
      <w:r>
        <w:rPr>
          <w:rFonts w:hint="eastAsia" w:ascii="宋体" w:hAnsi="宋体" w:cs="宋体"/>
          <w:color w:val="000000" w:themeColor="text1"/>
        </w:rPr>
        <w:t>月</w:t>
      </w:r>
      <w:r>
        <w:rPr>
          <w:rFonts w:hint="eastAsia" w:ascii="宋体" w:hAnsi="宋体" w:cs="宋体"/>
          <w:color w:val="000000" w:themeColor="text1"/>
          <w:lang w:eastAsia="zh-CN"/>
        </w:rPr>
        <w:t>1</w:t>
      </w:r>
      <w:r>
        <w:rPr>
          <w:rFonts w:hint="eastAsia" w:ascii="宋体" w:hAnsi="宋体" w:cs="宋体"/>
          <w:color w:val="000000" w:themeColor="text1"/>
          <w:lang w:val="en-US" w:eastAsia="zh-CN"/>
        </w:rPr>
        <w:t>9</w:t>
      </w:r>
      <w:r>
        <w:rPr>
          <w:rFonts w:hint="eastAsia" w:ascii="宋体" w:hAnsi="宋体" w:cs="宋体"/>
          <w:color w:val="000000" w:themeColor="text1"/>
        </w:rPr>
        <w:t>日8时00分至2023年</w:t>
      </w:r>
      <w:r>
        <w:rPr>
          <w:rFonts w:hint="eastAsia" w:ascii="宋体" w:hAnsi="宋体" w:cs="宋体"/>
          <w:color w:val="000000" w:themeColor="text1"/>
          <w:lang w:val="en-US" w:eastAsia="zh-CN"/>
        </w:rPr>
        <w:t>10</w:t>
      </w:r>
      <w:r>
        <w:rPr>
          <w:rFonts w:hint="eastAsia" w:ascii="宋体" w:hAnsi="宋体" w:cs="宋体"/>
          <w:color w:val="000000" w:themeColor="text1"/>
        </w:rPr>
        <w:t>月</w:t>
      </w:r>
      <w:r>
        <w:rPr>
          <w:rFonts w:hint="eastAsia" w:ascii="宋体" w:hAnsi="宋体" w:cs="宋体"/>
          <w:color w:val="000000" w:themeColor="text1"/>
          <w:lang w:val="en-US" w:eastAsia="zh-CN"/>
        </w:rPr>
        <w:t>25</w:t>
      </w:r>
      <w:r>
        <w:rPr>
          <w:rFonts w:hint="eastAsia" w:ascii="宋体" w:hAnsi="宋体" w:cs="宋体"/>
          <w:color w:val="000000" w:themeColor="text1"/>
        </w:rPr>
        <w:t>日17时00分；</w:t>
      </w:r>
    </w:p>
    <w:p>
      <w:pPr>
        <w:spacing w:line="360" w:lineRule="auto"/>
        <w:ind w:firstLine="210" w:firstLineChars="100"/>
        <w:rPr>
          <w:rFonts w:hint="eastAsia" w:ascii="宋体" w:hAnsi="宋体" w:cs="宋体"/>
          <w:color w:val="000000" w:themeColor="text1"/>
        </w:rPr>
      </w:pPr>
      <w:r>
        <w:rPr>
          <w:rFonts w:hint="eastAsia" w:ascii="宋体" w:hAnsi="宋体" w:cs="宋体"/>
          <w:color w:val="000000" w:themeColor="text1"/>
        </w:rPr>
        <w:t>2.招标文件获取方式：皖北卫生职业学院官网自行下载获取招标文件。</w:t>
      </w:r>
    </w:p>
    <w:p>
      <w:pPr>
        <w:spacing w:line="360" w:lineRule="auto"/>
        <w:ind w:firstLine="210" w:firstLineChars="100"/>
        <w:rPr>
          <w:rFonts w:hint="eastAsia" w:ascii="宋体" w:hAnsi="宋体" w:cs="宋体"/>
          <w:color w:val="000000" w:themeColor="text1"/>
        </w:rPr>
      </w:pPr>
      <w:r>
        <w:rPr>
          <w:rFonts w:hint="eastAsia" w:ascii="宋体" w:hAnsi="宋体" w:cs="宋体"/>
          <w:color w:val="000000" w:themeColor="text1"/>
        </w:rPr>
        <w:t>3.报名所需资质材料：</w:t>
      </w:r>
    </w:p>
    <w:p>
      <w:pPr>
        <w:spacing w:line="360" w:lineRule="auto"/>
        <w:ind w:firstLine="210" w:firstLineChars="100"/>
        <w:rPr>
          <w:rFonts w:ascii="宋体" w:hAnsi="宋体" w:cs="宋体"/>
          <w:color w:val="000000" w:themeColor="text1"/>
        </w:rPr>
      </w:pPr>
      <w:r>
        <w:rPr>
          <w:color w:val="000000" w:themeColor="text1"/>
        </w:rPr>
        <w:fldChar w:fldCharType="begin"/>
      </w:r>
      <w:r>
        <w:rPr>
          <w:color w:val="000000" w:themeColor="text1"/>
        </w:rPr>
        <w:instrText xml:space="preserve"> HYPERLINK "mailto:（1）凡有意参加投标者，投标人将企业营业执照复印件、法定代表人身份证明或法定代表人授权委托书（含有项目名称、委托代理人联系电话、邮箱）加盖单位公章发送至邮箱365656427@qq.com，并在获取时间内电话告知代理公司工作人员接收，进行报名并购买询比文件；报名成功后代理机构将询比文件电子版发送至投标人指定邮箱。" </w:instrText>
      </w:r>
      <w:r>
        <w:rPr>
          <w:color w:val="000000" w:themeColor="text1"/>
        </w:rPr>
        <w:fldChar w:fldCharType="separate"/>
      </w:r>
      <w:r>
        <w:rPr>
          <w:rFonts w:hint="eastAsia"/>
          <w:color w:val="000000" w:themeColor="text1"/>
          <w:lang w:val="en-US" w:eastAsia="zh-CN"/>
        </w:rPr>
        <w:t xml:space="preserve">  </w:t>
      </w:r>
      <w:r>
        <w:rPr>
          <w:rFonts w:hint="eastAsia" w:ascii="宋体" w:hAnsi="宋体" w:cs="宋体"/>
          <w:color w:val="000000" w:themeColor="text1"/>
          <w:lang w:val="zh-CN"/>
        </w:rPr>
        <w:t>凡有意参加投标者，投标人将</w:t>
      </w:r>
      <w:r>
        <w:rPr>
          <w:rFonts w:hint="eastAsia" w:ascii="宋体" w:hAnsi="宋体" w:cs="宋体"/>
          <w:color w:val="000000" w:themeColor="text1"/>
        </w:rPr>
        <w:t>企业营业执照（加盖公章</w:t>
      </w:r>
      <w:r>
        <w:rPr>
          <w:rFonts w:hint="eastAsia" w:ascii="宋体" w:hAnsi="宋体" w:cs="宋体"/>
          <w:color w:val="000000" w:themeColor="text1"/>
          <w:lang w:eastAsia="zh-CN"/>
        </w:rPr>
        <w:t>）</w:t>
      </w:r>
      <w:r>
        <w:rPr>
          <w:rFonts w:hint="eastAsia" w:ascii="宋体" w:hAnsi="宋体" w:cs="宋体"/>
          <w:color w:val="000000" w:themeColor="text1"/>
        </w:rPr>
        <w:t>、</w:t>
      </w:r>
      <w:r>
        <w:rPr>
          <w:rFonts w:hint="eastAsia" w:ascii="宋体" w:hAnsi="宋体" w:cs="宋体"/>
          <w:color w:val="000000" w:themeColor="text1"/>
          <w:lang w:val="zh-CN"/>
        </w:rPr>
        <w:t>法定代表人（</w:t>
      </w:r>
      <w:r>
        <w:rPr>
          <w:rFonts w:hint="eastAsia" w:ascii="宋体" w:hAnsi="宋体" w:cs="宋体"/>
          <w:color w:val="000000" w:themeColor="text1"/>
        </w:rPr>
        <w:t>负责人</w:t>
      </w:r>
      <w:r>
        <w:rPr>
          <w:rFonts w:hint="eastAsia" w:ascii="宋体" w:hAnsi="宋体" w:cs="宋体"/>
          <w:color w:val="000000" w:themeColor="text1"/>
          <w:lang w:val="zh-CN"/>
        </w:rPr>
        <w:t>）身份证明或法定代表人（</w:t>
      </w:r>
      <w:r>
        <w:rPr>
          <w:rFonts w:hint="eastAsia" w:ascii="宋体" w:hAnsi="宋体" w:cs="宋体"/>
          <w:color w:val="000000" w:themeColor="text1"/>
        </w:rPr>
        <w:t>负责人</w:t>
      </w:r>
      <w:r>
        <w:rPr>
          <w:rFonts w:hint="eastAsia" w:ascii="宋体" w:hAnsi="宋体" w:cs="宋体"/>
          <w:color w:val="000000" w:themeColor="text1"/>
          <w:lang w:val="zh-CN"/>
        </w:rPr>
        <w:t>）授权委托书（含有项目名称、委托代理人联系电话、邮箱）加盖单位公章发送至邮箱</w:t>
      </w:r>
      <w:r>
        <w:rPr>
          <w:rFonts w:hint="eastAsia" w:ascii="宋体" w:hAnsi="宋体" w:cs="宋体"/>
          <w:color w:val="000000" w:themeColor="text1"/>
        </w:rPr>
        <w:t>wbwyzbb@163.com，（邮箱标题格式为项目名称+公司名称+联系电话）。报名联系人：张老师，电话：0557-3095500，各投标单位自行从皖北卫生职业学院官网（本公告的附件）下载采购文件电子版，不发放纸质采购文件。”</w:t>
      </w:r>
      <w:r>
        <w:rPr>
          <w:rFonts w:hint="eastAsia" w:ascii="宋体" w:hAnsi="宋体" w:cs="宋体"/>
          <w:color w:val="000000" w:themeColor="text1"/>
        </w:rPr>
        <w:fldChar w:fldCharType="end"/>
      </w:r>
      <w:r>
        <w:rPr>
          <w:rFonts w:hint="eastAsia" w:ascii="宋体" w:hAnsi="宋体" w:cs="宋体"/>
          <w:color w:val="000000" w:themeColor="text1"/>
        </w:rPr>
        <w:t>报名截止时间2023年</w:t>
      </w:r>
      <w:r>
        <w:rPr>
          <w:rFonts w:hint="eastAsia" w:ascii="宋体" w:hAnsi="宋体" w:cs="宋体"/>
          <w:color w:val="000000" w:themeColor="text1"/>
          <w:lang w:val="en-US" w:eastAsia="zh-CN"/>
        </w:rPr>
        <w:t>10</w:t>
      </w:r>
      <w:r>
        <w:rPr>
          <w:rFonts w:hint="eastAsia" w:ascii="宋体" w:hAnsi="宋体" w:cs="宋体"/>
          <w:color w:val="000000" w:themeColor="text1"/>
        </w:rPr>
        <w:t>月</w:t>
      </w:r>
      <w:r>
        <w:rPr>
          <w:rFonts w:hint="eastAsia" w:ascii="宋体" w:hAnsi="宋体" w:cs="宋体"/>
          <w:color w:val="000000" w:themeColor="text1"/>
          <w:lang w:val="en-US" w:eastAsia="zh-CN"/>
        </w:rPr>
        <w:t>25</w:t>
      </w:r>
      <w:r>
        <w:rPr>
          <w:rFonts w:hint="eastAsia" w:ascii="宋体" w:hAnsi="宋体" w:cs="宋体"/>
          <w:color w:val="000000" w:themeColor="text1"/>
        </w:rPr>
        <w:t>日17时00分。</w:t>
      </w:r>
    </w:p>
    <w:p>
      <w:pPr>
        <w:spacing w:line="360" w:lineRule="auto"/>
        <w:rPr>
          <w:rFonts w:ascii="宋体" w:hAnsi="宋体" w:cs="宋体"/>
          <w:b/>
          <w:bCs/>
          <w:color w:val="000000" w:themeColor="text1"/>
        </w:rPr>
      </w:pPr>
      <w:r>
        <w:rPr>
          <w:rFonts w:hint="eastAsia" w:ascii="宋体" w:hAnsi="宋体" w:cs="宋体"/>
          <w:b/>
          <w:bCs/>
          <w:color w:val="000000" w:themeColor="text1"/>
        </w:rPr>
        <w:t>四、开标时间和地点</w:t>
      </w:r>
    </w:p>
    <w:p>
      <w:pPr>
        <w:spacing w:line="360" w:lineRule="auto"/>
        <w:ind w:firstLine="210" w:firstLineChars="100"/>
        <w:rPr>
          <w:rFonts w:hint="eastAsia" w:ascii="宋体" w:hAnsi="宋体" w:eastAsia="宋体" w:cs="宋体"/>
          <w:color w:val="000000" w:themeColor="text1"/>
          <w:lang w:eastAsia="zh-CN"/>
        </w:rPr>
      </w:pPr>
      <w:r>
        <w:rPr>
          <w:rFonts w:hint="eastAsia" w:ascii="宋体" w:hAnsi="宋体" w:cs="宋体"/>
          <w:color w:val="000000" w:themeColor="text1"/>
        </w:rPr>
        <w:t>开标时间：2023年</w:t>
      </w:r>
      <w:r>
        <w:rPr>
          <w:rFonts w:hint="eastAsia" w:ascii="宋体" w:hAnsi="宋体" w:cs="宋体"/>
          <w:color w:val="000000" w:themeColor="text1"/>
          <w:lang w:val="en-US" w:eastAsia="zh-CN"/>
        </w:rPr>
        <w:t>10</w:t>
      </w:r>
      <w:r>
        <w:rPr>
          <w:rFonts w:hint="eastAsia" w:ascii="宋体" w:hAnsi="宋体" w:cs="宋体"/>
          <w:color w:val="000000" w:themeColor="text1"/>
        </w:rPr>
        <w:t>月</w:t>
      </w:r>
      <w:r>
        <w:rPr>
          <w:rFonts w:hint="eastAsia" w:ascii="宋体" w:hAnsi="宋体" w:cs="宋体"/>
          <w:color w:val="000000" w:themeColor="text1"/>
          <w:lang w:val="en-US" w:eastAsia="zh-CN"/>
        </w:rPr>
        <w:t>26</w:t>
      </w:r>
      <w:r>
        <w:rPr>
          <w:rFonts w:hint="eastAsia" w:ascii="宋体" w:hAnsi="宋体" w:cs="宋体"/>
          <w:color w:val="000000" w:themeColor="text1"/>
        </w:rPr>
        <w:t>日</w:t>
      </w:r>
      <w:r>
        <w:rPr>
          <w:rFonts w:hint="eastAsia" w:ascii="宋体" w:hAnsi="宋体" w:cs="宋体"/>
          <w:color w:val="000000" w:themeColor="text1"/>
          <w:lang w:val="en-US" w:eastAsia="zh-CN"/>
        </w:rPr>
        <w:t>9</w:t>
      </w:r>
      <w:r>
        <w:rPr>
          <w:rFonts w:hint="eastAsia" w:ascii="宋体" w:hAnsi="宋体" w:cs="宋体"/>
          <w:color w:val="000000" w:themeColor="text1"/>
        </w:rPr>
        <w:t>点00分</w:t>
      </w:r>
      <w:r>
        <w:rPr>
          <w:rFonts w:hint="eastAsia" w:ascii="宋体" w:hAnsi="宋体" w:cs="宋体"/>
          <w:color w:val="000000" w:themeColor="text1"/>
          <w:lang w:val="en-US" w:eastAsia="zh-CN"/>
        </w:rPr>
        <w:t xml:space="preserve"> </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开标地点：皖北卫生职业学院图书馆北三楼录播室。逾期送达的或者未送达指定地点的投标文件，采购人不予接受。</w:t>
      </w:r>
    </w:p>
    <w:p>
      <w:pPr>
        <w:spacing w:line="360" w:lineRule="auto"/>
        <w:rPr>
          <w:rFonts w:ascii="宋体" w:hAnsi="宋体" w:cs="宋体"/>
          <w:b/>
          <w:bCs/>
          <w:color w:val="000000" w:themeColor="text1"/>
        </w:rPr>
      </w:pPr>
      <w:r>
        <w:rPr>
          <w:rFonts w:hint="eastAsia" w:ascii="宋体" w:hAnsi="宋体" w:cs="宋体"/>
          <w:b/>
          <w:bCs/>
          <w:color w:val="000000" w:themeColor="text1"/>
        </w:rPr>
        <w:t>五、联系方法</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名   称：皖北卫生职业学院</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地   址：安徽省宿州市东二铺大学城学府大道1606号</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联  系  人：</w:t>
      </w:r>
      <w:r>
        <w:rPr>
          <w:rFonts w:hint="eastAsia" w:ascii="宋体" w:hAnsi="宋体" w:cs="宋体"/>
          <w:color w:val="000000" w:themeColor="text1"/>
          <w:lang w:val="en-US" w:eastAsia="zh-CN"/>
        </w:rPr>
        <w:t>赵处长</w:t>
      </w:r>
      <w:r>
        <w:rPr>
          <w:rFonts w:hint="eastAsia" w:ascii="宋体" w:hAnsi="宋体" w:cs="宋体"/>
          <w:color w:val="000000" w:themeColor="text1"/>
        </w:rPr>
        <w:t>，</w:t>
      </w:r>
      <w:r>
        <w:rPr>
          <w:rFonts w:hint="eastAsia" w:ascii="宋体" w:hAnsi="宋体" w:cs="宋体"/>
          <w:color w:val="000000" w:themeColor="text1"/>
          <w:lang w:val="zh-CN"/>
        </w:rPr>
        <w:t>电话：</w:t>
      </w:r>
      <w:r>
        <w:rPr>
          <w:rFonts w:hint="eastAsia" w:ascii="宋体" w:hAnsi="宋体" w:cs="宋体"/>
          <w:color w:val="000000" w:themeColor="text1"/>
          <w:lang w:val="en-US" w:eastAsia="zh-CN"/>
        </w:rPr>
        <w:t>13705576911</w:t>
      </w:r>
      <w:r>
        <w:rPr>
          <w:rFonts w:hint="eastAsia" w:ascii="宋体" w:hAnsi="宋体" w:cs="宋体"/>
          <w:color w:val="000000" w:themeColor="text1"/>
        </w:rPr>
        <w:t> </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采购代理机构：</w:t>
      </w:r>
      <w:r>
        <w:rPr>
          <w:rFonts w:hint="eastAsia" w:ascii="宋体" w:hAnsi="宋体" w:cs="宋体"/>
          <w:color w:val="000000" w:themeColor="text1"/>
          <w:lang w:eastAsia="zh-CN"/>
        </w:rPr>
        <w:t>安徽皖瑞工程造价咨询事务所有限公司</w:t>
      </w:r>
      <w:r>
        <w:rPr>
          <w:rFonts w:hint="eastAsia" w:ascii="宋体" w:hAnsi="宋体" w:cs="宋体"/>
          <w:color w:val="000000" w:themeColor="text1"/>
        </w:rPr>
        <w:t xml:space="preserve">   </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地  址：宿州市</w:t>
      </w:r>
      <w:r>
        <w:rPr>
          <w:rFonts w:hint="eastAsia" w:ascii="宋体" w:hAnsi="宋体" w:cs="宋体"/>
          <w:color w:val="000000" w:themeColor="text1"/>
          <w:lang w:val="en-US" w:eastAsia="zh-CN"/>
        </w:rPr>
        <w:t>高新区</w:t>
      </w:r>
      <w:r>
        <w:rPr>
          <w:rFonts w:hint="eastAsia" w:ascii="宋体" w:hAnsi="宋体" w:cs="宋体"/>
          <w:color w:val="000000" w:themeColor="text1"/>
        </w:rPr>
        <w:t xml:space="preserve">  </w:t>
      </w:r>
    </w:p>
    <w:p>
      <w:pPr>
        <w:spacing w:line="360" w:lineRule="auto"/>
        <w:ind w:firstLine="210" w:firstLineChars="100"/>
        <w:rPr>
          <w:rFonts w:ascii="宋体" w:hAnsi="宋体" w:cs="宋体"/>
          <w:color w:val="000000" w:themeColor="text1"/>
        </w:rPr>
      </w:pPr>
      <w:r>
        <w:rPr>
          <w:rFonts w:hint="eastAsia" w:ascii="宋体" w:hAnsi="宋体" w:cs="宋体"/>
          <w:color w:val="000000" w:themeColor="text1"/>
        </w:rPr>
        <w:t xml:space="preserve">联系人： </w:t>
      </w:r>
      <w:r>
        <w:rPr>
          <w:rFonts w:hint="eastAsia" w:ascii="宋体" w:hAnsi="宋体" w:cs="宋体"/>
          <w:color w:val="000000" w:themeColor="text1"/>
          <w:lang w:val="en-US" w:eastAsia="zh-CN"/>
        </w:rPr>
        <w:t>李</w:t>
      </w:r>
      <w:r>
        <w:rPr>
          <w:rFonts w:hint="eastAsia" w:ascii="宋体" w:hAnsi="宋体" w:cs="宋体"/>
          <w:color w:val="000000" w:themeColor="text1"/>
        </w:rPr>
        <w:t>工</w:t>
      </w:r>
    </w:p>
    <w:p>
      <w:pPr>
        <w:spacing w:line="360" w:lineRule="auto"/>
        <w:ind w:firstLine="210" w:firstLineChars="100"/>
        <w:rPr>
          <w:rFonts w:hint="default" w:ascii="宋体" w:hAnsi="宋体" w:eastAsia="宋体" w:cs="宋体"/>
          <w:color w:val="000000" w:themeColor="text1"/>
          <w:lang w:val="en-US" w:eastAsia="zh-CN"/>
        </w:rPr>
      </w:pPr>
      <w:r>
        <w:rPr>
          <w:rFonts w:hint="eastAsia" w:ascii="宋体" w:hAnsi="宋体" w:cs="宋体"/>
          <w:color w:val="000000" w:themeColor="text1"/>
        </w:rPr>
        <w:t>电  话：</w:t>
      </w:r>
      <w:r>
        <w:rPr>
          <w:rFonts w:hint="eastAsia" w:ascii="宋体" w:hAnsi="宋体" w:cs="宋体"/>
          <w:color w:val="000000" w:themeColor="text1"/>
          <w:lang w:val="en-US" w:eastAsia="zh-CN"/>
        </w:rPr>
        <w:t>18655711315</w:t>
      </w:r>
    </w:p>
    <w:p>
      <w:pPr>
        <w:pStyle w:val="21"/>
        <w:ind w:left="0" w:right="-21" w:firstLine="0" w:firstLineChars="0"/>
        <w:jc w:val="right"/>
        <w:rPr>
          <w:rFonts w:ascii="宋体" w:eastAsia="宋体" w:cs="宋体"/>
          <w:color w:val="000000" w:themeColor="text1"/>
          <w:szCs w:val="24"/>
          <w:lang w:val="en-US"/>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eastAsia="宋体" w:cs="宋体"/>
          <w:color w:val="000000" w:themeColor="text1"/>
          <w:szCs w:val="24"/>
          <w:lang w:val="en-US"/>
        </w:rPr>
        <w:t>2023年</w:t>
      </w:r>
      <w:r>
        <w:rPr>
          <w:rFonts w:hint="eastAsia" w:ascii="宋体" w:eastAsia="宋体" w:cs="宋体"/>
          <w:color w:val="000000" w:themeColor="text1"/>
          <w:szCs w:val="24"/>
          <w:lang w:val="en-US" w:eastAsia="zh-CN"/>
        </w:rPr>
        <w:t>10</w:t>
      </w:r>
      <w:r>
        <w:rPr>
          <w:rFonts w:hint="eastAsia" w:ascii="宋体" w:eastAsia="宋体" w:cs="宋体"/>
          <w:color w:val="000000" w:themeColor="text1"/>
          <w:szCs w:val="24"/>
          <w:lang w:val="en-US"/>
        </w:rPr>
        <w:t>月</w:t>
      </w:r>
      <w:r>
        <w:rPr>
          <w:rFonts w:hint="eastAsia" w:ascii="宋体" w:eastAsia="宋体" w:cs="宋体"/>
          <w:color w:val="000000" w:themeColor="text1"/>
          <w:szCs w:val="24"/>
          <w:lang w:val="en-US" w:eastAsia="zh-CN"/>
        </w:rPr>
        <w:t>19</w:t>
      </w:r>
      <w:r>
        <w:rPr>
          <w:rFonts w:hint="eastAsia" w:ascii="宋体" w:eastAsia="宋体" w:cs="宋体"/>
          <w:color w:val="000000" w:themeColor="text1"/>
          <w:szCs w:val="24"/>
          <w:lang w:val="en-US"/>
        </w:rPr>
        <w:t>日</w:t>
      </w:r>
    </w:p>
    <w:p>
      <w:pPr>
        <w:pStyle w:val="29"/>
        <w:rPr>
          <w:color w:val="000000" w:themeColor="text1"/>
        </w:rPr>
      </w:pPr>
      <w:bookmarkStart w:id="115" w:name="_GoBack"/>
      <w:bookmarkEnd w:id="115"/>
      <w:r>
        <w:rPr>
          <w:rFonts w:hint="eastAsia" w:ascii="黑体"/>
          <w:color w:val="000000" w:themeColor="text1"/>
        </w:rPr>
        <w:t>第二章供应商须知前附表</w:t>
      </w:r>
      <w:bookmarkEnd w:id="16"/>
    </w:p>
    <w:tbl>
      <w:tblPr>
        <w:tblStyle w:val="22"/>
        <w:tblW w:w="9585"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850"/>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5" w:type="dxa"/>
            <w:tcBorders>
              <w:top w:val="double" w:color="auto" w:sz="2" w:space="0"/>
              <w:left w:val="double" w:color="auto" w:sz="2" w:space="0"/>
              <w:bottom w:val="single" w:color="auto" w:sz="4" w:space="0"/>
              <w:right w:val="single" w:color="auto" w:sz="4" w:space="0"/>
            </w:tcBorders>
            <w:vAlign w:val="bottom"/>
          </w:tcPr>
          <w:p>
            <w:pPr>
              <w:spacing w:line="360" w:lineRule="auto"/>
              <w:jc w:val="center"/>
              <w:rPr>
                <w:rFonts w:ascii="宋体" w:hAnsi="宋体" w:cs="Arial"/>
                <w:b/>
                <w:bCs/>
                <w:color w:val="000000" w:themeColor="text1"/>
              </w:rPr>
            </w:pPr>
            <w:r>
              <w:rPr>
                <w:rFonts w:hint="eastAsia" w:ascii="宋体" w:hAnsi="宋体" w:cs="Arial"/>
                <w:b/>
                <w:bCs/>
                <w:color w:val="000000" w:themeColor="text1"/>
              </w:rPr>
              <w:t>序号</w:t>
            </w:r>
          </w:p>
        </w:tc>
        <w:tc>
          <w:tcPr>
            <w:tcW w:w="8850" w:type="dxa"/>
            <w:tcBorders>
              <w:top w:val="double" w:color="auto" w:sz="2" w:space="0"/>
              <w:left w:val="single" w:color="auto" w:sz="4" w:space="0"/>
              <w:bottom w:val="single" w:color="auto" w:sz="4" w:space="0"/>
              <w:right w:val="double" w:color="auto" w:sz="2" w:space="0"/>
            </w:tcBorders>
            <w:vAlign w:val="bottom"/>
          </w:tcPr>
          <w:p>
            <w:pPr>
              <w:spacing w:line="360" w:lineRule="auto"/>
              <w:jc w:val="center"/>
              <w:rPr>
                <w:rFonts w:ascii="宋体" w:hAnsi="宋体" w:cs="Arial"/>
                <w:b/>
                <w:bCs/>
                <w:color w:val="000000" w:themeColor="text1"/>
              </w:rPr>
            </w:pPr>
            <w:r>
              <w:rPr>
                <w:rFonts w:hint="eastAsia" w:ascii="宋体" w:hAnsi="宋体" w:cs="Arial"/>
                <w:b/>
                <w:bCs/>
                <w:color w:val="000000" w:themeColor="text1"/>
              </w:rPr>
              <w:t>内  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rPr>
            </w:pPr>
            <w:r>
              <w:rPr>
                <w:rFonts w:hint="eastAsia" w:ascii="宋体" w:hAnsi="宋体" w:cs="Arial"/>
                <w:color w:val="000000" w:themeColor="text1"/>
              </w:rPr>
              <w:t>1</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exact"/>
              <w:ind w:left="-3" w:firstLine="3"/>
              <w:rPr>
                <w:rFonts w:ascii="宋体" w:hAnsi="宋体" w:cs="Arial"/>
                <w:b/>
                <w:bCs/>
                <w:color w:val="000000" w:themeColor="text1"/>
              </w:rPr>
            </w:pPr>
            <w:r>
              <w:rPr>
                <w:rFonts w:hint="eastAsia" w:ascii="宋体" w:hAnsi="宋体" w:cs="Arial"/>
                <w:color w:val="000000" w:themeColor="text1"/>
              </w:rPr>
              <w:t>项目名称：详见竞争性磋商公告</w:t>
            </w:r>
          </w:p>
          <w:p>
            <w:pPr>
              <w:spacing w:line="400" w:lineRule="exact"/>
              <w:rPr>
                <w:rFonts w:ascii="宋体" w:hAnsi="宋体" w:cs="Arial"/>
                <w:color w:val="000000" w:themeColor="text1"/>
              </w:rPr>
            </w:pPr>
            <w:r>
              <w:rPr>
                <w:rFonts w:hint="eastAsia" w:ascii="宋体" w:hAnsi="宋体" w:cs="Arial"/>
                <w:color w:val="000000" w:themeColor="text1"/>
              </w:rPr>
              <w:t xml:space="preserve">项目编号：详见竞争性磋商公告 </w:t>
            </w:r>
          </w:p>
          <w:p>
            <w:pPr>
              <w:spacing w:line="400" w:lineRule="exact"/>
              <w:rPr>
                <w:rFonts w:ascii="宋体" w:hAnsi="宋体" w:cs="Arial"/>
                <w:color w:val="000000" w:themeColor="text1"/>
              </w:rPr>
            </w:pPr>
            <w:r>
              <w:rPr>
                <w:rFonts w:hint="eastAsia" w:ascii="宋体" w:hAnsi="宋体" w:cs="Arial"/>
                <w:color w:val="000000" w:themeColor="text1"/>
              </w:rPr>
              <w:t>采购内容及预算：详见竞争性磋商公告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ind w:right="102"/>
              <w:jc w:val="center"/>
              <w:rPr>
                <w:rFonts w:ascii="宋体" w:hAnsi="宋体" w:cs="Arial"/>
                <w:color w:val="000000" w:themeColor="text1"/>
              </w:rPr>
            </w:pPr>
            <w:r>
              <w:rPr>
                <w:rFonts w:hint="eastAsia" w:ascii="宋体" w:hAnsi="宋体" w:cs="Arial"/>
                <w:color w:val="000000" w:themeColor="text1"/>
              </w:rPr>
              <w:t>2</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exact"/>
              <w:ind w:left="-6" w:firstLine="6"/>
              <w:rPr>
                <w:rFonts w:ascii="宋体" w:hAnsi="宋体" w:cs="Arial"/>
                <w:color w:val="000000" w:themeColor="text1"/>
              </w:rPr>
            </w:pPr>
            <w:r>
              <w:rPr>
                <w:rFonts w:hint="eastAsia" w:ascii="宋体" w:hAnsi="宋体" w:cs="Arial"/>
                <w:color w:val="000000" w:themeColor="text1"/>
              </w:rPr>
              <w:t>采购人：详见竞争性磋商公告</w:t>
            </w:r>
          </w:p>
          <w:p>
            <w:pPr>
              <w:spacing w:line="400" w:lineRule="exact"/>
              <w:ind w:left="-6" w:firstLine="6"/>
              <w:rPr>
                <w:rFonts w:ascii="宋体" w:hAnsi="宋体" w:cs="Arial"/>
                <w:color w:val="000000" w:themeColor="text1"/>
                <w:u w:val="single"/>
              </w:rPr>
            </w:pPr>
            <w:r>
              <w:rPr>
                <w:rFonts w:hint="eastAsia" w:ascii="宋体" w:hAnsi="宋体" w:cs="Arial"/>
                <w:color w:val="000000" w:themeColor="text1"/>
              </w:rPr>
              <w:t>地址：详见竞争性磋商公告</w:t>
            </w:r>
          </w:p>
          <w:p>
            <w:pPr>
              <w:spacing w:line="400" w:lineRule="exact"/>
              <w:ind w:left="-6" w:firstLine="6"/>
              <w:rPr>
                <w:rFonts w:ascii="宋体" w:hAnsi="宋体" w:cs="Arial"/>
                <w:color w:val="000000" w:themeColor="text1"/>
              </w:rPr>
            </w:pPr>
            <w:r>
              <w:rPr>
                <w:rFonts w:hint="eastAsia" w:ascii="宋体" w:hAnsi="宋体" w:cs="Arial"/>
                <w:color w:val="000000" w:themeColor="text1"/>
              </w:rPr>
              <w:t>联系人及联系方式：详见竞争性磋商公告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ind w:right="102"/>
              <w:jc w:val="center"/>
              <w:rPr>
                <w:rFonts w:ascii="宋体" w:hAnsi="宋体" w:cs="Arial"/>
                <w:color w:val="000000" w:themeColor="text1"/>
              </w:rPr>
            </w:pPr>
            <w:r>
              <w:rPr>
                <w:rFonts w:hint="eastAsia" w:ascii="宋体" w:hAnsi="宋体" w:cs="Arial"/>
                <w:color w:val="000000" w:themeColor="text1"/>
              </w:rPr>
              <w:t>3</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ind w:left="-3" w:firstLine="3"/>
              <w:rPr>
                <w:rFonts w:ascii="宋体" w:hAnsi="宋体" w:cs="Arial"/>
                <w:color w:val="000000" w:themeColor="text1"/>
              </w:rPr>
            </w:pPr>
            <w:r>
              <w:rPr>
                <w:rFonts w:hint="eastAsia" w:ascii="宋体" w:hAnsi="宋体" w:cs="Arial"/>
                <w:color w:val="000000" w:themeColor="text1"/>
              </w:rPr>
              <w:t>代理机构：详见竞争性磋商公告</w:t>
            </w:r>
          </w:p>
          <w:p>
            <w:pPr>
              <w:spacing w:line="340" w:lineRule="exact"/>
              <w:ind w:left="1887" w:hanging="1887"/>
              <w:rPr>
                <w:rFonts w:ascii="宋体" w:hAnsi="宋体" w:cs="Arial"/>
                <w:color w:val="000000" w:themeColor="text1"/>
              </w:rPr>
            </w:pPr>
            <w:r>
              <w:rPr>
                <w:rFonts w:hint="eastAsia" w:ascii="宋体" w:hAnsi="宋体" w:cs="Arial"/>
                <w:color w:val="000000" w:themeColor="text1"/>
              </w:rPr>
              <w:t>代理机构地址：详见竞争性磋商公告</w:t>
            </w:r>
          </w:p>
          <w:p>
            <w:pPr>
              <w:spacing w:line="340" w:lineRule="exact"/>
              <w:ind w:left="1887" w:hanging="1887"/>
              <w:rPr>
                <w:rFonts w:ascii="宋体" w:hAnsi="宋体" w:cs="Arial"/>
                <w:color w:val="000000" w:themeColor="text1"/>
              </w:rPr>
            </w:pPr>
            <w:r>
              <w:rPr>
                <w:rFonts w:hint="eastAsia" w:ascii="宋体" w:hAnsi="宋体" w:cs="Arial"/>
                <w:color w:val="000000" w:themeColor="text1"/>
              </w:rPr>
              <w:t>联系人及联系方式：详见竞争性磋商公告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4</w:t>
            </w:r>
          </w:p>
        </w:tc>
        <w:tc>
          <w:tcPr>
            <w:tcW w:w="8850" w:type="dxa"/>
            <w:tcBorders>
              <w:top w:val="single" w:color="auto" w:sz="4" w:space="0"/>
              <w:left w:val="single" w:color="auto" w:sz="4" w:space="0"/>
              <w:bottom w:val="single" w:color="auto" w:sz="4" w:space="0"/>
              <w:right w:val="double" w:color="auto" w:sz="2" w:space="0"/>
            </w:tcBorders>
            <w:vAlign w:val="center"/>
          </w:tcPr>
          <w:p>
            <w:pPr>
              <w:pStyle w:val="13"/>
              <w:spacing w:line="400" w:lineRule="atLeast"/>
              <w:rPr>
                <w:rFonts w:ascii="宋体" w:eastAsia="宋体" w:cs="Arial"/>
                <w:color w:val="000000" w:themeColor="text1"/>
                <w:sz w:val="21"/>
                <w:szCs w:val="21"/>
              </w:rPr>
            </w:pPr>
            <w:r>
              <w:rPr>
                <w:rFonts w:hint="eastAsia" w:ascii="宋体" w:eastAsia="宋体" w:cs="Arial"/>
                <w:color w:val="000000" w:themeColor="text1"/>
                <w:sz w:val="21"/>
                <w:szCs w:val="21"/>
              </w:rPr>
              <w:t>本项目类别：</w:t>
            </w:r>
            <w:r>
              <w:rPr>
                <w:rFonts w:hint="eastAsia" w:ascii="宋体" w:eastAsia="宋体" w:cs="Arial"/>
                <w:color w:val="000000" w:themeColor="text1"/>
                <w:sz w:val="21"/>
                <w:szCs w:val="21"/>
                <w:lang w:eastAsia="zh-CN"/>
              </w:rPr>
              <w:t>□</w:t>
            </w:r>
            <w:r>
              <w:rPr>
                <w:rFonts w:hint="eastAsia" w:ascii="宋体" w:eastAsia="宋体" w:cs="Arial"/>
                <w:color w:val="000000" w:themeColor="text1"/>
                <w:sz w:val="21"/>
                <w:szCs w:val="21"/>
              </w:rPr>
              <w:t>货物类 ☑服务类□工程类</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5</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rPr>
            </w:pPr>
            <w:r>
              <w:rPr>
                <w:rFonts w:hint="eastAsia" w:ascii="宋体" w:hAnsi="宋体" w:cs="Arial"/>
                <w:color w:val="000000" w:themeColor="text1"/>
              </w:rPr>
              <w:t>采购有效期：磋商开始后60天</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6</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rPr>
            </w:pPr>
            <w:r>
              <w:rPr>
                <w:rFonts w:hint="eastAsia" w:ascii="宋体" w:hAnsi="宋体" w:cs="Arial"/>
                <w:color w:val="000000" w:themeColor="text1"/>
              </w:rPr>
              <w:t>成交人个数：1个</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7</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rPr>
            </w:pPr>
            <w:r>
              <w:rPr>
                <w:rFonts w:hint="eastAsia" w:ascii="宋体" w:hAnsi="宋体" w:cs="Arial"/>
                <w:color w:val="000000" w:themeColor="text1"/>
              </w:rPr>
              <w:t>竞争性磋商文件的澄清和修改：详见第六章供应商须知第11条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8</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rPr>
            </w:pPr>
            <w:r>
              <w:rPr>
                <w:rFonts w:hint="eastAsia" w:ascii="宋体" w:hAnsi="宋体" w:cs="Arial"/>
                <w:color w:val="000000" w:themeColor="text1"/>
              </w:rPr>
              <w:t>竞争性磋商文件</w:t>
            </w:r>
            <w:r>
              <w:rPr>
                <w:rFonts w:hint="eastAsia" w:ascii="宋体" w:hAnsi="宋体"/>
                <w:color w:val="000000" w:themeColor="text1"/>
              </w:rPr>
              <w:t>的质疑和答复：</w:t>
            </w:r>
            <w:r>
              <w:rPr>
                <w:rFonts w:hint="eastAsia" w:ascii="宋体" w:hAnsi="宋体" w:cs="Arial"/>
                <w:color w:val="000000" w:themeColor="text1"/>
              </w:rPr>
              <w:t>详见第六章供应商须知第12条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rPr>
            </w:pPr>
            <w:r>
              <w:rPr>
                <w:rFonts w:hint="eastAsia" w:ascii="宋体" w:hAnsi="宋体" w:cs="Arial"/>
                <w:color w:val="000000" w:themeColor="text1"/>
              </w:rPr>
              <w:t>9</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rPr>
                <w:rFonts w:ascii="宋体" w:hAnsi="宋体" w:cs="Arial"/>
                <w:color w:val="000000" w:themeColor="text1"/>
              </w:rPr>
            </w:pPr>
            <w:r>
              <w:rPr>
                <w:rFonts w:hint="eastAsia" w:ascii="宋体" w:hAnsi="宋体" w:cs="Arial"/>
                <w:color w:val="000000" w:themeColor="text1"/>
              </w:rPr>
              <w:t>磋商响应文件递交截止时间：详见竞争性磋商公告</w:t>
            </w:r>
          </w:p>
          <w:p>
            <w:pPr>
              <w:spacing w:line="340" w:lineRule="exact"/>
              <w:rPr>
                <w:rFonts w:ascii="宋体" w:hAnsi="宋体" w:cs="Arial"/>
                <w:color w:val="000000" w:themeColor="text1"/>
              </w:rPr>
            </w:pPr>
            <w:r>
              <w:rPr>
                <w:rFonts w:hint="eastAsia" w:ascii="宋体" w:hAnsi="宋体" w:cs="Arial"/>
                <w:color w:val="000000" w:themeColor="text1"/>
              </w:rPr>
              <w:t>递交地点：详见竞争性磋商公告</w:t>
            </w:r>
          </w:p>
          <w:p>
            <w:pPr>
              <w:spacing w:line="340" w:lineRule="exact"/>
              <w:rPr>
                <w:rFonts w:ascii="宋体" w:hAnsi="宋体" w:cs="Arial"/>
                <w:color w:val="000000" w:themeColor="text1"/>
              </w:rPr>
            </w:pPr>
            <w:r>
              <w:rPr>
                <w:rFonts w:hint="eastAsia" w:ascii="宋体" w:hAnsi="宋体" w:cs="Arial"/>
                <w:color w:val="000000" w:themeColor="text1"/>
              </w:rPr>
              <w:t>磋商开始时间：详见竞争性磋商公告</w:t>
            </w:r>
          </w:p>
          <w:p>
            <w:pPr>
              <w:spacing w:line="440" w:lineRule="exact"/>
              <w:rPr>
                <w:rFonts w:ascii="宋体" w:hAnsi="宋体" w:cs="Arial"/>
                <w:color w:val="000000" w:themeColor="text1"/>
              </w:rPr>
            </w:pPr>
            <w:r>
              <w:rPr>
                <w:rFonts w:hint="eastAsia" w:ascii="宋体" w:hAnsi="宋体" w:cs="Arial"/>
                <w:color w:val="000000" w:themeColor="text1"/>
              </w:rPr>
              <w:t>磋商地点：详见竞争性磋商公告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10</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rPr>
            </w:pPr>
            <w:r>
              <w:rPr>
                <w:rFonts w:hint="eastAsia" w:ascii="宋体" w:hAnsi="宋体" w:cs="Arial"/>
                <w:color w:val="000000" w:themeColor="text1"/>
              </w:rPr>
              <w:t>评审方法：详见第六章供应商须知第22、23条及本文件第四章、第五章</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11</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rPr>
            </w:pPr>
            <w:r>
              <w:rPr>
                <w:rFonts w:hint="eastAsia" w:ascii="宋体" w:hAnsi="宋体" w:cs="Arial"/>
                <w:color w:val="000000" w:themeColor="text1"/>
              </w:rPr>
              <w:t>项目地点：宿州市</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12</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rPr>
            </w:pPr>
            <w:r>
              <w:rPr>
                <w:rFonts w:hint="eastAsia" w:ascii="宋体" w:hAnsi="宋体" w:cs="Arial"/>
                <w:color w:val="000000" w:themeColor="text1"/>
              </w:rPr>
              <w:t>磋商响应文件（纸质文件）份数：</w:t>
            </w:r>
            <w:r>
              <w:rPr>
                <w:rFonts w:hint="eastAsia" w:ascii="宋体" w:hAnsi="宋体" w:cs="Arial"/>
                <w:color w:val="000000" w:themeColor="text1"/>
                <w:u w:val="single"/>
              </w:rPr>
              <w:t xml:space="preserve">  1正2副  共3 </w:t>
            </w:r>
            <w:r>
              <w:rPr>
                <w:rFonts w:hint="eastAsia" w:ascii="宋体" w:hAnsi="宋体" w:cs="Arial"/>
                <w:color w:val="000000" w:themeColor="text1"/>
              </w:rPr>
              <w:t>份，装订和封装要求详见本文件第六章第18条。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13</w:t>
            </w:r>
          </w:p>
        </w:tc>
        <w:tc>
          <w:tcPr>
            <w:tcW w:w="8850" w:type="dxa"/>
            <w:tcBorders>
              <w:top w:val="single" w:color="auto" w:sz="4" w:space="0"/>
              <w:left w:val="single" w:color="auto" w:sz="4" w:space="0"/>
              <w:bottom w:val="single" w:color="auto" w:sz="4" w:space="0"/>
              <w:right w:val="double" w:color="auto" w:sz="2" w:space="0"/>
            </w:tcBorders>
            <w:vAlign w:val="center"/>
          </w:tcPr>
          <w:p>
            <w:pPr>
              <w:pStyle w:val="13"/>
              <w:spacing w:line="400" w:lineRule="atLeast"/>
              <w:rPr>
                <w:rFonts w:ascii="宋体"/>
                <w:color w:val="000000" w:themeColor="text1"/>
              </w:rPr>
            </w:pPr>
            <w:r>
              <w:rPr>
                <w:rFonts w:hint="eastAsia" w:ascii="宋体" w:eastAsia="宋体" w:cs="Arial"/>
                <w:color w:val="000000" w:themeColor="text1"/>
                <w:sz w:val="21"/>
                <w:szCs w:val="21"/>
              </w:rPr>
              <w:t>签订合同地点：皖北卫生职业学院</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14</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olor w:val="000000" w:themeColor="text1"/>
              </w:rPr>
            </w:pPr>
            <w:r>
              <w:rPr>
                <w:rFonts w:hint="eastAsia"/>
                <w:color w:val="000000" w:themeColor="text1"/>
              </w:rPr>
              <w:t>项目服务期：</w:t>
            </w:r>
            <w:r>
              <w:rPr>
                <w:rFonts w:hint="eastAsia"/>
                <w:color w:val="000000" w:themeColor="text1"/>
                <w:lang w:val="en-US" w:eastAsia="zh-CN"/>
              </w:rPr>
              <w:t>90</w:t>
            </w:r>
            <w:r>
              <w:rPr>
                <w:rFonts w:hint="eastAsia"/>
                <w:color w:val="000000" w:themeColor="text1"/>
              </w:rPr>
              <w:t>天完成全部工作。</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rPr>
            </w:pPr>
            <w:r>
              <w:rPr>
                <w:rFonts w:hint="eastAsia" w:ascii="宋体" w:hAnsi="宋体" w:cs="Arial"/>
                <w:color w:val="000000" w:themeColor="text1"/>
              </w:rPr>
              <w:t>15</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rPr>
            </w:pPr>
            <w:r>
              <w:rPr>
                <w:rFonts w:hint="eastAsia" w:ascii="宋体" w:hAnsi="宋体" w:cs="Arial"/>
                <w:color w:val="000000" w:themeColor="text1"/>
              </w:rPr>
              <w:t>磋商保证金：</w:t>
            </w:r>
            <w:r>
              <w:rPr>
                <w:rFonts w:hint="eastAsia" w:ascii="宋体" w:hAnsi="宋体" w:cs="Arial"/>
                <w:b/>
                <w:bCs/>
                <w:color w:val="000000" w:themeColor="text1"/>
              </w:rPr>
              <w:t>本项目不收取磋商保证金</w:t>
            </w:r>
            <w:r>
              <w:rPr>
                <w:rFonts w:hint="eastAsia" w:ascii="宋体" w:hAnsi="宋体" w:cs="Arial"/>
                <w:color w:val="000000" w:themeColor="text1"/>
              </w:rPr>
              <w:t>，根据宿财购〔2020〕142号文件精神，为进一步深化“放管服”改革，优化营商环境，减轻企业负担，降低交易成本，促进民营企业和小微企业积极参与政府采购活动，采取</w:t>
            </w:r>
            <w:r>
              <w:rPr>
                <w:rFonts w:hint="eastAsia" w:ascii="宋体" w:hAnsi="宋体" w:cs="Arial"/>
                <w:b/>
                <w:bCs/>
                <w:color w:val="000000" w:themeColor="text1"/>
              </w:rPr>
              <w:t>以承诺的形式替代磋商保证金</w:t>
            </w:r>
            <w:r>
              <w:rPr>
                <w:rFonts w:hint="eastAsia" w:ascii="宋体" w:hAnsi="宋体" w:cs="Arial"/>
                <w:color w:val="000000" w:themeColor="text1"/>
              </w:rPr>
              <w:t>。对于在政府采购活动中存在有效期内撤销文件、无故放弃中标（成交）资格、弄虚作假、串通投标、不按规定缴纳履约保证金、不与采购人签订合同等违反政府采购相关法律法规的，利益受损方有权向供应商主张赔偿责任，供应商的失信行为将被纳入诚信记录。财政部门、政务服务管理部门将加大对供应商失信行为的惩戒力度，对未履行投标保证金承诺约定的供应商，严格依法依规进行处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40" w:lineRule="exact"/>
              <w:jc w:val="center"/>
              <w:rPr>
                <w:rFonts w:ascii="宋体" w:hAnsi="宋体" w:cs="Arial"/>
                <w:color w:val="000000" w:themeColor="text1"/>
              </w:rPr>
            </w:pPr>
            <w:r>
              <w:rPr>
                <w:rFonts w:hint="eastAsia" w:ascii="宋体" w:hAnsi="宋体" w:cs="Arial"/>
                <w:color w:val="000000" w:themeColor="text1"/>
              </w:rPr>
              <w:t>16</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jc w:val="left"/>
              <w:rPr>
                <w:rFonts w:ascii="宋体" w:hAnsi="宋体" w:cs="Arial"/>
                <w:color w:val="000000" w:themeColor="text1"/>
              </w:rPr>
            </w:pPr>
            <w:r>
              <w:rPr>
                <w:rFonts w:hint="eastAsia" w:ascii="宋体" w:hAnsi="宋体"/>
                <w:color w:val="000000" w:themeColor="text1"/>
              </w:rPr>
              <w:t>公告公示媒介：皖北卫生职业学院网站发布</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5" w:type="dxa"/>
            <w:tcBorders>
              <w:top w:val="single" w:color="auto" w:sz="4" w:space="0"/>
              <w:left w:val="double" w:color="auto" w:sz="2" w:space="0"/>
              <w:bottom w:val="single" w:color="auto" w:sz="4" w:space="0"/>
              <w:right w:val="single" w:color="auto" w:sz="4" w:space="0"/>
            </w:tcBorders>
            <w:shd w:val="clear" w:color="auto" w:fill="auto"/>
            <w:vAlign w:val="center"/>
          </w:tcPr>
          <w:p>
            <w:pPr>
              <w:spacing w:line="340" w:lineRule="exact"/>
              <w:jc w:val="center"/>
              <w:rPr>
                <w:rFonts w:ascii="宋体" w:hAnsi="宋体" w:cs="Arial"/>
                <w:color w:val="000000" w:themeColor="text1"/>
              </w:rPr>
            </w:pPr>
            <w:r>
              <w:rPr>
                <w:rFonts w:hint="eastAsia" w:ascii="宋体" w:hAnsi="宋体" w:cs="Arial"/>
                <w:color w:val="000000" w:themeColor="text1"/>
              </w:rPr>
              <w:t>17</w:t>
            </w:r>
          </w:p>
        </w:tc>
        <w:tc>
          <w:tcPr>
            <w:tcW w:w="8850"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ascii="宋体" w:hAnsi="宋体"/>
                <w:color w:val="000000" w:themeColor="text1"/>
              </w:rPr>
            </w:pPr>
            <w:r>
              <w:rPr>
                <w:rFonts w:hint="eastAsia" w:ascii="宋体" w:hAnsi="宋体" w:cs="宋体"/>
                <w:color w:val="000000" w:themeColor="text1"/>
              </w:rPr>
              <w:t>履约保证金：</w:t>
            </w:r>
            <w:r>
              <w:rPr>
                <w:rFonts w:hint="eastAsia" w:ascii="宋体" w:hAnsi="宋体" w:cs="宋体"/>
                <w:color w:val="000000" w:themeColor="text1"/>
                <w:shd w:val="clear" w:color="auto" w:fill="FFFFFF"/>
              </w:rPr>
              <w:t>/</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40" w:lineRule="exact"/>
              <w:jc w:val="center"/>
              <w:rPr>
                <w:rFonts w:ascii="宋体" w:hAnsi="宋体" w:cs="Arial"/>
                <w:color w:val="000000" w:themeColor="text1"/>
              </w:rPr>
            </w:pPr>
            <w:r>
              <w:rPr>
                <w:rFonts w:hint="eastAsia" w:ascii="宋体" w:hAnsi="宋体" w:cs="Arial"/>
                <w:color w:val="000000" w:themeColor="text1"/>
              </w:rPr>
              <w:t>18</w:t>
            </w:r>
          </w:p>
        </w:tc>
        <w:tc>
          <w:tcPr>
            <w:tcW w:w="8850" w:type="dxa"/>
            <w:tcBorders>
              <w:top w:val="single" w:color="auto" w:sz="4" w:space="0"/>
              <w:left w:val="single" w:color="auto" w:sz="4" w:space="0"/>
              <w:bottom w:val="single" w:color="auto" w:sz="4" w:space="0"/>
              <w:right w:val="double" w:color="auto" w:sz="2" w:space="0"/>
            </w:tcBorders>
            <w:vAlign w:val="center"/>
          </w:tcPr>
          <w:p>
            <w:pPr>
              <w:pStyle w:val="33"/>
              <w:widowControl w:val="0"/>
              <w:spacing w:line="340" w:lineRule="exact"/>
              <w:rPr>
                <w:rFonts w:ascii="宋体" w:hAnsi="宋体" w:cs="Arial"/>
                <w:color w:val="000000" w:themeColor="text1"/>
              </w:rPr>
            </w:pPr>
            <w:r>
              <w:rPr>
                <w:rFonts w:hint="eastAsia" w:ascii="宋体" w:hAnsi="宋体" w:cs="Arial"/>
                <w:color w:val="000000" w:themeColor="text1"/>
              </w:rPr>
              <w:t>付款方式：</w:t>
            </w:r>
            <w:r>
              <w:rPr>
                <w:rFonts w:hint="eastAsia" w:ascii="宋体" w:hAnsi="宋体" w:cs="Arial"/>
                <w:color w:val="000000" w:themeColor="text1"/>
                <w:lang w:val="en-US" w:eastAsia="zh-CN"/>
              </w:rPr>
              <w:t>签订合同后三天内支付审计费用50%，在出具审计报告初稿后付至审计费用100%。</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rPr>
            </w:pPr>
            <w:r>
              <w:rPr>
                <w:rFonts w:hint="eastAsia" w:ascii="宋体" w:hAnsi="宋体" w:cs="Arial"/>
                <w:color w:val="000000" w:themeColor="text1"/>
              </w:rPr>
              <w:t>19</w:t>
            </w:r>
          </w:p>
        </w:tc>
        <w:tc>
          <w:tcPr>
            <w:tcW w:w="8850" w:type="dxa"/>
            <w:tcBorders>
              <w:top w:val="single" w:color="auto" w:sz="4" w:space="0"/>
              <w:left w:val="single" w:color="auto" w:sz="4" w:space="0"/>
              <w:bottom w:val="single" w:color="auto" w:sz="4" w:space="0"/>
              <w:right w:val="double" w:color="auto" w:sz="2" w:space="0"/>
            </w:tcBorders>
            <w:vAlign w:val="center"/>
          </w:tcPr>
          <w:p>
            <w:pPr>
              <w:pStyle w:val="33"/>
              <w:widowControl w:val="0"/>
              <w:spacing w:line="440" w:lineRule="atLeast"/>
              <w:rPr>
                <w:rFonts w:ascii="宋体" w:hAnsi="宋体" w:cs="宋体"/>
                <w:bCs/>
                <w:color w:val="000000" w:themeColor="text1"/>
              </w:rPr>
            </w:pPr>
            <w:r>
              <w:rPr>
                <w:rFonts w:hint="eastAsia" w:ascii="宋体" w:hAnsi="宋体" w:cs="宋体"/>
                <w:bCs/>
                <w:color w:val="000000" w:themeColor="text1"/>
              </w:rPr>
              <w:t>费用承担：成交供应商在领取中标通知书前须缴纳代理服务费、专家评审费等费用。</w:t>
            </w:r>
          </w:p>
          <w:p>
            <w:pPr>
              <w:pStyle w:val="33"/>
              <w:widowControl w:val="0"/>
              <w:spacing w:line="440" w:lineRule="atLeast"/>
              <w:rPr>
                <w:rFonts w:ascii="宋体" w:hAnsi="宋体" w:cs="宋体"/>
                <w:bCs/>
                <w:color w:val="000000" w:themeColor="text1"/>
              </w:rPr>
            </w:pPr>
            <w:r>
              <w:rPr>
                <w:rFonts w:hint="eastAsia" w:ascii="宋体" w:hAnsi="宋体" w:cs="宋体"/>
                <w:bCs/>
                <w:color w:val="000000" w:themeColor="text1"/>
              </w:rPr>
              <w:t>1、招标代理服务费：参照国家计委计价格[2002]1980号《招标代理服务收费管理暂行办法》所规定的收费标准收取。</w:t>
            </w:r>
          </w:p>
          <w:p>
            <w:pPr>
              <w:pStyle w:val="33"/>
              <w:widowControl w:val="0"/>
              <w:spacing w:line="440" w:lineRule="atLeast"/>
              <w:rPr>
                <w:rFonts w:ascii="宋体" w:hAnsi="宋体" w:cs="宋体"/>
                <w:bCs/>
                <w:color w:val="000000" w:themeColor="text1"/>
              </w:rPr>
            </w:pPr>
            <w:r>
              <w:rPr>
                <w:rFonts w:hint="eastAsia" w:ascii="宋体" w:hAnsi="宋体" w:cs="宋体"/>
                <w:bCs/>
                <w:color w:val="000000" w:themeColor="text1"/>
              </w:rPr>
              <w:t>2、专家评审费：按实际发生收取。</w:t>
            </w:r>
          </w:p>
          <w:p>
            <w:pPr>
              <w:pStyle w:val="33"/>
              <w:widowControl w:val="0"/>
              <w:spacing w:line="440" w:lineRule="atLeast"/>
              <w:rPr>
                <w:rFonts w:ascii="宋体" w:hAnsi="宋体" w:cs="宋体"/>
                <w:color w:val="000000" w:themeColor="text1"/>
                <w:shd w:val="clear" w:color="auto" w:fill="FFFFFF"/>
              </w:rPr>
            </w:pPr>
            <w:r>
              <w:rPr>
                <w:rFonts w:hint="eastAsia" w:ascii="宋体" w:hAnsi="宋体" w:cs="宋体"/>
                <w:bCs/>
                <w:color w:val="000000" w:themeColor="text1"/>
              </w:rPr>
              <w:t>以上费用由投标人在投标报价中自行考虑，不单独列项。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rPr>
            </w:pPr>
            <w:r>
              <w:rPr>
                <w:rFonts w:hint="eastAsia" w:ascii="宋体" w:hAnsi="宋体" w:cs="Arial"/>
                <w:color w:val="000000" w:themeColor="text1"/>
              </w:rPr>
              <w:t>20</w:t>
            </w:r>
          </w:p>
        </w:tc>
        <w:tc>
          <w:tcPr>
            <w:tcW w:w="8850" w:type="dxa"/>
            <w:tcBorders>
              <w:top w:val="single" w:color="auto" w:sz="4" w:space="0"/>
              <w:left w:val="single" w:color="auto" w:sz="4" w:space="0"/>
              <w:bottom w:val="single" w:color="auto" w:sz="4" w:space="0"/>
              <w:right w:val="double" w:color="auto" w:sz="2" w:space="0"/>
            </w:tcBorders>
            <w:vAlign w:val="center"/>
          </w:tcPr>
          <w:p>
            <w:pPr>
              <w:pStyle w:val="33"/>
              <w:widowControl w:val="0"/>
              <w:spacing w:line="440" w:lineRule="atLeast"/>
              <w:rPr>
                <w:rFonts w:ascii="宋体" w:hAnsi="宋体" w:cs="宋体"/>
                <w:b/>
                <w:color w:val="000000" w:themeColor="text1"/>
                <w:kern w:val="2"/>
              </w:rPr>
            </w:pPr>
            <w:r>
              <w:rPr>
                <w:rFonts w:hint="eastAsia" w:ascii="宋体" w:hAnsi="宋体" w:cs="宋体"/>
                <w:bCs/>
                <w:color w:val="000000" w:themeColor="text1"/>
              </w:rPr>
              <w:t>本磋商文件的各个组成文件应互为解释、互为说明；如有不明确或不一致的，构成合同组成内容的，以合同文件约定内容为准，且以专用合同条款约定的合同文件优先顺序解释；除磋商文件中有特别规定外，仅适用于招标投标阶段的规定，按磋商公告、供应商须知、评标办法、磋商文件格式的先后顺序解释。同一组成文件不同版本之间就同一事项的约定不一致的，以形成时间在后者为准。按本款前述规定仍不能形成结论的，由采购人或其委托的代理机构负责解释。</w:t>
            </w:r>
          </w:p>
        </w:tc>
      </w:tr>
    </w:tbl>
    <w:p>
      <w:pPr>
        <w:pStyle w:val="29"/>
        <w:spacing w:line="480" w:lineRule="auto"/>
        <w:rPr>
          <w:color w:val="000000" w:themeColor="text1"/>
        </w:rPr>
      </w:pPr>
      <w:bookmarkStart w:id="17" w:name="_Hlk450145192"/>
      <w:bookmarkEnd w:id="17"/>
      <w:r>
        <w:rPr>
          <w:rFonts w:hint="eastAsia"/>
          <w:color w:val="000000" w:themeColor="text1"/>
        </w:rPr>
        <w:br w:type="page"/>
      </w:r>
      <w:bookmarkStart w:id="18" w:name="_Toc511899297"/>
      <w:bookmarkEnd w:id="18"/>
      <w:bookmarkStart w:id="19" w:name="_Toc272218546"/>
      <w:bookmarkStart w:id="20" w:name="_Toc18529"/>
      <w:r>
        <w:rPr>
          <w:rFonts w:hint="eastAsia" w:ascii="黑体"/>
          <w:color w:val="000000" w:themeColor="text1"/>
        </w:rPr>
        <w:t>第三章</w:t>
      </w:r>
      <w:bookmarkEnd w:id="19"/>
      <w:bookmarkEnd w:id="20"/>
      <w:r>
        <w:rPr>
          <w:rFonts w:hint="eastAsia" w:ascii="黑体"/>
          <w:color w:val="000000" w:themeColor="text1"/>
          <w:lang w:val="en-US" w:eastAsia="zh-CN"/>
        </w:rPr>
        <w:t xml:space="preserve"> </w:t>
      </w:r>
      <w:r>
        <w:rPr>
          <w:rFonts w:hint="eastAsia" w:ascii="黑体"/>
          <w:color w:val="000000" w:themeColor="text1"/>
        </w:rPr>
        <w:t>采购需求及商务要求</w:t>
      </w:r>
    </w:p>
    <w:p>
      <w:pPr>
        <w:pStyle w:val="19"/>
        <w:spacing w:before="0" w:beforeAutospacing="0" w:after="0" w:afterAutospacing="0" w:line="480" w:lineRule="auto"/>
        <w:jc w:val="center"/>
        <w:rPr>
          <w:color w:val="000000" w:themeColor="text1"/>
        </w:rPr>
      </w:pPr>
      <w:bookmarkStart w:id="21" w:name="_Toc511899298"/>
      <w:bookmarkEnd w:id="21"/>
      <w:bookmarkStart w:id="22" w:name="_Toc13290"/>
      <w:r>
        <w:rPr>
          <w:rStyle w:val="25"/>
          <w:rFonts w:hint="eastAsia"/>
          <w:color w:val="000000" w:themeColor="text1"/>
        </w:rPr>
        <w:t>一、采购需求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一、审查</w:t>
      </w:r>
      <w:r>
        <w:rPr>
          <w:rFonts w:hint="eastAsia" w:asciiTheme="minorEastAsia" w:hAnsiTheme="minorEastAsia" w:eastAsiaTheme="minorEastAsia" w:cstheme="minorEastAsia"/>
          <w:b/>
          <w:bCs/>
          <w:sz w:val="21"/>
          <w:szCs w:val="21"/>
        </w:rPr>
        <w:t>经济决策方面情况</w:t>
      </w:r>
      <w:r>
        <w:rPr>
          <w:rFonts w:hint="eastAsia" w:asciiTheme="minorEastAsia" w:hAnsiTheme="minorEastAsia" w:eastAsiaTheme="minorEastAsia" w:cstheme="minorEastAsia"/>
          <w:b/>
          <w:bCs/>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1.审查决策的合法性。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2.审查决策的民主性。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sz w:val="21"/>
          <w:szCs w:val="21"/>
          <w:lang w:val="en-US" w:eastAsia="zh-CN"/>
        </w:rPr>
        <w:t>3.审查决策结果的效益性。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二、审查收入的真实、完整、合法性。收入包括：财政部门和上级补助收入、事业收入、附属单位上缴收入、经营收入和其他收入，查清其资金来源渠道、规模及合法性。</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审查</w:t>
      </w:r>
      <w:r>
        <w:rPr>
          <w:rFonts w:hint="eastAsia" w:asciiTheme="minorEastAsia" w:hAnsiTheme="minorEastAsia" w:eastAsiaTheme="minorEastAsia" w:cstheme="minorEastAsia"/>
          <w:color w:val="auto"/>
          <w:sz w:val="21"/>
          <w:szCs w:val="21"/>
        </w:rPr>
        <w:t>财政</w:t>
      </w:r>
      <w:r>
        <w:rPr>
          <w:rFonts w:hint="eastAsia" w:asciiTheme="minorEastAsia" w:hAnsiTheme="minorEastAsia" w:eastAsiaTheme="minorEastAsia" w:cstheme="minorEastAsia"/>
          <w:color w:val="auto"/>
          <w:sz w:val="21"/>
          <w:szCs w:val="21"/>
          <w:lang w:eastAsia="zh-CN"/>
        </w:rPr>
        <w:t>部门和上级</w:t>
      </w:r>
      <w:r>
        <w:rPr>
          <w:rFonts w:hint="eastAsia" w:asciiTheme="minorEastAsia" w:hAnsiTheme="minorEastAsia" w:eastAsiaTheme="minorEastAsia" w:cstheme="minorEastAsia"/>
          <w:color w:val="auto"/>
          <w:sz w:val="21"/>
          <w:szCs w:val="21"/>
        </w:rPr>
        <w:t>补助收入</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2.审查事业收入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附属单位上缴收入</w:t>
      </w:r>
      <w:r>
        <w:rPr>
          <w:rFonts w:hint="eastAsia" w:asciiTheme="minorEastAsia" w:hAnsiTheme="minorEastAsia" w:eastAsiaTheme="minorEastAsia" w:cstheme="minorEastAsia"/>
          <w:sz w:val="21"/>
          <w:szCs w:val="21"/>
          <w:lang w:eastAsia="zh-CN"/>
        </w:rPr>
        <w:t>和</w:t>
      </w:r>
      <w:r>
        <w:rPr>
          <w:rFonts w:hint="eastAsia" w:asciiTheme="minorEastAsia" w:hAnsiTheme="minorEastAsia" w:eastAsiaTheme="minorEastAsia" w:cstheme="minorEastAsia"/>
          <w:sz w:val="21"/>
          <w:szCs w:val="21"/>
        </w:rPr>
        <w:t>经营收入。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3.审查其他收入是否真实、合法。</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4.审查所有的收入统一核算和管理。</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三、审查票据使用和管理情况。</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sz w:val="21"/>
          <w:szCs w:val="21"/>
        </w:rPr>
        <w:t>审查执收、执罚使用的行政性收费、</w:t>
      </w:r>
      <w:r>
        <w:rPr>
          <w:rFonts w:hint="eastAsia" w:asciiTheme="minorEastAsia" w:hAnsiTheme="minorEastAsia" w:eastAsiaTheme="minorEastAsia" w:cstheme="minorEastAsia"/>
          <w:sz w:val="21"/>
          <w:szCs w:val="21"/>
          <w:lang w:eastAsia="zh-CN"/>
        </w:rPr>
        <w:t>经营</w:t>
      </w:r>
      <w:r>
        <w:rPr>
          <w:rFonts w:hint="eastAsia" w:asciiTheme="minorEastAsia" w:hAnsiTheme="minorEastAsia" w:eastAsiaTheme="minorEastAsia" w:cstheme="minorEastAsia"/>
          <w:sz w:val="21"/>
          <w:szCs w:val="21"/>
        </w:rPr>
        <w:t>收入票据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按照安徽省《行政事业性收费票据管理办法》及</w:t>
      </w:r>
      <w:r>
        <w:rPr>
          <w:rFonts w:hint="eastAsia" w:asciiTheme="minorEastAsia" w:hAnsiTheme="minorEastAsia" w:eastAsiaTheme="minorEastAsia" w:cstheme="minorEastAsia"/>
          <w:sz w:val="21"/>
          <w:szCs w:val="21"/>
          <w:lang w:eastAsia="zh-CN"/>
        </w:rPr>
        <w:t>教育</w:t>
      </w:r>
      <w:r>
        <w:rPr>
          <w:rFonts w:hint="eastAsia" w:asciiTheme="minorEastAsia" w:hAnsiTheme="minorEastAsia" w:eastAsiaTheme="minorEastAsia" w:cstheme="minorEastAsia"/>
          <w:sz w:val="21"/>
          <w:szCs w:val="21"/>
        </w:rPr>
        <w:t>管理系统的有关规定实行票款分离、</w:t>
      </w:r>
      <w:r>
        <w:rPr>
          <w:rFonts w:hint="eastAsia" w:asciiTheme="minorEastAsia" w:hAnsiTheme="minorEastAsia" w:eastAsiaTheme="minorEastAsia" w:cstheme="minorEastAsia"/>
          <w:sz w:val="21"/>
          <w:szCs w:val="21"/>
          <w:lang w:eastAsia="zh-CN"/>
        </w:rPr>
        <w:t>经营</w:t>
      </w:r>
      <w:r>
        <w:rPr>
          <w:rFonts w:hint="eastAsia" w:asciiTheme="minorEastAsia" w:hAnsiTheme="minorEastAsia" w:eastAsiaTheme="minorEastAsia" w:cstheme="minorEastAsia"/>
          <w:sz w:val="21"/>
          <w:szCs w:val="21"/>
        </w:rPr>
        <w:t>分离的管理制度；票据填写内容是否真实、准确、完整。</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四、审查各项支出情况。</w:t>
      </w:r>
    </w:p>
    <w:p>
      <w:pPr>
        <w:keepNext w:val="0"/>
        <w:keepLines w:val="0"/>
        <w:pageBreakBefore w:val="0"/>
        <w:widowControl w:val="0"/>
        <w:tabs>
          <w:tab w:val="left" w:pos="0"/>
          <w:tab w:val="left" w:pos="720"/>
        </w:tabs>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审查预算支出的合法、合规性。</w:t>
      </w:r>
    </w:p>
    <w:p>
      <w:pPr>
        <w:keepNext w:val="0"/>
        <w:keepLines w:val="0"/>
        <w:pageBreakBefore w:val="0"/>
        <w:widowControl w:val="0"/>
        <w:tabs>
          <w:tab w:val="left" w:pos="0"/>
          <w:tab w:val="left" w:pos="720"/>
        </w:tabs>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审查业务费支出开支范围和标准。</w:t>
      </w:r>
    </w:p>
    <w:p>
      <w:pPr>
        <w:keepNext w:val="0"/>
        <w:keepLines w:val="0"/>
        <w:pageBreakBefore w:val="0"/>
        <w:widowControl w:val="0"/>
        <w:tabs>
          <w:tab w:val="left" w:pos="0"/>
          <w:tab w:val="left" w:pos="720"/>
        </w:tabs>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审查其他支出的范围、项目和标准。</w:t>
      </w:r>
    </w:p>
    <w:p>
      <w:pPr>
        <w:keepNext w:val="0"/>
        <w:keepLines w:val="0"/>
        <w:pageBreakBefore w:val="0"/>
        <w:widowControl w:val="0"/>
        <w:tabs>
          <w:tab w:val="left" w:pos="0"/>
          <w:tab w:val="left" w:pos="720"/>
        </w:tabs>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审查</w:t>
      </w:r>
      <w:r>
        <w:rPr>
          <w:rFonts w:hint="eastAsia" w:asciiTheme="minorEastAsia" w:hAnsiTheme="minorEastAsia" w:eastAsiaTheme="minorEastAsia" w:cstheme="minorEastAsia"/>
          <w:color w:val="auto"/>
          <w:sz w:val="21"/>
          <w:szCs w:val="21"/>
        </w:rPr>
        <w:t>基建</w:t>
      </w:r>
      <w:r>
        <w:rPr>
          <w:rFonts w:hint="eastAsia" w:asciiTheme="minorEastAsia" w:hAnsiTheme="minorEastAsia" w:eastAsiaTheme="minorEastAsia" w:cstheme="minorEastAsia"/>
          <w:color w:val="auto"/>
          <w:sz w:val="21"/>
          <w:szCs w:val="21"/>
          <w:lang w:eastAsia="zh-CN"/>
        </w:rPr>
        <w:t>项目</w:t>
      </w:r>
      <w:r>
        <w:rPr>
          <w:rFonts w:hint="eastAsia" w:asciiTheme="minorEastAsia" w:hAnsiTheme="minorEastAsia" w:eastAsiaTheme="minorEastAsia" w:cstheme="minorEastAsia"/>
          <w:color w:val="auto"/>
          <w:sz w:val="21"/>
          <w:szCs w:val="21"/>
        </w:rPr>
        <w:t>支出的预算编制和资金使用情况。</w:t>
      </w:r>
    </w:p>
    <w:p>
      <w:pPr>
        <w:keepNext w:val="0"/>
        <w:keepLines w:val="0"/>
        <w:pageBreakBefore w:val="0"/>
        <w:widowControl w:val="0"/>
        <w:tabs>
          <w:tab w:val="left" w:pos="0"/>
          <w:tab w:val="left" w:pos="720"/>
        </w:tabs>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审查执行政府采购制度情况。</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五、审查往来款项的真实、合法性。</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审查往来款项与所属单位及上下级之间、与关联</w:t>
      </w:r>
      <w:r>
        <w:rPr>
          <w:rFonts w:hint="eastAsia" w:asciiTheme="minorEastAsia" w:hAnsiTheme="minorEastAsia" w:eastAsiaTheme="minorEastAsia" w:cstheme="minorEastAsia"/>
          <w:sz w:val="21"/>
          <w:szCs w:val="21"/>
          <w:lang w:eastAsia="zh-CN"/>
        </w:rPr>
        <w:t>单位</w:t>
      </w:r>
      <w:r>
        <w:rPr>
          <w:rFonts w:hint="eastAsia" w:asciiTheme="minorEastAsia" w:hAnsiTheme="minorEastAsia" w:eastAsiaTheme="minorEastAsia" w:cstheme="minorEastAsia"/>
          <w:sz w:val="21"/>
          <w:szCs w:val="21"/>
        </w:rPr>
        <w:t>之间的资金往来；移给下级单位；行政性收费项目转给关联</w:t>
      </w:r>
      <w:r>
        <w:rPr>
          <w:rFonts w:hint="eastAsia" w:asciiTheme="minorEastAsia" w:hAnsiTheme="minorEastAsia" w:eastAsiaTheme="minorEastAsia" w:cstheme="minorEastAsia"/>
          <w:sz w:val="21"/>
          <w:szCs w:val="21"/>
          <w:lang w:eastAsia="zh-CN"/>
        </w:rPr>
        <w:t>单位</w:t>
      </w:r>
      <w:r>
        <w:rPr>
          <w:rFonts w:hint="eastAsia" w:asciiTheme="minorEastAsia" w:hAnsiTheme="minorEastAsia" w:eastAsiaTheme="minorEastAsia" w:cstheme="minorEastAsia"/>
          <w:color w:val="auto"/>
          <w:sz w:val="21"/>
          <w:szCs w:val="21"/>
        </w:rPr>
        <w:t>代收代支，利用往来款项隐匿收入和虚列支出问题；将统一配置的车辆、服装等未列报表反映的问题；长期挂账的款项已形成损失等情况。</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六、审查科研经费情况。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1.审查</w:t>
      </w:r>
      <w:r>
        <w:rPr>
          <w:rFonts w:hint="eastAsia" w:asciiTheme="minorEastAsia" w:hAnsiTheme="minorEastAsia" w:eastAsiaTheme="minorEastAsia" w:cstheme="minorEastAsia"/>
          <w:color w:val="auto"/>
          <w:sz w:val="21"/>
          <w:szCs w:val="21"/>
          <w:lang w:eastAsia="zh-CN"/>
        </w:rPr>
        <w:t>属</w:t>
      </w:r>
      <w:r>
        <w:rPr>
          <w:rFonts w:hint="eastAsia" w:asciiTheme="minorEastAsia" w:hAnsiTheme="minorEastAsia" w:eastAsiaTheme="minorEastAsia" w:cstheme="minorEastAsia"/>
          <w:color w:val="auto"/>
          <w:sz w:val="21"/>
          <w:szCs w:val="21"/>
        </w:rPr>
        <w:t>于财政</w:t>
      </w:r>
      <w:r>
        <w:rPr>
          <w:rFonts w:hint="eastAsia" w:asciiTheme="minorEastAsia" w:hAnsiTheme="minorEastAsia" w:eastAsiaTheme="minorEastAsia" w:cstheme="minorEastAsia"/>
          <w:color w:val="auto"/>
          <w:sz w:val="21"/>
          <w:szCs w:val="21"/>
          <w:lang w:eastAsia="zh-CN"/>
        </w:rPr>
        <w:t>部门</w:t>
      </w:r>
      <w:r>
        <w:rPr>
          <w:rFonts w:hint="eastAsia" w:asciiTheme="minorEastAsia" w:hAnsiTheme="minorEastAsia" w:eastAsiaTheme="minorEastAsia" w:cstheme="minorEastAsia"/>
          <w:color w:val="auto"/>
          <w:sz w:val="21"/>
          <w:szCs w:val="21"/>
        </w:rPr>
        <w:t>拨付的科研资金，未能及时安排拨付</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2.审查职能处室课题经费。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3.审查</w:t>
      </w:r>
      <w:r>
        <w:rPr>
          <w:rFonts w:hint="eastAsia" w:asciiTheme="minorEastAsia" w:hAnsiTheme="minorEastAsia" w:eastAsiaTheme="minorEastAsia" w:cstheme="minorEastAsia"/>
          <w:sz w:val="21"/>
          <w:szCs w:val="21"/>
        </w:rPr>
        <w:t>基层科研机构</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科研经费</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4.审查</w:t>
      </w:r>
      <w:r>
        <w:rPr>
          <w:rFonts w:hint="eastAsia" w:asciiTheme="minorEastAsia" w:hAnsiTheme="minorEastAsia" w:eastAsiaTheme="minorEastAsia" w:cstheme="minorEastAsia"/>
          <w:sz w:val="21"/>
          <w:szCs w:val="21"/>
        </w:rPr>
        <w:t>科研单位科研经费资金专款专用。</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七、基本建设和政府采购情况。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审查基本建设项目有无立项批复、公开公布招标文件，招标工程量清单、控制价及编制说明、招标答疑书和中标通知书，审查投标文件（含技术标、商务标）、建设施工合同（含补充协议）、采购合同和其他相关合同、开、竣工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审查采购支出的申报、审批情况，采购资金通常来源为财政预算资金或非税收入，采购资金来源的合法、合规性。相关内部控制制度的执行情况，有无违反采购流程的行为。往来款的发生及归还时间、手续是否合规，对长期挂账的借款原因。采购资金出借给其他单位或个人使用的违规情况，采购单位利用其他单位资金进行采购活动或利用自身采购资金为其他单位进行采购活动的违规行为。</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八、执行内部收入分配及滥发津补贴情况。</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审查内部收入分配制度的制订程序、分配标准、支付手续等方面是否合法、合规，是否严格按照内部收入分配制度执行分配，有无超出分配制度的现象和情况，促进守法、守纪、守规、尽责，推动完善领导干部管理和监督机制。</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2.滥发津补贴：（1）严禁违规新设津贴、补贴、奖金项目。（2）严禁自行设立改革性补贴项目并自行提高标准。（3）严格遵守奖励性补贴发放政策。（4）严格遵守工会会费、福利费管理规定。</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九、审查资产管理情况。</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1.审查</w:t>
      </w:r>
      <w:r>
        <w:rPr>
          <w:rFonts w:hint="eastAsia" w:asciiTheme="minorEastAsia" w:hAnsiTheme="minorEastAsia" w:eastAsiaTheme="minorEastAsia" w:cstheme="minorEastAsia"/>
          <w:sz w:val="21"/>
          <w:szCs w:val="21"/>
        </w:rPr>
        <w:t>将取得的</w:t>
      </w:r>
      <w:r>
        <w:rPr>
          <w:rFonts w:hint="eastAsia" w:asciiTheme="minorEastAsia" w:hAnsiTheme="minorEastAsia" w:eastAsiaTheme="minorEastAsia" w:cstheme="minorEastAsia"/>
          <w:sz w:val="21"/>
          <w:szCs w:val="21"/>
          <w:lang w:eastAsia="zh-CN"/>
        </w:rPr>
        <w:t>固定</w:t>
      </w:r>
      <w:r>
        <w:rPr>
          <w:rFonts w:hint="eastAsia" w:asciiTheme="minorEastAsia" w:hAnsiTheme="minorEastAsia" w:eastAsiaTheme="minorEastAsia" w:cstheme="minorEastAsia"/>
          <w:sz w:val="21"/>
          <w:szCs w:val="21"/>
        </w:rPr>
        <w:t>资产不登记或不及时登记，擅自占有使用</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2.审查应收及预付款项及时清理结算，不得长期挂账。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3.审查对外投资，履行有关审批程序。审查出租、出借资产的情况。</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4.</w:t>
      </w:r>
      <w:r>
        <w:rPr>
          <w:rFonts w:hint="eastAsia" w:asciiTheme="minorEastAsia" w:hAnsiTheme="minorEastAsia" w:eastAsiaTheme="minorEastAsia" w:cstheme="minorEastAsia"/>
          <w:sz w:val="21"/>
          <w:szCs w:val="21"/>
          <w:lang w:eastAsia="zh-CN"/>
        </w:rPr>
        <w:t>审查</w:t>
      </w:r>
      <w:r>
        <w:rPr>
          <w:rFonts w:hint="eastAsia" w:asciiTheme="minorEastAsia" w:hAnsiTheme="minorEastAsia" w:eastAsiaTheme="minorEastAsia" w:cstheme="minorEastAsia"/>
          <w:sz w:val="21"/>
          <w:szCs w:val="21"/>
        </w:rPr>
        <w:t>开设银行账户的种类、数量、收支规模等基本情况。</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十、审查内部控制制度的健全有效情况。</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审查财务管理、会计核算、行政性收费、</w:t>
      </w:r>
      <w:r>
        <w:rPr>
          <w:rFonts w:hint="eastAsia" w:asciiTheme="minorEastAsia" w:hAnsiTheme="minorEastAsia" w:eastAsiaTheme="minorEastAsia" w:cstheme="minorEastAsia"/>
          <w:sz w:val="21"/>
          <w:szCs w:val="21"/>
          <w:lang w:eastAsia="zh-CN"/>
        </w:rPr>
        <w:t>经营</w:t>
      </w:r>
      <w:r>
        <w:rPr>
          <w:rFonts w:hint="eastAsia" w:asciiTheme="minorEastAsia" w:hAnsiTheme="minorEastAsia" w:eastAsiaTheme="minorEastAsia" w:cstheme="minorEastAsia"/>
          <w:sz w:val="21"/>
          <w:szCs w:val="21"/>
        </w:rPr>
        <w:t>收入及</w:t>
      </w:r>
      <w:r>
        <w:rPr>
          <w:rFonts w:hint="eastAsia" w:asciiTheme="minorEastAsia" w:hAnsiTheme="minorEastAsia" w:eastAsiaTheme="minorEastAsia" w:cstheme="minorEastAsia"/>
          <w:sz w:val="21"/>
          <w:szCs w:val="21"/>
          <w:lang w:eastAsia="zh-CN"/>
        </w:rPr>
        <w:t>其他</w:t>
      </w:r>
      <w:r>
        <w:rPr>
          <w:rFonts w:hint="eastAsia" w:asciiTheme="minorEastAsia" w:hAnsiTheme="minorEastAsia" w:eastAsiaTheme="minorEastAsia" w:cstheme="minorEastAsia"/>
          <w:sz w:val="21"/>
          <w:szCs w:val="21"/>
        </w:rPr>
        <w:t>款物管理、内部监督、收费项目及收费标准公示等是否建立健全相应规章制度，制度是否得到有效执行，财务收支关键控制点的控制手续是否完备，资金和资产的安全是否有制度保证等。</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十一、高校审计常见问题情况。</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1.“三重一大”决策方面。</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2.财务预决算方面。</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3.合作办学方面。</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十二、主要财务指标分析情况。</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1.预算执行情况。</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2.收入支出情况。</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3.资产使用情况率。</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4.趋势分析及发展能力。</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5.基本建设投资情况分析。</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w:t>
      </w:r>
      <w:r>
        <w:rPr>
          <w:rFonts w:hint="default" w:asciiTheme="minorEastAsia" w:hAnsiTheme="minorEastAsia" w:eastAsiaTheme="minorEastAsia" w:cstheme="minorEastAsia"/>
          <w:b/>
          <w:bCs/>
          <w:kern w:val="2"/>
          <w:sz w:val="21"/>
          <w:szCs w:val="21"/>
          <w:lang w:val="en-US" w:eastAsia="zh-CN" w:bidi="ar-SA"/>
        </w:rPr>
        <w:t>列示审计发现问题清单，做出客观评价，提出审计意见及建议，出具审计报告。审计过程中形成的资料、底稿等须提供给委托方一份，以备归档留存。</w:t>
      </w:r>
      <w:r>
        <w:rPr>
          <w:rFonts w:hint="eastAsia" w:asciiTheme="minorEastAsia" w:hAnsiTheme="minorEastAsia" w:eastAsiaTheme="minorEastAsia" w:cstheme="minorEastAsia"/>
          <w:b/>
          <w:bCs/>
          <w:kern w:val="2"/>
          <w:sz w:val="21"/>
          <w:szCs w:val="21"/>
          <w:lang w:val="en-US" w:eastAsia="zh-CN" w:bidi="ar-SA"/>
        </w:rPr>
        <w:t>）</w:t>
      </w:r>
    </w:p>
    <w:p>
      <w:pPr>
        <w:widowControl/>
        <w:wordWrap w:val="0"/>
        <w:spacing w:line="360" w:lineRule="auto"/>
        <w:ind w:firstLine="420" w:firstLineChars="200"/>
        <w:jc w:val="left"/>
        <w:rPr>
          <w:rFonts w:hint="eastAsia" w:asciiTheme="minorEastAsia" w:hAnsiTheme="minorEastAsia" w:eastAsiaTheme="minorEastAsia" w:cstheme="minorEastAsia"/>
          <w:color w:val="000000" w:themeColor="text1"/>
          <w:sz w:val="21"/>
          <w:szCs w:val="21"/>
        </w:rPr>
      </w:pPr>
    </w:p>
    <w:p>
      <w:pPr>
        <w:rPr>
          <w:rFonts w:hint="eastAsia"/>
          <w:color w:val="000000" w:themeColor="text1"/>
          <w:sz w:val="24"/>
          <w:szCs w:val="24"/>
        </w:rPr>
      </w:pPr>
      <w:bookmarkStart w:id="23" w:name="_Toc5960"/>
      <w:r>
        <w:rPr>
          <w:rFonts w:hint="eastAsia"/>
          <w:color w:val="000000" w:themeColor="text1"/>
          <w:sz w:val="24"/>
          <w:szCs w:val="24"/>
        </w:rPr>
        <w:br w:type="page"/>
      </w:r>
    </w:p>
    <w:p>
      <w:pPr>
        <w:pStyle w:val="31"/>
        <w:rPr>
          <w:color w:val="000000" w:themeColor="text1"/>
          <w:sz w:val="24"/>
          <w:szCs w:val="24"/>
        </w:rPr>
      </w:pPr>
      <w:r>
        <w:rPr>
          <w:rFonts w:hint="eastAsia"/>
          <w:color w:val="000000" w:themeColor="text1"/>
          <w:sz w:val="24"/>
          <w:szCs w:val="24"/>
        </w:rPr>
        <w:t>二、商务要求</w:t>
      </w:r>
      <w:bookmarkEnd w:id="22"/>
      <w:bookmarkEnd w:id="23"/>
    </w:p>
    <w:tbl>
      <w:tblPr>
        <w:tblStyle w:val="22"/>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623"/>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序号</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内容</w:t>
            </w:r>
          </w:p>
        </w:tc>
        <w:tc>
          <w:tcPr>
            <w:tcW w:w="64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4" w:type="dxa"/>
            <w:tcBorders>
              <w:top w:val="single" w:color="auto" w:sz="4" w:space="0"/>
              <w:left w:val="single" w:color="auto" w:sz="4" w:space="0"/>
              <w:right w:val="single" w:color="auto" w:sz="4" w:space="0"/>
            </w:tcBorders>
            <w:vAlign w:val="center"/>
          </w:tcPr>
          <w:p>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1</w:t>
            </w:r>
          </w:p>
        </w:tc>
        <w:tc>
          <w:tcPr>
            <w:tcW w:w="1623" w:type="dxa"/>
            <w:tcBorders>
              <w:top w:val="single" w:color="auto" w:sz="4" w:space="0"/>
              <w:left w:val="nil"/>
              <w:right w:val="single" w:color="auto" w:sz="4" w:space="0"/>
            </w:tcBorders>
            <w:vAlign w:val="center"/>
          </w:tcPr>
          <w:p>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项目服务期</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shd w:val="clear" w:color="auto" w:fill="FFFFFF"/>
              </w:rPr>
            </w:pPr>
            <w:r>
              <w:rPr>
                <w:rFonts w:hint="eastAsia"/>
                <w:color w:val="000000" w:themeColor="text1"/>
                <w:lang w:val="en-US" w:eastAsia="zh-CN"/>
              </w:rPr>
              <w:t>150</w:t>
            </w:r>
            <w:r>
              <w:rPr>
                <w:rFonts w:hint="eastAsia"/>
                <w:color w:val="000000" w:themeColor="text1"/>
              </w:rPr>
              <w:t>天完成全部工作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2</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验收</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3</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rPr>
            </w:pPr>
            <w:r>
              <w:rPr>
                <w:rFonts w:hint="eastAsia" w:ascii="宋体" w:hAnsi="宋体" w:cs="Arial"/>
                <w:b/>
                <w:bCs/>
                <w:color w:val="000000" w:themeColor="text1"/>
                <w:sz w:val="24"/>
                <w:szCs w:val="24"/>
              </w:rPr>
              <w:t>付款</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付款人：皖北卫生职业学院</w:t>
            </w:r>
          </w:p>
          <w:p>
            <w:pPr>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付款方式：</w:t>
            </w:r>
            <w:r>
              <w:rPr>
                <w:rFonts w:hint="eastAsia" w:ascii="宋体" w:hAnsi="宋体" w:cs="宋体"/>
                <w:color w:val="000000" w:themeColor="text1"/>
                <w:shd w:val="clear" w:color="auto" w:fill="FFFFFF"/>
                <w:lang w:val="en-US" w:eastAsia="zh-CN"/>
              </w:rPr>
              <w:t>签订合同后三天内支付审计费用50%，在出具审计报告初稿后付至审计费用100%</w:t>
            </w:r>
            <w:r>
              <w:rPr>
                <w:rFonts w:hint="eastAsia" w:ascii="宋体" w:hAnsi="宋体" w:cs="宋体"/>
                <w:color w:val="000000" w:themeColor="text1"/>
                <w:shd w:val="clear" w:color="auto" w:fill="FFFFFF"/>
              </w:rPr>
              <w:t>。</w:t>
            </w:r>
          </w:p>
        </w:tc>
      </w:tr>
    </w:tbl>
    <w:p>
      <w:pPr>
        <w:pStyle w:val="29"/>
        <w:spacing w:line="480" w:lineRule="exact"/>
        <w:rPr>
          <w:color w:val="000000" w:themeColor="text1"/>
        </w:rPr>
      </w:pPr>
      <w:r>
        <w:rPr>
          <w:rFonts w:hint="eastAsia"/>
          <w:color w:val="000000" w:themeColor="text1"/>
        </w:rPr>
        <w:br w:type="page"/>
      </w:r>
      <w:bookmarkStart w:id="24" w:name="_Toc511899300"/>
      <w:bookmarkEnd w:id="24"/>
      <w:bookmarkStart w:id="25" w:name="_Toc55"/>
      <w:r>
        <w:rPr>
          <w:rFonts w:hint="eastAsia" w:ascii="黑体"/>
          <w:color w:val="000000" w:themeColor="text1"/>
        </w:rPr>
        <w:t>第四章实质性响应审查</w:t>
      </w:r>
      <w:bookmarkEnd w:id="25"/>
    </w:p>
    <w:tbl>
      <w:tblPr>
        <w:tblStyle w:val="22"/>
        <w:tblpPr w:leftFromText="180" w:rightFromText="180" w:vertAnchor="text" w:horzAnchor="page" w:tblpX="1241" w:tblpY="755"/>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31"/>
        <w:gridCol w:w="3522"/>
        <w:gridCol w:w="3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bCs/>
                <w:color w:val="000000" w:themeColor="text1"/>
              </w:rPr>
            </w:pPr>
            <w:bookmarkStart w:id="26" w:name="_Toc511899301"/>
            <w:bookmarkEnd w:id="26"/>
            <w:bookmarkStart w:id="27" w:name="_Toc15716"/>
            <w:bookmarkStart w:id="28" w:name="_Toc27799"/>
            <w:r>
              <w:rPr>
                <w:rFonts w:hint="eastAsia" w:ascii="宋体" w:hAnsi="宋体"/>
                <w:b/>
                <w:bCs/>
                <w:color w:val="000000" w:themeColor="text1"/>
              </w:rPr>
              <w:t>序号</w:t>
            </w:r>
          </w:p>
        </w:tc>
        <w:tc>
          <w:tcPr>
            <w:tcW w:w="233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rPr>
            </w:pPr>
            <w:r>
              <w:rPr>
                <w:rFonts w:hint="eastAsia" w:ascii="宋体" w:hAnsi="宋体"/>
                <w:b/>
                <w:bCs/>
                <w:color w:val="000000" w:themeColor="text1"/>
              </w:rPr>
              <w:t>指标名称</w:t>
            </w:r>
          </w:p>
        </w:tc>
        <w:tc>
          <w:tcPr>
            <w:tcW w:w="352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
                <w:bCs/>
                <w:color w:val="000000" w:themeColor="text1"/>
              </w:rPr>
            </w:pPr>
            <w:r>
              <w:rPr>
                <w:rFonts w:hint="eastAsia" w:ascii="宋体" w:hAnsi="宋体"/>
                <w:b/>
                <w:bCs/>
                <w:color w:val="000000" w:themeColor="text1"/>
              </w:rPr>
              <w:t>指标要求</w:t>
            </w:r>
          </w:p>
        </w:tc>
        <w:tc>
          <w:tcPr>
            <w:tcW w:w="30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
                <w:bCs/>
                <w:color w:val="000000" w:themeColor="text1"/>
              </w:rPr>
            </w:pPr>
            <w:r>
              <w:rPr>
                <w:rFonts w:hint="eastAsia" w:ascii="宋体" w:hAnsi="宋体"/>
                <w:b/>
                <w:bCs/>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1</w:t>
            </w:r>
          </w:p>
        </w:tc>
        <w:tc>
          <w:tcPr>
            <w:tcW w:w="2331"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hint="eastAsia" w:ascii="宋体" w:hAnsi="宋体"/>
                <w:color w:val="000000" w:themeColor="text1"/>
              </w:rPr>
              <w:t>营业执照</w:t>
            </w:r>
          </w:p>
        </w:tc>
        <w:tc>
          <w:tcPr>
            <w:tcW w:w="3522"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hint="eastAsia" w:ascii="宋体" w:hAnsi="宋体"/>
                <w:color w:val="000000" w:themeColor="text1"/>
              </w:rPr>
              <w:t>合法有效</w:t>
            </w:r>
          </w:p>
        </w:tc>
        <w:tc>
          <w:tcPr>
            <w:tcW w:w="3012" w:type="dxa"/>
            <w:vMerge w:val="restart"/>
            <w:tcBorders>
              <w:left w:val="nil"/>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提供有效的营业执照和税务登记证的（接受合一的证书），应完整的体现出营业执照和税务登记证的全部内容。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2</w:t>
            </w:r>
          </w:p>
        </w:tc>
        <w:tc>
          <w:tcPr>
            <w:tcW w:w="2331"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hint="eastAsia" w:ascii="宋体" w:hAnsi="宋体"/>
                <w:color w:val="000000" w:themeColor="text1"/>
              </w:rPr>
              <w:t>税务登记证</w:t>
            </w:r>
          </w:p>
        </w:tc>
        <w:tc>
          <w:tcPr>
            <w:tcW w:w="3522"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hint="eastAsia" w:ascii="宋体" w:hAnsi="宋体"/>
                <w:color w:val="000000" w:themeColor="text1"/>
              </w:rPr>
              <w:t>合法有效</w:t>
            </w:r>
          </w:p>
        </w:tc>
        <w:tc>
          <w:tcPr>
            <w:tcW w:w="3012" w:type="dxa"/>
            <w:vMerge w:val="continue"/>
            <w:tcBorders>
              <w:top w:val="nil"/>
              <w:left w:val="nil"/>
              <w:bottom w:val="single" w:color="auto" w:sz="4" w:space="0"/>
              <w:right w:val="single" w:color="auto" w:sz="4" w:space="0"/>
            </w:tcBorders>
            <w:vAlign w:val="center"/>
          </w:tcPr>
          <w:p>
            <w:pPr>
              <w:jc w:val="lef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3</w:t>
            </w:r>
          </w:p>
        </w:tc>
        <w:tc>
          <w:tcPr>
            <w:tcW w:w="2331" w:type="dxa"/>
            <w:tcBorders>
              <w:top w:val="single" w:color="auto" w:sz="4" w:space="0"/>
              <w:left w:val="nil"/>
              <w:bottom w:val="single" w:color="auto" w:sz="4" w:space="0"/>
              <w:right w:val="single" w:color="auto" w:sz="4" w:space="0"/>
            </w:tcBorders>
            <w:vAlign w:val="center"/>
          </w:tcPr>
          <w:p>
            <w:pPr>
              <w:ind w:right="-10"/>
              <w:jc w:val="center"/>
              <w:rPr>
                <w:rFonts w:ascii="宋体" w:hAnsi="宋体"/>
                <w:color w:val="000000" w:themeColor="text1"/>
              </w:rPr>
            </w:pPr>
            <w:r>
              <w:rPr>
                <w:rFonts w:hint="eastAsia" w:ascii="宋体" w:hAnsi="宋体"/>
                <w:color w:val="000000" w:themeColor="text1"/>
              </w:rPr>
              <w:t>财务状况报告</w:t>
            </w:r>
          </w:p>
        </w:tc>
        <w:tc>
          <w:tcPr>
            <w:tcW w:w="3522" w:type="dxa"/>
            <w:tcBorders>
              <w:top w:val="single" w:color="auto" w:sz="4" w:space="0"/>
              <w:left w:val="nil"/>
              <w:bottom w:val="single" w:color="auto" w:sz="4" w:space="0"/>
              <w:right w:val="single" w:color="auto" w:sz="4" w:space="0"/>
            </w:tcBorders>
            <w:vAlign w:val="center"/>
          </w:tcPr>
          <w:p>
            <w:pPr>
              <w:ind w:right="-10"/>
              <w:jc w:val="center"/>
              <w:rPr>
                <w:rFonts w:ascii="宋体" w:hAnsi="宋体"/>
                <w:color w:val="000000" w:themeColor="text1"/>
              </w:rPr>
            </w:pPr>
            <w:r>
              <w:rPr>
                <w:rFonts w:hint="eastAsia" w:ascii="宋体" w:hAnsi="宋体"/>
                <w:color w:val="000000" w:themeColor="text1"/>
              </w:rPr>
              <w:t>财务状况声明函</w:t>
            </w:r>
          </w:p>
        </w:tc>
        <w:tc>
          <w:tcPr>
            <w:tcW w:w="301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ascii="宋体" w:hAnsi="宋体"/>
                <w:color w:val="000000" w:themeColor="text1"/>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4</w:t>
            </w:r>
          </w:p>
        </w:tc>
        <w:tc>
          <w:tcPr>
            <w:tcW w:w="2331" w:type="dxa"/>
            <w:tcBorders>
              <w:top w:val="single" w:color="auto" w:sz="4" w:space="0"/>
              <w:left w:val="nil"/>
              <w:bottom w:val="single" w:color="auto" w:sz="4" w:space="0"/>
              <w:right w:val="single" w:color="auto" w:sz="4" w:space="0"/>
            </w:tcBorders>
            <w:vAlign w:val="center"/>
          </w:tcPr>
          <w:p>
            <w:pPr>
              <w:ind w:right="-11"/>
              <w:jc w:val="center"/>
              <w:rPr>
                <w:rFonts w:ascii="宋体" w:hAnsi="宋体"/>
                <w:color w:val="000000" w:themeColor="text1"/>
              </w:rPr>
            </w:pPr>
            <w:r>
              <w:rPr>
                <w:rFonts w:hint="eastAsia" w:ascii="宋体" w:hAnsi="宋体"/>
                <w:color w:val="000000" w:themeColor="text1"/>
              </w:rPr>
              <w:t>依法缴纳税收的相关材料</w:t>
            </w:r>
          </w:p>
        </w:tc>
        <w:tc>
          <w:tcPr>
            <w:tcW w:w="3522"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rPr>
            </w:pPr>
            <w:r>
              <w:rPr>
                <w:rFonts w:hint="eastAsia" w:ascii="宋体" w:hAnsi="宋体"/>
                <w:color w:val="000000" w:themeColor="text1"/>
              </w:rPr>
              <w:t>依法缴纳税收的声明函</w:t>
            </w:r>
          </w:p>
        </w:tc>
        <w:tc>
          <w:tcPr>
            <w:tcW w:w="301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ascii="宋体" w:hAnsi="宋体"/>
                <w:color w:val="000000" w:themeColor="text1"/>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5</w:t>
            </w:r>
          </w:p>
        </w:tc>
        <w:tc>
          <w:tcPr>
            <w:tcW w:w="2331" w:type="dxa"/>
            <w:tcBorders>
              <w:top w:val="single" w:color="auto" w:sz="4" w:space="0"/>
              <w:left w:val="nil"/>
              <w:bottom w:val="single" w:color="auto" w:sz="4" w:space="0"/>
              <w:right w:val="single" w:color="auto" w:sz="4" w:space="0"/>
            </w:tcBorders>
            <w:vAlign w:val="center"/>
          </w:tcPr>
          <w:p>
            <w:pPr>
              <w:spacing w:line="360" w:lineRule="exact"/>
              <w:ind w:right="-11"/>
              <w:jc w:val="center"/>
              <w:rPr>
                <w:rFonts w:ascii="宋体" w:hAnsi="宋体"/>
                <w:color w:val="000000" w:themeColor="text1"/>
              </w:rPr>
            </w:pPr>
            <w:r>
              <w:rPr>
                <w:rFonts w:hint="eastAsia" w:ascii="宋体" w:hAnsi="宋体"/>
                <w:color w:val="000000" w:themeColor="text1"/>
              </w:rPr>
              <w:t>依法缴纳社会保障资金的相关材料</w:t>
            </w:r>
          </w:p>
        </w:tc>
        <w:tc>
          <w:tcPr>
            <w:tcW w:w="3522"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rPr>
            </w:pPr>
            <w:r>
              <w:rPr>
                <w:rFonts w:hint="eastAsia" w:ascii="宋体" w:hAnsi="宋体"/>
                <w:color w:val="000000" w:themeColor="text1"/>
              </w:rPr>
              <w:t>依法缴纳社会保障资金的声明函</w:t>
            </w:r>
          </w:p>
        </w:tc>
        <w:tc>
          <w:tcPr>
            <w:tcW w:w="301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ascii="宋体" w:hAnsi="宋体"/>
                <w:color w:val="000000" w:themeColor="text1"/>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6</w:t>
            </w:r>
          </w:p>
        </w:tc>
        <w:tc>
          <w:tcPr>
            <w:tcW w:w="2331" w:type="dxa"/>
            <w:tcBorders>
              <w:top w:val="single" w:color="auto" w:sz="4" w:space="0"/>
              <w:left w:val="nil"/>
              <w:bottom w:val="single" w:color="auto" w:sz="4" w:space="0"/>
              <w:right w:val="single" w:color="auto" w:sz="4" w:space="0"/>
            </w:tcBorders>
            <w:vAlign w:val="center"/>
          </w:tcPr>
          <w:p>
            <w:pPr>
              <w:spacing w:line="360" w:lineRule="exact"/>
              <w:ind w:right="-11"/>
              <w:jc w:val="center"/>
              <w:rPr>
                <w:rFonts w:ascii="宋体" w:hAnsi="宋体"/>
                <w:color w:val="000000" w:themeColor="text1"/>
              </w:rPr>
            </w:pPr>
            <w:r>
              <w:rPr>
                <w:rFonts w:hint="eastAsia" w:ascii="宋体" w:hAnsi="宋体"/>
                <w:color w:val="000000" w:themeColor="text1"/>
              </w:rPr>
              <w:t>具备履行合同所必须的设备和专业技术能力的证明材料</w:t>
            </w:r>
          </w:p>
        </w:tc>
        <w:tc>
          <w:tcPr>
            <w:tcW w:w="3522"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rPr>
            </w:pPr>
            <w:r>
              <w:rPr>
                <w:rFonts w:hint="eastAsia" w:ascii="宋体" w:hAnsi="宋体"/>
                <w:color w:val="000000" w:themeColor="text1"/>
              </w:rPr>
              <w:t>具备履行合同所必须的设备和专业技术能力声明函</w:t>
            </w:r>
          </w:p>
        </w:tc>
        <w:tc>
          <w:tcPr>
            <w:tcW w:w="301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ascii="宋体" w:hAnsi="宋体"/>
                <w:color w:val="000000" w:themeColor="text1"/>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7</w:t>
            </w:r>
          </w:p>
        </w:tc>
        <w:tc>
          <w:tcPr>
            <w:tcW w:w="2331"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rPr>
            </w:pPr>
            <w:r>
              <w:rPr>
                <w:rFonts w:hint="eastAsia" w:ascii="宋体" w:hAnsi="宋体"/>
                <w:color w:val="000000" w:themeColor="text1"/>
              </w:rPr>
              <w:t>3年内没有重大违法记录或期限已届满的书面声明</w:t>
            </w:r>
          </w:p>
        </w:tc>
        <w:tc>
          <w:tcPr>
            <w:tcW w:w="3522" w:type="dxa"/>
            <w:tcBorders>
              <w:top w:val="single" w:color="auto" w:sz="4" w:space="0"/>
              <w:left w:val="nil"/>
              <w:bottom w:val="single" w:color="auto" w:sz="4" w:space="0"/>
              <w:right w:val="single" w:color="auto" w:sz="4" w:space="0"/>
            </w:tcBorders>
            <w:vAlign w:val="center"/>
          </w:tcPr>
          <w:p>
            <w:pPr>
              <w:spacing w:line="400" w:lineRule="exact"/>
              <w:ind w:right="-11"/>
              <w:jc w:val="center"/>
              <w:rPr>
                <w:rFonts w:ascii="宋体" w:hAnsi="宋体"/>
                <w:color w:val="000000" w:themeColor="text1"/>
              </w:rPr>
            </w:pPr>
            <w:r>
              <w:rPr>
                <w:rFonts w:hint="eastAsia" w:ascii="宋体" w:hAnsi="宋体"/>
                <w:color w:val="000000" w:themeColor="text1"/>
              </w:rPr>
              <w:t>参加政府采购活动前3年内在经营活动中没有重大违法记录或因违法经营被禁止在一定期限内参加政府采购活动但期限已届满的书面声明</w:t>
            </w:r>
          </w:p>
        </w:tc>
        <w:tc>
          <w:tcPr>
            <w:tcW w:w="301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8</w:t>
            </w:r>
          </w:p>
        </w:tc>
        <w:tc>
          <w:tcPr>
            <w:tcW w:w="2331"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rPr>
            </w:pPr>
            <w:r>
              <w:rPr>
                <w:rFonts w:hint="eastAsia" w:ascii="宋体" w:hAnsi="宋体"/>
                <w:color w:val="000000" w:themeColor="text1"/>
              </w:rPr>
              <w:t>不良行为记录</w:t>
            </w:r>
          </w:p>
        </w:tc>
        <w:tc>
          <w:tcPr>
            <w:tcW w:w="3522" w:type="dxa"/>
            <w:tcBorders>
              <w:top w:val="single" w:color="auto" w:sz="4" w:space="0"/>
              <w:left w:val="nil"/>
              <w:bottom w:val="single" w:color="auto" w:sz="4" w:space="0"/>
              <w:right w:val="single" w:color="auto" w:sz="4" w:space="0"/>
            </w:tcBorders>
            <w:vAlign w:val="center"/>
          </w:tcPr>
          <w:p>
            <w:pPr>
              <w:spacing w:line="400" w:lineRule="exact"/>
              <w:ind w:right="-11"/>
              <w:jc w:val="center"/>
              <w:rPr>
                <w:rFonts w:ascii="宋体" w:hAnsi="宋体"/>
                <w:color w:val="000000" w:themeColor="text1"/>
              </w:rPr>
            </w:pPr>
            <w:r>
              <w:rPr>
                <w:rFonts w:hint="eastAsia" w:ascii="宋体" w:hAnsi="宋体"/>
                <w:color w:val="000000" w:themeColor="text1"/>
              </w:rPr>
              <w:t>符合磋商公告第二条第3款的要求</w:t>
            </w:r>
          </w:p>
        </w:tc>
        <w:tc>
          <w:tcPr>
            <w:tcW w:w="301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供应商自行查询附在响应文件中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9</w:t>
            </w:r>
          </w:p>
        </w:tc>
        <w:tc>
          <w:tcPr>
            <w:tcW w:w="2331"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hint="eastAsia" w:ascii="宋体" w:hAnsi="宋体" w:cs="宋体"/>
                <w:color w:val="000000" w:themeColor="text1"/>
              </w:rPr>
              <w:t>供应商或其法定代表人或拟派项目经理（项目负责人）被列入行贿犯罪档案的；</w:t>
            </w:r>
          </w:p>
        </w:tc>
        <w:tc>
          <w:tcPr>
            <w:tcW w:w="3522"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hint="eastAsia" w:ascii="宋体" w:hAnsi="宋体"/>
                <w:color w:val="000000" w:themeColor="text1"/>
              </w:rPr>
              <w:t>供应商或其法定代表人或</w:t>
            </w:r>
            <w:r>
              <w:rPr>
                <w:rFonts w:hint="eastAsia" w:ascii="宋体" w:hAnsi="宋体" w:cs="宋体"/>
                <w:color w:val="000000" w:themeColor="text1"/>
              </w:rPr>
              <w:t>拟派项目经理（项目负责人）</w:t>
            </w:r>
            <w:r>
              <w:rPr>
                <w:rFonts w:hint="eastAsia" w:ascii="宋体" w:hAnsi="宋体"/>
                <w:color w:val="000000" w:themeColor="text1"/>
              </w:rPr>
              <w:t>被列入行贿犯罪档案的；[供应商须提供《无行贿犯罪行为承诺函》]</w:t>
            </w:r>
          </w:p>
        </w:tc>
        <w:tc>
          <w:tcPr>
            <w:tcW w:w="3012"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ascii="宋体" w:hAnsi="宋体"/>
                <w:color w:val="000000" w:themeColor="text1"/>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10</w:t>
            </w:r>
          </w:p>
        </w:tc>
        <w:tc>
          <w:tcPr>
            <w:tcW w:w="2331"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hint="eastAsia" w:ascii="宋体" w:hAnsi="宋体"/>
                <w:color w:val="000000" w:themeColor="text1"/>
              </w:rPr>
              <w:t>法定代表人授权委托书和身份证明书</w:t>
            </w:r>
          </w:p>
        </w:tc>
        <w:tc>
          <w:tcPr>
            <w:tcW w:w="3522"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hint="eastAsia" w:ascii="宋体" w:hAnsi="宋体"/>
                <w:color w:val="000000" w:themeColor="text1"/>
              </w:rPr>
              <w:t>原件，符合磋商文件要求</w:t>
            </w:r>
          </w:p>
        </w:tc>
        <w:tc>
          <w:tcPr>
            <w:tcW w:w="301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法人代表参加磋商的无需授权委托书，提供身份证明书即可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11</w:t>
            </w:r>
          </w:p>
        </w:tc>
        <w:tc>
          <w:tcPr>
            <w:tcW w:w="2331"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hint="eastAsia" w:ascii="宋体" w:hAnsi="宋体" w:eastAsia="宋体"/>
                <w:color w:val="000000" w:themeColor="text1"/>
                <w:lang w:eastAsia="zh-CN"/>
              </w:rPr>
            </w:pPr>
            <w:r>
              <w:rPr>
                <w:rFonts w:hint="eastAsia" w:ascii="宋体" w:hAnsi="宋体"/>
                <w:color w:val="000000" w:themeColor="text1"/>
              </w:rPr>
              <w:t>资质</w:t>
            </w:r>
            <w:r>
              <w:rPr>
                <w:rFonts w:hint="eastAsia" w:ascii="宋体" w:hAnsi="宋体"/>
                <w:color w:val="000000" w:themeColor="text1"/>
                <w:lang w:val="en-US" w:eastAsia="zh-CN"/>
              </w:rPr>
              <w:t>要求</w:t>
            </w:r>
          </w:p>
        </w:tc>
        <w:tc>
          <w:tcPr>
            <w:tcW w:w="3522"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r>
              <w:rPr>
                <w:rFonts w:hint="eastAsia" w:ascii="宋体" w:hAnsi="宋体"/>
                <w:color w:val="000000" w:themeColor="text1"/>
              </w:rPr>
              <w:t xml:space="preserve">符合磋商文件要求  </w:t>
            </w:r>
          </w:p>
        </w:tc>
        <w:tc>
          <w:tcPr>
            <w:tcW w:w="3012"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rPr>
            </w:pPr>
          </w:p>
        </w:tc>
      </w:tr>
    </w:tbl>
    <w:p>
      <w:pPr>
        <w:pStyle w:val="31"/>
        <w:rPr>
          <w:color w:val="000000" w:themeColor="text1"/>
          <w:sz w:val="30"/>
          <w:szCs w:val="30"/>
        </w:rPr>
      </w:pPr>
      <w:r>
        <w:rPr>
          <w:rFonts w:hint="eastAsia"/>
          <w:color w:val="000000" w:themeColor="text1"/>
          <w:sz w:val="30"/>
          <w:szCs w:val="30"/>
        </w:rPr>
        <w:t>一、资格性审查表</w:t>
      </w:r>
      <w:bookmarkEnd w:id="27"/>
      <w:bookmarkEnd w:id="28"/>
    </w:p>
    <w:p>
      <w:pPr>
        <w:ind w:firstLine="2850" w:firstLineChars="950"/>
        <w:rPr>
          <w:color w:val="000000" w:themeColor="text1"/>
          <w:sz w:val="30"/>
          <w:szCs w:val="30"/>
        </w:rPr>
      </w:pPr>
      <w:bookmarkStart w:id="29" w:name="_Toc511899302"/>
      <w:bookmarkEnd w:id="29"/>
      <w:bookmarkStart w:id="30" w:name="_Toc861"/>
      <w:bookmarkStart w:id="31" w:name="_Toc11712"/>
      <w:r>
        <w:rPr>
          <w:rFonts w:hint="eastAsia"/>
          <w:color w:val="000000" w:themeColor="text1"/>
          <w:sz w:val="30"/>
          <w:szCs w:val="30"/>
        </w:rPr>
        <w:br w:type="page"/>
      </w:r>
      <w:r>
        <w:rPr>
          <w:rFonts w:hint="eastAsia" w:ascii="宋体" w:hAnsi="宋体" w:cs="Arial"/>
          <w:b/>
          <w:bCs/>
          <w:color w:val="000000" w:themeColor="text1"/>
          <w:sz w:val="30"/>
          <w:szCs w:val="30"/>
        </w:rPr>
        <w:t>二、符合性审查表</w:t>
      </w:r>
      <w:bookmarkEnd w:id="30"/>
      <w:bookmarkEnd w:id="31"/>
    </w:p>
    <w:tbl>
      <w:tblPr>
        <w:tblStyle w:val="22"/>
        <w:tblW w:w="87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14"/>
        <w:gridCol w:w="399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r>
              <w:rPr>
                <w:rFonts w:hint="eastAsia" w:ascii="宋体" w:hAnsi="宋体"/>
                <w:color w:val="000000" w:themeColor="text1"/>
              </w:rPr>
              <w:t>序号</w:t>
            </w:r>
          </w:p>
        </w:tc>
        <w:tc>
          <w:tcPr>
            <w:tcW w:w="251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r>
              <w:rPr>
                <w:rFonts w:hint="eastAsia" w:ascii="宋体" w:hAnsi="宋体"/>
                <w:color w:val="000000" w:themeColor="text1"/>
              </w:rPr>
              <w:t>指标名称</w:t>
            </w:r>
          </w:p>
        </w:tc>
        <w:tc>
          <w:tcPr>
            <w:tcW w:w="3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r>
              <w:rPr>
                <w:rFonts w:hint="eastAsia" w:ascii="宋体" w:hAnsi="宋体"/>
                <w:color w:val="000000" w:themeColor="text1"/>
              </w:rPr>
              <w:t>指标要求</w:t>
            </w:r>
          </w:p>
        </w:tc>
        <w:tc>
          <w:tcPr>
            <w:tcW w:w="153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r>
              <w:rPr>
                <w:rFonts w:hint="eastAsia" w:ascii="宋体" w:hAnsi="宋体"/>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r>
              <w:rPr>
                <w:rFonts w:hint="eastAsia" w:ascii="宋体" w:hAnsi="宋体"/>
                <w:color w:val="000000" w:themeColor="text1"/>
              </w:rPr>
              <w:t>1</w:t>
            </w:r>
          </w:p>
        </w:tc>
        <w:tc>
          <w:tcPr>
            <w:tcW w:w="251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r>
              <w:rPr>
                <w:rFonts w:hint="eastAsia" w:ascii="宋体" w:hAnsi="宋体"/>
                <w:color w:val="000000" w:themeColor="text1"/>
              </w:rPr>
              <w:t>项目要求响应情况</w:t>
            </w:r>
          </w:p>
        </w:tc>
        <w:tc>
          <w:tcPr>
            <w:tcW w:w="3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r>
              <w:rPr>
                <w:rFonts w:hint="eastAsia" w:ascii="宋体" w:hAnsi="宋体"/>
                <w:color w:val="000000" w:themeColor="text1"/>
              </w:rPr>
              <w:t>符合磋商文件第三章第一项要求</w:t>
            </w:r>
          </w:p>
        </w:tc>
        <w:tc>
          <w:tcPr>
            <w:tcW w:w="153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r>
              <w:rPr>
                <w:rFonts w:hint="eastAsia" w:ascii="宋体" w:hAnsi="宋体"/>
                <w:color w:val="000000" w:themeColor="text1"/>
              </w:rPr>
              <w:t>2</w:t>
            </w:r>
          </w:p>
        </w:tc>
        <w:tc>
          <w:tcPr>
            <w:tcW w:w="2514" w:type="dxa"/>
            <w:tcBorders>
              <w:top w:val="single" w:color="auto" w:sz="4" w:space="0"/>
              <w:left w:val="nil"/>
              <w:bottom w:val="single" w:color="auto" w:sz="4" w:space="0"/>
              <w:right w:val="single" w:color="auto" w:sz="4" w:space="0"/>
            </w:tcBorders>
            <w:vAlign w:val="center"/>
          </w:tcPr>
          <w:p>
            <w:pPr>
              <w:spacing w:line="360" w:lineRule="auto"/>
              <w:ind w:right="-11"/>
              <w:jc w:val="center"/>
              <w:rPr>
                <w:rFonts w:ascii="宋体" w:hAnsi="宋体"/>
                <w:color w:val="000000" w:themeColor="text1"/>
              </w:rPr>
            </w:pPr>
            <w:r>
              <w:rPr>
                <w:rFonts w:hint="eastAsia" w:ascii="宋体" w:hAnsi="宋体"/>
                <w:color w:val="000000" w:themeColor="text1"/>
              </w:rPr>
              <w:t>商务要求响应情况</w:t>
            </w:r>
          </w:p>
        </w:tc>
        <w:tc>
          <w:tcPr>
            <w:tcW w:w="3990" w:type="dxa"/>
            <w:tcBorders>
              <w:top w:val="single" w:color="auto" w:sz="4" w:space="0"/>
              <w:left w:val="single" w:color="auto" w:sz="4" w:space="0"/>
              <w:bottom w:val="single" w:color="auto" w:sz="4" w:space="0"/>
              <w:right w:val="single" w:color="auto" w:sz="4" w:space="0"/>
            </w:tcBorders>
            <w:vAlign w:val="center"/>
          </w:tcPr>
          <w:p>
            <w:pPr>
              <w:spacing w:line="360" w:lineRule="auto"/>
              <w:ind w:right="-11"/>
              <w:jc w:val="center"/>
              <w:rPr>
                <w:rFonts w:ascii="宋体" w:hAnsi="宋体"/>
                <w:color w:val="000000" w:themeColor="text1"/>
              </w:rPr>
            </w:pPr>
            <w:r>
              <w:rPr>
                <w:rFonts w:hint="eastAsia" w:ascii="宋体" w:hAnsi="宋体"/>
                <w:color w:val="000000" w:themeColor="text1"/>
              </w:rPr>
              <w:t>符合磋商文件第三章第二项要求</w:t>
            </w:r>
          </w:p>
        </w:tc>
        <w:tc>
          <w:tcPr>
            <w:tcW w:w="153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1"/>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3</w:t>
            </w:r>
          </w:p>
        </w:tc>
        <w:tc>
          <w:tcPr>
            <w:tcW w:w="2514"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rPr>
            </w:pPr>
            <w:r>
              <w:rPr>
                <w:rFonts w:hint="eastAsia" w:ascii="宋体" w:hAnsi="宋体"/>
                <w:color w:val="000000" w:themeColor="text1"/>
              </w:rPr>
              <w:t>标书规范性</w:t>
            </w:r>
          </w:p>
        </w:tc>
        <w:tc>
          <w:tcPr>
            <w:tcW w:w="3990" w:type="dxa"/>
            <w:tcBorders>
              <w:top w:val="single" w:color="auto" w:sz="4" w:space="0"/>
              <w:left w:val="single" w:color="auto" w:sz="4" w:space="0"/>
              <w:bottom w:val="single" w:color="auto" w:sz="4" w:space="0"/>
              <w:right w:val="single" w:color="auto" w:sz="4" w:space="0"/>
            </w:tcBorders>
            <w:vAlign w:val="center"/>
          </w:tcPr>
          <w:p>
            <w:pPr>
              <w:ind w:right="-11"/>
              <w:jc w:val="center"/>
              <w:rPr>
                <w:rFonts w:ascii="宋体" w:hAnsi="宋体"/>
                <w:color w:val="000000" w:themeColor="text1"/>
              </w:rPr>
            </w:pPr>
            <w:r>
              <w:rPr>
                <w:rFonts w:hint="eastAsia" w:ascii="宋体" w:hAnsi="宋体"/>
                <w:color w:val="000000" w:themeColor="text1"/>
              </w:rPr>
              <w:t>符合磋商文件要求（</w:t>
            </w:r>
            <w:r>
              <w:rPr>
                <w:rFonts w:hint="eastAsia" w:ascii="宋体" w:hAnsi="宋体" w:cs="Arial"/>
                <w:color w:val="000000" w:themeColor="text1"/>
              </w:rPr>
              <w:t>按照规定的要求进行编制、标记和签署</w:t>
            </w:r>
            <w:r>
              <w:rPr>
                <w:rFonts w:hint="eastAsia" w:ascii="宋体" w:hAnsi="宋体"/>
                <w:color w:val="000000" w:themeColor="text1"/>
              </w:rPr>
              <w:t>）</w:t>
            </w:r>
          </w:p>
        </w:tc>
        <w:tc>
          <w:tcPr>
            <w:tcW w:w="153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b/>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4</w:t>
            </w:r>
          </w:p>
        </w:tc>
        <w:tc>
          <w:tcPr>
            <w:tcW w:w="2514" w:type="dxa"/>
            <w:tcBorders>
              <w:top w:val="single" w:color="auto" w:sz="4" w:space="0"/>
              <w:left w:val="nil"/>
              <w:bottom w:val="single" w:color="auto" w:sz="4" w:space="0"/>
              <w:right w:val="single" w:color="auto" w:sz="4" w:space="0"/>
            </w:tcBorders>
            <w:vAlign w:val="center"/>
          </w:tcPr>
          <w:p>
            <w:pPr>
              <w:spacing w:line="460" w:lineRule="exact"/>
              <w:ind w:right="-11"/>
              <w:jc w:val="center"/>
              <w:rPr>
                <w:rFonts w:ascii="宋体" w:hAnsi="宋体"/>
                <w:color w:val="000000" w:themeColor="text1"/>
              </w:rPr>
            </w:pPr>
            <w:r>
              <w:rPr>
                <w:rFonts w:hint="eastAsia"/>
                <w:color w:val="000000" w:themeColor="text1"/>
              </w:rPr>
              <w:t>磋商响应函</w:t>
            </w:r>
          </w:p>
        </w:tc>
        <w:tc>
          <w:tcPr>
            <w:tcW w:w="3990" w:type="dxa"/>
            <w:tcBorders>
              <w:top w:val="single" w:color="auto" w:sz="4" w:space="0"/>
              <w:left w:val="single" w:color="auto" w:sz="4" w:space="0"/>
              <w:bottom w:val="single" w:color="auto" w:sz="4" w:space="0"/>
              <w:right w:val="single" w:color="auto" w:sz="4" w:space="0"/>
            </w:tcBorders>
            <w:vAlign w:val="center"/>
          </w:tcPr>
          <w:p>
            <w:pPr>
              <w:spacing w:line="460" w:lineRule="exact"/>
              <w:ind w:right="-11" w:firstLine="840" w:firstLineChars="400"/>
              <w:rPr>
                <w:rFonts w:ascii="宋体" w:hAnsi="宋体"/>
                <w:color w:val="000000" w:themeColor="text1"/>
              </w:rPr>
            </w:pPr>
            <w:r>
              <w:rPr>
                <w:rFonts w:hint="eastAsia" w:ascii="宋体" w:hAnsi="宋体"/>
                <w:color w:val="000000" w:themeColor="text1"/>
              </w:rPr>
              <w:t>符合磋商文件要求</w:t>
            </w:r>
          </w:p>
        </w:tc>
        <w:tc>
          <w:tcPr>
            <w:tcW w:w="153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b/>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rPr>
            </w:pPr>
            <w:r>
              <w:rPr>
                <w:rFonts w:hint="eastAsia" w:ascii="宋体" w:hAnsi="宋体"/>
                <w:color w:val="000000" w:themeColor="text1"/>
              </w:rPr>
              <w:t>5</w:t>
            </w:r>
          </w:p>
        </w:tc>
        <w:tc>
          <w:tcPr>
            <w:tcW w:w="2514" w:type="dxa"/>
            <w:tcBorders>
              <w:top w:val="single" w:color="auto" w:sz="4" w:space="0"/>
              <w:left w:val="nil"/>
              <w:bottom w:val="single" w:color="auto" w:sz="4" w:space="0"/>
              <w:right w:val="single" w:color="auto" w:sz="4" w:space="0"/>
            </w:tcBorders>
            <w:vAlign w:val="center"/>
          </w:tcPr>
          <w:p>
            <w:pPr>
              <w:spacing w:line="460" w:lineRule="exact"/>
              <w:ind w:right="-11"/>
              <w:jc w:val="center"/>
              <w:rPr>
                <w:color w:val="000000" w:themeColor="text1"/>
              </w:rPr>
            </w:pPr>
            <w:r>
              <w:rPr>
                <w:rFonts w:hint="eastAsia"/>
                <w:color w:val="000000" w:themeColor="text1"/>
              </w:rPr>
              <w:t>磋商承诺函</w:t>
            </w:r>
          </w:p>
        </w:tc>
        <w:tc>
          <w:tcPr>
            <w:tcW w:w="3990" w:type="dxa"/>
            <w:tcBorders>
              <w:top w:val="single" w:color="auto" w:sz="4" w:space="0"/>
              <w:left w:val="single" w:color="auto" w:sz="4" w:space="0"/>
              <w:bottom w:val="single" w:color="auto" w:sz="4" w:space="0"/>
              <w:right w:val="single" w:color="auto" w:sz="4" w:space="0"/>
            </w:tcBorders>
            <w:vAlign w:val="center"/>
          </w:tcPr>
          <w:p>
            <w:pPr>
              <w:spacing w:line="460" w:lineRule="exact"/>
              <w:ind w:right="-11" w:firstLine="840" w:firstLineChars="400"/>
              <w:rPr>
                <w:rFonts w:ascii="宋体" w:hAnsi="宋体"/>
                <w:color w:val="000000" w:themeColor="text1"/>
              </w:rPr>
            </w:pPr>
            <w:r>
              <w:rPr>
                <w:rFonts w:hint="eastAsia" w:ascii="宋体" w:hAnsi="宋体"/>
                <w:color w:val="000000" w:themeColor="text1"/>
              </w:rPr>
              <w:t>符合磋商文件要求</w:t>
            </w:r>
          </w:p>
        </w:tc>
        <w:tc>
          <w:tcPr>
            <w:tcW w:w="153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b/>
                <w:bCs/>
                <w:color w:val="000000" w:themeColor="text1"/>
              </w:rPr>
            </w:pPr>
          </w:p>
        </w:tc>
      </w:tr>
    </w:tbl>
    <w:p>
      <w:pPr>
        <w:pStyle w:val="29"/>
        <w:numPr>
          <w:ilvl w:val="0"/>
          <w:numId w:val="2"/>
        </w:numPr>
        <w:rPr>
          <w:rFonts w:ascii="黑体"/>
          <w:color w:val="000000" w:themeColor="text1"/>
        </w:rPr>
      </w:pPr>
      <w:r>
        <w:rPr>
          <w:rFonts w:hint="eastAsia"/>
          <w:color w:val="000000" w:themeColor="text1"/>
        </w:rPr>
        <w:br w:type="page"/>
      </w:r>
      <w:bookmarkStart w:id="32" w:name="_Toc511899303"/>
      <w:bookmarkEnd w:id="32"/>
      <w:bookmarkStart w:id="33" w:name="_Toc18594"/>
      <w:r>
        <w:rPr>
          <w:rFonts w:hint="eastAsia" w:ascii="黑体"/>
          <w:color w:val="000000" w:themeColor="text1"/>
        </w:rPr>
        <w:t>评分办法</w:t>
      </w:r>
      <w:bookmarkEnd w:id="33"/>
    </w:p>
    <w:p>
      <w:pPr>
        <w:pStyle w:val="30"/>
        <w:ind w:firstLine="0" w:firstLineChars="0"/>
        <w:rPr>
          <w:b/>
          <w:bCs/>
          <w:color w:val="000000" w:themeColor="text1"/>
        </w:rPr>
      </w:pPr>
      <w:r>
        <w:rPr>
          <w:rFonts w:hint="eastAsia"/>
          <w:b/>
          <w:bCs/>
          <w:color w:val="000000" w:themeColor="text1"/>
        </w:rPr>
        <w:t>评分办法：</w:t>
      </w:r>
    </w:p>
    <w:tbl>
      <w:tblPr>
        <w:tblStyle w:val="2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513"/>
        <w:gridCol w:w="5231"/>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pPr>
              <w:spacing w:line="440" w:lineRule="exact"/>
              <w:jc w:val="center"/>
              <w:rPr>
                <w:rFonts w:ascii="宋体" w:hAnsi="宋体"/>
                <w:color w:val="000000" w:themeColor="text1"/>
              </w:rPr>
            </w:pPr>
            <w:r>
              <w:rPr>
                <w:rFonts w:hint="eastAsia" w:ascii="宋体" w:hAnsi="宋体"/>
                <w:color w:val="000000" w:themeColor="text1"/>
              </w:rPr>
              <w:t>评审项目</w:t>
            </w:r>
          </w:p>
        </w:tc>
        <w:tc>
          <w:tcPr>
            <w:tcW w:w="1513" w:type="dxa"/>
            <w:vAlign w:val="center"/>
          </w:tcPr>
          <w:p>
            <w:pPr>
              <w:spacing w:line="440" w:lineRule="exact"/>
              <w:ind w:firstLine="105" w:firstLineChars="50"/>
              <w:jc w:val="center"/>
              <w:rPr>
                <w:rFonts w:ascii="宋体" w:hAnsi="宋体"/>
                <w:color w:val="000000" w:themeColor="text1"/>
              </w:rPr>
            </w:pPr>
            <w:r>
              <w:rPr>
                <w:rFonts w:hint="eastAsia" w:ascii="宋体" w:hAnsi="宋体"/>
                <w:color w:val="000000" w:themeColor="text1"/>
              </w:rPr>
              <w:t>分值</w:t>
            </w:r>
          </w:p>
        </w:tc>
        <w:tc>
          <w:tcPr>
            <w:tcW w:w="5230" w:type="dxa"/>
            <w:vAlign w:val="center"/>
          </w:tcPr>
          <w:p>
            <w:pPr>
              <w:spacing w:line="440" w:lineRule="exact"/>
              <w:jc w:val="center"/>
              <w:rPr>
                <w:rFonts w:ascii="宋体" w:hAnsi="宋体"/>
                <w:color w:val="000000" w:themeColor="text1"/>
              </w:rPr>
            </w:pPr>
            <w:r>
              <w:rPr>
                <w:rFonts w:hint="eastAsia" w:ascii="宋体" w:hAnsi="宋体"/>
                <w:color w:val="000000" w:themeColor="text1"/>
              </w:rPr>
              <w:t>评审内容及标准</w:t>
            </w:r>
          </w:p>
        </w:tc>
        <w:tc>
          <w:tcPr>
            <w:tcW w:w="1069" w:type="dxa"/>
            <w:vAlign w:val="center"/>
          </w:tcPr>
          <w:p>
            <w:pPr>
              <w:tabs>
                <w:tab w:val="left" w:pos="657"/>
              </w:tabs>
              <w:spacing w:line="440" w:lineRule="exact"/>
              <w:jc w:val="center"/>
              <w:rPr>
                <w:rFonts w:ascii="宋体" w:hAnsi="宋体"/>
                <w:color w:val="000000" w:themeColor="text1"/>
              </w:rPr>
            </w:pPr>
            <w:r>
              <w:rPr>
                <w:rFonts w:hint="eastAsia" w:ascii="宋体" w:hAnsi="宋体"/>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restart"/>
            <w:vAlign w:val="center"/>
          </w:tcPr>
          <w:p>
            <w:pPr>
              <w:spacing w:line="440" w:lineRule="exact"/>
              <w:jc w:val="center"/>
              <w:rPr>
                <w:rFonts w:ascii="宋体" w:hAnsi="宋体"/>
                <w:b/>
                <w:bCs/>
                <w:color w:val="000000" w:themeColor="text1"/>
              </w:rPr>
            </w:pPr>
            <w:r>
              <w:rPr>
                <w:rFonts w:hint="eastAsia" w:ascii="宋体" w:hAnsi="宋体"/>
                <w:b/>
                <w:bCs/>
                <w:color w:val="000000" w:themeColor="text1"/>
              </w:rPr>
              <w:t>技术分</w:t>
            </w:r>
          </w:p>
          <w:p>
            <w:pPr>
              <w:spacing w:line="440" w:lineRule="exact"/>
              <w:jc w:val="center"/>
              <w:rPr>
                <w:rFonts w:ascii="宋体" w:hAnsi="宋体"/>
                <w:b/>
                <w:bCs/>
                <w:color w:val="000000" w:themeColor="text1"/>
              </w:rPr>
            </w:pPr>
            <w:r>
              <w:rPr>
                <w:rFonts w:hint="eastAsia" w:ascii="宋体" w:hAnsi="宋体"/>
                <w:b/>
                <w:bCs/>
                <w:color w:val="000000" w:themeColor="text1"/>
              </w:rPr>
              <w:t>（</w:t>
            </w:r>
            <w:r>
              <w:rPr>
                <w:rFonts w:hint="eastAsia" w:ascii="宋体" w:hAnsi="宋体"/>
                <w:b/>
                <w:bCs/>
                <w:color w:val="000000" w:themeColor="text1"/>
                <w:lang w:val="en-US" w:eastAsia="zh-CN"/>
              </w:rPr>
              <w:t>90</w:t>
            </w:r>
            <w:r>
              <w:rPr>
                <w:rFonts w:hint="eastAsia" w:ascii="宋体" w:hAnsi="宋体"/>
                <w:b/>
                <w:bCs/>
                <w:color w:val="000000" w:themeColor="text1"/>
              </w:rPr>
              <w:t>分）</w:t>
            </w:r>
          </w:p>
        </w:tc>
        <w:tc>
          <w:tcPr>
            <w:tcW w:w="1513" w:type="dxa"/>
            <w:vAlign w:val="center"/>
          </w:tcPr>
          <w:p>
            <w:pPr>
              <w:spacing w:line="440" w:lineRule="exact"/>
              <w:jc w:val="center"/>
              <w:rPr>
                <w:rFonts w:ascii="宋体" w:hAnsi="宋体"/>
                <w:b/>
                <w:bCs/>
                <w:color w:val="000000" w:themeColor="text1"/>
              </w:rPr>
            </w:pPr>
            <w:r>
              <w:rPr>
                <w:rFonts w:ascii="宋体" w:hAnsi="宋体"/>
                <w:b/>
                <w:bCs/>
                <w:color w:val="000000" w:themeColor="text1"/>
              </w:rPr>
              <w:t>技术服务水平</w:t>
            </w:r>
          </w:p>
          <w:p>
            <w:pPr>
              <w:spacing w:line="440" w:lineRule="exact"/>
              <w:ind w:firstLine="105" w:firstLineChars="50"/>
              <w:jc w:val="center"/>
              <w:rPr>
                <w:rFonts w:ascii="宋体" w:hAnsi="宋体"/>
                <w:color w:val="000000" w:themeColor="text1"/>
              </w:rPr>
            </w:pPr>
            <w:r>
              <w:rPr>
                <w:rFonts w:ascii="宋体" w:hAnsi="宋体"/>
                <w:b/>
                <w:bCs/>
                <w:color w:val="000000" w:themeColor="text1"/>
              </w:rPr>
              <w:t>（</w:t>
            </w:r>
            <w:r>
              <w:rPr>
                <w:rFonts w:hint="eastAsia" w:ascii="宋体" w:hAnsi="宋体"/>
                <w:b/>
                <w:bCs/>
                <w:color w:val="000000" w:themeColor="text1"/>
                <w:lang w:val="en-US" w:eastAsia="zh-CN"/>
              </w:rPr>
              <w:t>50</w:t>
            </w:r>
            <w:r>
              <w:rPr>
                <w:rFonts w:hint="eastAsia" w:ascii="宋体" w:hAnsi="宋体"/>
                <w:b/>
                <w:bCs/>
                <w:color w:val="000000" w:themeColor="text1"/>
              </w:rPr>
              <w:t>分</w:t>
            </w:r>
            <w:r>
              <w:rPr>
                <w:rFonts w:ascii="宋体" w:hAnsi="宋体"/>
                <w:b/>
                <w:bCs/>
                <w:color w:val="000000" w:themeColor="text1"/>
              </w:rPr>
              <w:t>）</w:t>
            </w:r>
          </w:p>
        </w:tc>
        <w:tc>
          <w:tcPr>
            <w:tcW w:w="5230" w:type="dxa"/>
            <w:vAlign w:val="center"/>
          </w:tcPr>
          <w:p>
            <w:pPr>
              <w:spacing w:line="440" w:lineRule="exact"/>
              <w:jc w:val="left"/>
              <w:rPr>
                <w:rFonts w:ascii="宋体" w:hAnsi="宋体"/>
                <w:color w:val="000000" w:themeColor="text1"/>
              </w:rPr>
            </w:pPr>
            <w:r>
              <w:rPr>
                <w:rFonts w:hint="eastAsia" w:ascii="宋体" w:hAnsi="宋体"/>
                <w:color w:val="000000" w:themeColor="text1"/>
              </w:rPr>
              <w:t>1、</w:t>
            </w:r>
            <w:r>
              <w:rPr>
                <w:rFonts w:hint="eastAsia" w:ascii="宋体" w:hAnsi="宋体"/>
                <w:color w:val="000000" w:themeColor="text1"/>
                <w:lang w:val="en-US" w:eastAsia="zh-CN"/>
              </w:rPr>
              <w:t>单位内部管理制度</w:t>
            </w:r>
            <w:r>
              <w:rPr>
                <w:rFonts w:hint="eastAsia" w:ascii="宋体" w:hAnsi="宋体"/>
                <w:color w:val="000000" w:themeColor="text1"/>
              </w:rPr>
              <w:t xml:space="preserve">：符合项目需求，服务过程中各项流程控制科学合理，具有及时性和有效性得 </w:t>
            </w:r>
            <w:r>
              <w:rPr>
                <w:rFonts w:hint="eastAsia" w:ascii="宋体" w:hAnsi="宋体"/>
                <w:color w:val="000000" w:themeColor="text1"/>
                <w:lang w:val="en-US" w:eastAsia="zh-CN"/>
              </w:rPr>
              <w:t>10</w:t>
            </w:r>
            <w:r>
              <w:rPr>
                <w:rFonts w:hint="eastAsia" w:ascii="宋体" w:hAnsi="宋体"/>
                <w:color w:val="000000" w:themeColor="text1"/>
              </w:rPr>
              <w:t>分；基本符合项目需求，内容较合理具体的得</w:t>
            </w:r>
            <w:r>
              <w:rPr>
                <w:rFonts w:hint="eastAsia" w:ascii="宋体" w:hAnsi="宋体"/>
                <w:color w:val="000000" w:themeColor="text1"/>
                <w:lang w:val="en-US" w:eastAsia="zh-CN"/>
              </w:rPr>
              <w:t>7</w:t>
            </w:r>
            <w:r>
              <w:rPr>
                <w:rFonts w:hint="eastAsia" w:ascii="宋体" w:hAnsi="宋体"/>
                <w:color w:val="000000" w:themeColor="text1"/>
              </w:rPr>
              <w:t>分；有一定的安排，内容有待完善的得</w:t>
            </w:r>
            <w:r>
              <w:rPr>
                <w:rFonts w:hint="eastAsia" w:ascii="宋体" w:hAnsi="宋体"/>
                <w:color w:val="000000" w:themeColor="text1"/>
                <w:lang w:val="en-US" w:eastAsia="zh-CN"/>
              </w:rPr>
              <w:t>3</w:t>
            </w:r>
            <w:r>
              <w:rPr>
                <w:rFonts w:hint="eastAsia" w:ascii="宋体" w:hAnsi="宋体"/>
                <w:color w:val="000000" w:themeColor="text1"/>
              </w:rPr>
              <w:t>分；未提供的不得分。</w:t>
            </w:r>
          </w:p>
          <w:p>
            <w:pPr>
              <w:spacing w:line="440" w:lineRule="exact"/>
              <w:jc w:val="left"/>
              <w:rPr>
                <w:rFonts w:ascii="宋体" w:hAnsi="宋体"/>
                <w:color w:val="000000" w:themeColor="text1"/>
              </w:rPr>
            </w:pPr>
            <w:r>
              <w:rPr>
                <w:rFonts w:hint="eastAsia" w:ascii="宋体" w:hAnsi="宋体"/>
                <w:color w:val="000000" w:themeColor="text1"/>
              </w:rPr>
              <w:t>2、</w:t>
            </w:r>
            <w:r>
              <w:rPr>
                <w:rFonts w:hint="eastAsia" w:ascii="宋体" w:hAnsi="宋体"/>
                <w:color w:val="000000" w:themeColor="text1"/>
                <w:lang w:val="en-US" w:eastAsia="zh-CN"/>
              </w:rPr>
              <w:t>审计质量控制措施</w:t>
            </w:r>
            <w:r>
              <w:rPr>
                <w:rFonts w:hint="eastAsia" w:ascii="宋体" w:hAnsi="宋体"/>
                <w:color w:val="000000" w:themeColor="text1"/>
              </w:rPr>
              <w:t>：符合项目需求，内容科学合理，流程连贯的得</w:t>
            </w:r>
            <w:r>
              <w:rPr>
                <w:rFonts w:hint="eastAsia" w:ascii="宋体" w:hAnsi="宋体"/>
                <w:color w:val="000000" w:themeColor="text1"/>
                <w:lang w:val="en-US" w:eastAsia="zh-CN"/>
              </w:rPr>
              <w:t>10</w:t>
            </w:r>
            <w:r>
              <w:rPr>
                <w:rFonts w:hint="eastAsia" w:ascii="宋体" w:hAnsi="宋体"/>
                <w:color w:val="000000" w:themeColor="text1"/>
              </w:rPr>
              <w:t xml:space="preserve"> 分； 基本符合项目需求，有一定可行性的得 </w:t>
            </w:r>
            <w:r>
              <w:rPr>
                <w:rFonts w:hint="eastAsia" w:ascii="宋体" w:hAnsi="宋体"/>
                <w:color w:val="000000" w:themeColor="text1"/>
                <w:lang w:val="en-US" w:eastAsia="zh-CN"/>
              </w:rPr>
              <w:t>7</w:t>
            </w:r>
            <w:r>
              <w:rPr>
                <w:rFonts w:hint="eastAsia" w:ascii="宋体" w:hAnsi="宋体"/>
                <w:color w:val="000000" w:themeColor="text1"/>
              </w:rPr>
              <w:t>分；能够提供服务保障，内容有待完善得</w:t>
            </w:r>
            <w:r>
              <w:rPr>
                <w:rFonts w:hint="eastAsia" w:ascii="宋体" w:hAnsi="宋体"/>
                <w:color w:val="000000" w:themeColor="text1"/>
                <w:lang w:val="en-US" w:eastAsia="zh-CN"/>
              </w:rPr>
              <w:t>3</w:t>
            </w:r>
            <w:r>
              <w:rPr>
                <w:rFonts w:hint="eastAsia" w:ascii="宋体" w:hAnsi="宋体"/>
                <w:color w:val="000000" w:themeColor="text1"/>
              </w:rPr>
              <w:t>分；未提供的不得分。</w:t>
            </w:r>
          </w:p>
          <w:p>
            <w:pPr>
              <w:spacing w:line="440" w:lineRule="exact"/>
              <w:jc w:val="left"/>
              <w:rPr>
                <w:rFonts w:ascii="宋体" w:hAnsi="宋体"/>
                <w:color w:val="000000" w:themeColor="text1"/>
              </w:rPr>
            </w:pPr>
            <w:r>
              <w:rPr>
                <w:rFonts w:hint="eastAsia" w:ascii="宋体" w:hAnsi="宋体"/>
                <w:color w:val="000000" w:themeColor="text1"/>
              </w:rPr>
              <w:t>3、</w:t>
            </w:r>
            <w:r>
              <w:rPr>
                <w:rFonts w:hint="eastAsia" w:ascii="宋体" w:hAnsi="宋体"/>
                <w:color w:val="000000" w:themeColor="text1"/>
                <w:lang w:val="en-US" w:eastAsia="zh-CN"/>
              </w:rPr>
              <w:t>审计工作实施方案</w:t>
            </w:r>
            <w:r>
              <w:rPr>
                <w:rFonts w:hint="eastAsia" w:ascii="宋体" w:hAnsi="宋体"/>
                <w:color w:val="000000" w:themeColor="text1"/>
              </w:rPr>
              <w:t>：符合项目需求，具有针对性、科学合理的得</w:t>
            </w:r>
            <w:r>
              <w:rPr>
                <w:rFonts w:hint="eastAsia" w:ascii="宋体" w:hAnsi="宋体"/>
                <w:color w:val="000000" w:themeColor="text1"/>
                <w:lang w:val="en-US" w:eastAsia="zh-CN"/>
              </w:rPr>
              <w:t>20</w:t>
            </w:r>
            <w:r>
              <w:rPr>
                <w:rFonts w:hint="eastAsia" w:ascii="宋体" w:hAnsi="宋体"/>
                <w:color w:val="000000" w:themeColor="text1"/>
              </w:rPr>
              <w:t xml:space="preserve">分；基本符合项目需求，有一定可行性的 得 </w:t>
            </w:r>
            <w:r>
              <w:rPr>
                <w:rFonts w:hint="eastAsia" w:ascii="宋体" w:hAnsi="宋体"/>
                <w:color w:val="000000" w:themeColor="text1"/>
                <w:lang w:val="en-US" w:eastAsia="zh-CN"/>
              </w:rPr>
              <w:t>10</w:t>
            </w:r>
            <w:r>
              <w:rPr>
                <w:rFonts w:hint="eastAsia" w:ascii="宋体" w:hAnsi="宋体"/>
                <w:color w:val="000000" w:themeColor="text1"/>
              </w:rPr>
              <w:t xml:space="preserve"> 分；能够提供安全措施，内容有待完善得 </w:t>
            </w:r>
            <w:r>
              <w:rPr>
                <w:rFonts w:hint="eastAsia" w:ascii="宋体" w:hAnsi="宋体"/>
                <w:color w:val="000000" w:themeColor="text1"/>
                <w:lang w:val="en-US" w:eastAsia="zh-CN"/>
              </w:rPr>
              <w:t>3</w:t>
            </w:r>
            <w:r>
              <w:rPr>
                <w:rFonts w:hint="eastAsia" w:ascii="宋体" w:hAnsi="宋体"/>
                <w:color w:val="000000" w:themeColor="text1"/>
              </w:rPr>
              <w:t xml:space="preserve"> 分；未提供的不得分。</w:t>
            </w:r>
          </w:p>
          <w:p>
            <w:pPr>
              <w:spacing w:line="440" w:lineRule="exact"/>
              <w:jc w:val="left"/>
              <w:rPr>
                <w:rFonts w:ascii="宋体" w:hAnsi="宋体"/>
                <w:color w:val="000000" w:themeColor="text1"/>
              </w:rPr>
            </w:pPr>
            <w:r>
              <w:rPr>
                <w:rFonts w:hint="eastAsia" w:ascii="宋体" w:hAnsi="宋体"/>
                <w:color w:val="000000" w:themeColor="text1"/>
              </w:rPr>
              <w:t>4、</w:t>
            </w:r>
            <w:r>
              <w:rPr>
                <w:rFonts w:hint="eastAsia" w:ascii="宋体" w:hAnsi="宋体"/>
                <w:color w:val="000000" w:themeColor="text1"/>
                <w:lang w:val="en-US" w:eastAsia="zh-CN"/>
              </w:rPr>
              <w:t>审核服务的承诺书</w:t>
            </w:r>
            <w:r>
              <w:rPr>
                <w:rFonts w:hint="eastAsia" w:ascii="宋体" w:hAnsi="宋体"/>
                <w:color w:val="000000" w:themeColor="text1"/>
              </w:rPr>
              <w:t xml:space="preserve">：符合项目需求，具有针对性、科学合理的得 </w:t>
            </w:r>
            <w:r>
              <w:rPr>
                <w:rFonts w:hint="eastAsia" w:ascii="宋体" w:hAnsi="宋体"/>
                <w:color w:val="000000" w:themeColor="text1"/>
                <w:lang w:val="en-US" w:eastAsia="zh-CN"/>
              </w:rPr>
              <w:t>10</w:t>
            </w:r>
            <w:r>
              <w:rPr>
                <w:rFonts w:hint="eastAsia" w:ascii="宋体" w:hAnsi="宋体"/>
                <w:color w:val="000000" w:themeColor="text1"/>
              </w:rPr>
              <w:t xml:space="preserve">分；基本符合项目需求，有一定可行性的得 </w:t>
            </w:r>
            <w:r>
              <w:rPr>
                <w:rFonts w:hint="eastAsia" w:ascii="宋体" w:hAnsi="宋体"/>
                <w:color w:val="000000" w:themeColor="text1"/>
                <w:lang w:val="en-US" w:eastAsia="zh-CN"/>
              </w:rPr>
              <w:t>7</w:t>
            </w:r>
            <w:r>
              <w:rPr>
                <w:rFonts w:hint="eastAsia" w:ascii="宋体" w:hAnsi="宋体"/>
                <w:color w:val="000000" w:themeColor="text1"/>
              </w:rPr>
              <w:t xml:space="preserve">分；能够提供应急方案，内容有待完善得 </w:t>
            </w:r>
            <w:r>
              <w:rPr>
                <w:rFonts w:hint="eastAsia" w:ascii="宋体" w:hAnsi="宋体"/>
                <w:color w:val="000000" w:themeColor="text1"/>
                <w:lang w:val="en-US" w:eastAsia="zh-CN"/>
              </w:rPr>
              <w:t>3</w:t>
            </w:r>
            <w:r>
              <w:rPr>
                <w:rFonts w:hint="eastAsia" w:ascii="宋体" w:hAnsi="宋体"/>
                <w:color w:val="000000" w:themeColor="text1"/>
              </w:rPr>
              <w:t>分；未提供的不得分。</w:t>
            </w:r>
          </w:p>
        </w:tc>
        <w:tc>
          <w:tcPr>
            <w:tcW w:w="1069" w:type="dxa"/>
            <w:vAlign w:val="center"/>
          </w:tcPr>
          <w:p>
            <w:pPr>
              <w:tabs>
                <w:tab w:val="left" w:pos="657"/>
              </w:tabs>
              <w:spacing w:line="440" w:lineRule="exact"/>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255" w:type="dxa"/>
            <w:vMerge w:val="continue"/>
            <w:vAlign w:val="center"/>
          </w:tcPr>
          <w:p>
            <w:pPr>
              <w:spacing w:line="440" w:lineRule="exact"/>
              <w:jc w:val="center"/>
              <w:rPr>
                <w:rFonts w:ascii="宋体" w:hAnsi="宋体"/>
                <w:b/>
                <w:bCs/>
                <w:color w:val="000000" w:themeColor="text1"/>
              </w:rPr>
            </w:pPr>
          </w:p>
        </w:tc>
        <w:tc>
          <w:tcPr>
            <w:tcW w:w="1513" w:type="dxa"/>
            <w:tcBorders>
              <w:right w:val="single" w:color="auto" w:sz="4" w:space="0"/>
            </w:tcBorders>
            <w:vAlign w:val="center"/>
          </w:tcPr>
          <w:p>
            <w:pPr>
              <w:spacing w:line="440" w:lineRule="exact"/>
              <w:jc w:val="center"/>
              <w:rPr>
                <w:rFonts w:ascii="宋体" w:hAnsi="宋体"/>
                <w:b/>
                <w:bCs/>
                <w:color w:val="000000" w:themeColor="text1"/>
              </w:rPr>
            </w:pPr>
            <w:r>
              <w:rPr>
                <w:rFonts w:ascii="宋体" w:hAnsi="宋体"/>
                <w:b/>
                <w:bCs/>
                <w:color w:val="000000" w:themeColor="text1"/>
              </w:rPr>
              <w:t xml:space="preserve">履约能力 </w:t>
            </w:r>
          </w:p>
          <w:p>
            <w:pPr>
              <w:spacing w:line="440" w:lineRule="exact"/>
              <w:jc w:val="center"/>
              <w:rPr>
                <w:rFonts w:ascii="宋体" w:hAnsi="宋体"/>
                <w:b/>
                <w:bCs/>
                <w:color w:val="000000" w:themeColor="text1"/>
              </w:rPr>
            </w:pPr>
            <w:r>
              <w:rPr>
                <w:rFonts w:ascii="宋体" w:hAnsi="宋体"/>
                <w:b/>
                <w:bCs/>
                <w:color w:val="000000" w:themeColor="text1"/>
              </w:rPr>
              <w:t>(</w:t>
            </w:r>
            <w:r>
              <w:rPr>
                <w:rFonts w:hint="eastAsia" w:ascii="宋体" w:hAnsi="宋体"/>
                <w:b/>
                <w:bCs/>
                <w:color w:val="000000" w:themeColor="text1"/>
                <w:lang w:val="en-US" w:eastAsia="zh-CN"/>
              </w:rPr>
              <w:t>40</w:t>
            </w:r>
            <w:r>
              <w:rPr>
                <w:rFonts w:hint="eastAsia" w:ascii="宋体" w:hAnsi="宋体"/>
                <w:b/>
                <w:bCs/>
                <w:color w:val="000000" w:themeColor="text1"/>
              </w:rPr>
              <w:t>分</w:t>
            </w:r>
            <w:r>
              <w:rPr>
                <w:rFonts w:ascii="宋体" w:hAnsi="宋体"/>
                <w:b/>
                <w:bCs/>
                <w:color w:val="000000" w:themeColor="text1"/>
              </w:rPr>
              <w:t>)</w:t>
            </w:r>
          </w:p>
        </w:tc>
        <w:tc>
          <w:tcPr>
            <w:tcW w:w="5230" w:type="dxa"/>
            <w:tcBorders>
              <w:left w:val="single" w:color="auto" w:sz="4" w:space="0"/>
            </w:tcBorders>
            <w:vAlign w:val="center"/>
          </w:tcPr>
          <w:p>
            <w:pPr>
              <w:pStyle w:val="2"/>
              <w:spacing w:line="440" w:lineRule="exact"/>
              <w:ind w:left="0" w:leftChars="0" w:firstLine="0" w:firstLineChars="0"/>
              <w:rPr>
                <w:rFonts w:hint="default"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kern w:val="2"/>
                <w:sz w:val="21"/>
                <w:szCs w:val="21"/>
                <w:lang w:val="en-US" w:eastAsia="zh-CN" w:bidi="ar-SA"/>
              </w:rPr>
              <w:t>1企业业绩（满分30分）</w:t>
            </w:r>
          </w:p>
          <w:p>
            <w:pPr>
              <w:numPr>
                <w:ilvl w:val="0"/>
                <w:numId w:val="3"/>
              </w:numPr>
              <w:spacing w:line="440" w:lineRule="exact"/>
              <w:rPr>
                <w:rFonts w:hint="eastAsia"/>
                <w:lang w:val="en-US" w:eastAsia="zh-CN"/>
              </w:rPr>
            </w:pPr>
            <w:r>
              <w:rPr>
                <w:rFonts w:hint="eastAsia" w:ascii="宋体" w:hAnsi="宋体" w:eastAsia="宋体" w:cs="Times New Roman"/>
                <w:color w:val="000000" w:themeColor="text1"/>
                <w:kern w:val="2"/>
                <w:sz w:val="21"/>
                <w:szCs w:val="21"/>
                <w:lang w:val="en-US" w:eastAsia="zh-CN" w:bidi="ar-SA"/>
              </w:rPr>
              <w:t>自</w:t>
            </w:r>
            <w:r>
              <w:rPr>
                <w:rFonts w:hint="eastAsia" w:ascii="宋体" w:hAnsi="宋体" w:cs="Times New Roman"/>
                <w:color w:val="000000" w:themeColor="text1"/>
                <w:kern w:val="2"/>
                <w:sz w:val="21"/>
                <w:szCs w:val="21"/>
                <w:lang w:val="en-US" w:eastAsia="zh-CN" w:bidi="ar-SA"/>
              </w:rPr>
              <w:t>2019年7月1日以来近五年每审计过行政事业单位的项目得1分</w:t>
            </w:r>
            <w:r>
              <w:rPr>
                <w:rFonts w:hint="eastAsia" w:ascii="宋体" w:hAnsi="宋体" w:eastAsia="宋体" w:cs="Times New Roman"/>
                <w:color w:val="000000" w:themeColor="text1"/>
                <w:kern w:val="2"/>
                <w:sz w:val="21"/>
                <w:szCs w:val="21"/>
                <w:lang w:val="en-US" w:eastAsia="zh-CN" w:bidi="ar-SA"/>
              </w:rPr>
              <w:t>，附合同、中标通知书或审计成果。满分</w:t>
            </w:r>
            <w:r>
              <w:rPr>
                <w:rFonts w:hint="eastAsia" w:ascii="宋体" w:hAnsi="宋体" w:cs="Times New Roman"/>
                <w:color w:val="000000" w:themeColor="text1"/>
                <w:kern w:val="2"/>
                <w:sz w:val="21"/>
                <w:szCs w:val="21"/>
                <w:lang w:val="en-US" w:eastAsia="zh-CN" w:bidi="ar-SA"/>
              </w:rPr>
              <w:t>20</w:t>
            </w:r>
            <w:r>
              <w:rPr>
                <w:rFonts w:hint="eastAsia" w:ascii="宋体" w:hAnsi="宋体" w:eastAsia="宋体" w:cs="Times New Roman"/>
                <w:color w:val="000000" w:themeColor="text1"/>
                <w:kern w:val="2"/>
                <w:sz w:val="21"/>
                <w:szCs w:val="21"/>
                <w:lang w:val="en-US" w:eastAsia="zh-CN" w:bidi="ar-SA"/>
              </w:rPr>
              <w:t>分。</w:t>
            </w:r>
          </w:p>
          <w:p>
            <w:pPr>
              <w:numPr>
                <w:ilvl w:val="0"/>
                <w:numId w:val="3"/>
              </w:numPr>
              <w:spacing w:line="440" w:lineRule="exact"/>
              <w:rPr>
                <w:rFonts w:hint="eastAsia"/>
                <w:lang w:val="en-US" w:eastAsia="zh-CN"/>
              </w:rPr>
            </w:pPr>
            <w:r>
              <w:rPr>
                <w:rFonts w:hint="eastAsia" w:ascii="宋体" w:hAnsi="宋体" w:eastAsia="宋体" w:cs="Times New Roman"/>
                <w:color w:val="000000" w:themeColor="text1"/>
                <w:kern w:val="2"/>
                <w:sz w:val="21"/>
                <w:szCs w:val="21"/>
                <w:lang w:val="en-US" w:eastAsia="zh-CN" w:bidi="ar-SA"/>
              </w:rPr>
              <w:t>自</w:t>
            </w:r>
            <w:r>
              <w:rPr>
                <w:rFonts w:hint="eastAsia" w:ascii="宋体" w:hAnsi="宋体" w:cs="Times New Roman"/>
                <w:color w:val="000000" w:themeColor="text1"/>
                <w:kern w:val="2"/>
                <w:sz w:val="21"/>
                <w:szCs w:val="21"/>
                <w:lang w:val="en-US" w:eastAsia="zh-CN" w:bidi="ar-SA"/>
              </w:rPr>
              <w:t>2019年7月1日以来近五年每审计过行政事业单位合同金额10万及以上的项目得2分</w:t>
            </w:r>
            <w:r>
              <w:rPr>
                <w:rFonts w:hint="eastAsia" w:ascii="宋体" w:hAnsi="宋体" w:eastAsia="宋体" w:cs="Times New Roman"/>
                <w:color w:val="000000" w:themeColor="text1"/>
                <w:kern w:val="2"/>
                <w:sz w:val="21"/>
                <w:szCs w:val="21"/>
                <w:lang w:val="en-US" w:eastAsia="zh-CN" w:bidi="ar-SA"/>
              </w:rPr>
              <w:t>，附合同、中标通知书或审计成果。满分</w:t>
            </w:r>
            <w:r>
              <w:rPr>
                <w:rFonts w:hint="eastAsia" w:ascii="宋体" w:hAnsi="宋体" w:cs="Times New Roman"/>
                <w:color w:val="000000" w:themeColor="text1"/>
                <w:kern w:val="2"/>
                <w:sz w:val="21"/>
                <w:szCs w:val="21"/>
                <w:lang w:val="en-US" w:eastAsia="zh-CN" w:bidi="ar-SA"/>
              </w:rPr>
              <w:t>10</w:t>
            </w:r>
            <w:r>
              <w:rPr>
                <w:rFonts w:hint="eastAsia" w:ascii="宋体" w:hAnsi="宋体" w:eastAsia="宋体" w:cs="Times New Roman"/>
                <w:color w:val="000000" w:themeColor="text1"/>
                <w:kern w:val="2"/>
                <w:sz w:val="21"/>
                <w:szCs w:val="21"/>
                <w:lang w:val="en-US" w:eastAsia="zh-CN" w:bidi="ar-SA"/>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kern w:val="2"/>
                <w:sz w:val="21"/>
                <w:szCs w:val="21"/>
                <w:lang w:val="en-US" w:eastAsia="zh-CN" w:bidi="ar-SA"/>
              </w:rPr>
              <w:t>2企业荣誉（满分10分）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themeColor="text1"/>
              </w:rPr>
            </w:pPr>
            <w:r>
              <w:rPr>
                <w:rFonts w:hint="eastAsia" w:ascii="宋体" w:hAnsi="宋体" w:eastAsia="宋体" w:cs="Times New Roman"/>
                <w:color w:val="000000" w:themeColor="text1"/>
                <w:kern w:val="2"/>
                <w:sz w:val="21"/>
                <w:szCs w:val="21"/>
                <w:lang w:val="en-US" w:eastAsia="zh-CN" w:bidi="ar-SA"/>
              </w:rPr>
              <w:t>审计机构（项目负责人）取得审计领域省级</w:t>
            </w:r>
            <w:r>
              <w:rPr>
                <w:rFonts w:hint="eastAsia" w:ascii="宋体" w:hAnsi="宋体" w:cs="Times New Roman"/>
                <w:color w:val="000000" w:themeColor="text1"/>
                <w:kern w:val="2"/>
                <w:sz w:val="21"/>
                <w:szCs w:val="21"/>
                <w:lang w:val="en-US" w:eastAsia="zh-CN" w:bidi="ar-SA"/>
              </w:rPr>
              <w:t>及</w:t>
            </w:r>
            <w:r>
              <w:rPr>
                <w:rFonts w:hint="eastAsia" w:ascii="宋体" w:hAnsi="宋体" w:eastAsia="宋体" w:cs="Times New Roman"/>
                <w:color w:val="000000" w:themeColor="text1"/>
                <w:kern w:val="2"/>
                <w:sz w:val="21"/>
                <w:szCs w:val="21"/>
                <w:lang w:val="en-US" w:eastAsia="zh-CN" w:bidi="ar-SA"/>
              </w:rPr>
              <w:t>以上荣誉证书得10分。</w:t>
            </w:r>
          </w:p>
        </w:tc>
        <w:tc>
          <w:tcPr>
            <w:tcW w:w="1069" w:type="dxa"/>
          </w:tcPr>
          <w:p>
            <w:pPr>
              <w:spacing w:line="440" w:lineRule="exact"/>
              <w:jc w:val="lef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53" w:type="dxa"/>
            <w:vAlign w:val="center"/>
          </w:tcPr>
          <w:p>
            <w:pPr>
              <w:spacing w:line="440" w:lineRule="exact"/>
              <w:jc w:val="center"/>
              <w:rPr>
                <w:rFonts w:ascii="宋体" w:hAnsi="宋体"/>
                <w:b/>
                <w:bCs/>
                <w:color w:val="000000" w:themeColor="text1"/>
              </w:rPr>
            </w:pPr>
            <w:r>
              <w:rPr>
                <w:rFonts w:hint="eastAsia" w:ascii="宋体" w:hAnsi="宋体"/>
                <w:b/>
                <w:bCs/>
                <w:color w:val="000000" w:themeColor="text1"/>
              </w:rPr>
              <w:t>商务分</w:t>
            </w:r>
          </w:p>
          <w:p>
            <w:pPr>
              <w:widowControl/>
              <w:spacing w:line="440" w:lineRule="exact"/>
              <w:jc w:val="center"/>
              <w:rPr>
                <w:rFonts w:ascii="宋体" w:hAnsi="宋体"/>
                <w:color w:val="000000" w:themeColor="text1"/>
              </w:rPr>
            </w:pPr>
            <w:r>
              <w:rPr>
                <w:rFonts w:hint="eastAsia" w:ascii="宋体" w:hAnsi="宋体"/>
                <w:b/>
                <w:bCs/>
                <w:color w:val="000000" w:themeColor="text1"/>
              </w:rPr>
              <w:t>(</w:t>
            </w:r>
            <w:r>
              <w:rPr>
                <w:rFonts w:hint="eastAsia" w:ascii="宋体" w:hAnsi="宋体"/>
                <w:b/>
                <w:bCs/>
                <w:color w:val="000000" w:themeColor="text1"/>
                <w:lang w:val="en-US" w:eastAsia="zh-CN"/>
              </w:rPr>
              <w:t>10</w:t>
            </w:r>
            <w:r>
              <w:rPr>
                <w:rFonts w:hint="eastAsia" w:ascii="宋体" w:hAnsi="宋体"/>
                <w:b/>
                <w:bCs/>
                <w:color w:val="000000" w:themeColor="text1"/>
              </w:rPr>
              <w:t>分）</w:t>
            </w:r>
          </w:p>
        </w:tc>
        <w:tc>
          <w:tcPr>
            <w:tcW w:w="6745" w:type="dxa"/>
            <w:gridSpan w:val="2"/>
            <w:vAlign w:val="center"/>
          </w:tcPr>
          <w:p>
            <w:pPr>
              <w:spacing w:line="440" w:lineRule="exact"/>
              <w:rPr>
                <w:color w:val="000000" w:themeColor="text1"/>
              </w:rPr>
            </w:pPr>
            <w:r>
              <w:rPr>
                <w:rFonts w:hint="eastAsia"/>
                <w:color w:val="000000" w:themeColor="text1"/>
              </w:rPr>
              <w:t>价格标经评审满足本文件要求且在预算范围内的投标人的总报价中，最低价格为磋商基准价格，得满分；其他投标人的价格分统一按照下列公式计算：磋商报价得分＝（磋商基准价/最后磋商报价）× 10%×100（取小数点后两位）。</w:t>
            </w:r>
          </w:p>
        </w:tc>
        <w:tc>
          <w:tcPr>
            <w:tcW w:w="1069" w:type="dxa"/>
            <w:tcBorders>
              <w:top w:val="single" w:color="auto" w:sz="4" w:space="0"/>
              <w:bottom w:val="single" w:color="auto" w:sz="4" w:space="0"/>
            </w:tcBorders>
          </w:tcPr>
          <w:p>
            <w:pPr>
              <w:spacing w:line="440" w:lineRule="exact"/>
              <w:rPr>
                <w:rFonts w:ascii="宋体" w:hAnsi="宋体"/>
                <w:color w:val="000000" w:themeColor="text1"/>
              </w:rPr>
            </w:pPr>
          </w:p>
        </w:tc>
      </w:tr>
    </w:tbl>
    <w:p>
      <w:pPr>
        <w:rPr>
          <w:rFonts w:ascii="黑体"/>
          <w:color w:val="000000" w:themeColor="text1"/>
        </w:rPr>
      </w:pPr>
      <w:bookmarkStart w:id="34" w:name="_Toc511899304"/>
      <w:bookmarkEnd w:id="34"/>
      <w:bookmarkStart w:id="35" w:name="_Toc28130"/>
      <w:r>
        <w:rPr>
          <w:rFonts w:hint="eastAsia" w:ascii="黑体"/>
          <w:color w:val="000000" w:themeColor="text1"/>
        </w:rPr>
        <w:br w:type="page"/>
      </w:r>
    </w:p>
    <w:p>
      <w:pPr>
        <w:pStyle w:val="29"/>
        <w:rPr>
          <w:color w:val="000000" w:themeColor="text1"/>
        </w:rPr>
      </w:pPr>
      <w:bookmarkStart w:id="36" w:name="_Toc17460"/>
      <w:r>
        <w:rPr>
          <w:rFonts w:hint="eastAsia" w:ascii="黑体"/>
          <w:color w:val="000000" w:themeColor="text1"/>
        </w:rPr>
        <w:t>第六章供应商须知</w:t>
      </w:r>
      <w:bookmarkEnd w:id="35"/>
      <w:bookmarkEnd w:id="36"/>
    </w:p>
    <w:p>
      <w:pPr>
        <w:pStyle w:val="31"/>
        <w:rPr>
          <w:color w:val="000000" w:themeColor="text1"/>
        </w:rPr>
      </w:pPr>
      <w:bookmarkStart w:id="37" w:name="_Toc511899305"/>
      <w:bookmarkEnd w:id="37"/>
      <w:bookmarkStart w:id="38" w:name="_Toc31883"/>
      <w:bookmarkStart w:id="39" w:name="_Toc25200"/>
      <w:r>
        <w:rPr>
          <w:rFonts w:hint="eastAsia"/>
          <w:color w:val="000000" w:themeColor="text1"/>
        </w:rPr>
        <w:t>一、总则</w:t>
      </w:r>
      <w:bookmarkEnd w:id="38"/>
      <w:bookmarkEnd w:id="39"/>
    </w:p>
    <w:p>
      <w:pPr>
        <w:numPr>
          <w:ilvl w:val="0"/>
          <w:numId w:val="4"/>
        </w:numPr>
        <w:spacing w:line="500" w:lineRule="exact"/>
        <w:rPr>
          <w:rFonts w:ascii="宋体" w:hAnsi="宋体" w:cs="Arial"/>
          <w:b/>
          <w:bCs/>
          <w:color w:val="000000" w:themeColor="text1"/>
        </w:rPr>
      </w:pPr>
      <w:r>
        <w:rPr>
          <w:rFonts w:hint="eastAsia" w:ascii="宋体" w:hAnsi="宋体" w:cs="Arial"/>
          <w:b/>
          <w:bCs/>
          <w:color w:val="000000" w:themeColor="text1"/>
        </w:rPr>
        <w:t>适用范围</w:t>
      </w:r>
    </w:p>
    <w:p>
      <w:pPr>
        <w:spacing w:line="500" w:lineRule="exact"/>
        <w:ind w:left="267" w:leftChars="127" w:firstLine="210" w:firstLineChars="100"/>
        <w:rPr>
          <w:rFonts w:ascii="宋体" w:hAnsi="宋体" w:cs="Arial"/>
          <w:color w:val="000000" w:themeColor="text1"/>
        </w:rPr>
      </w:pPr>
      <w:r>
        <w:rPr>
          <w:rFonts w:hint="eastAsia" w:ascii="宋体" w:hAnsi="宋体" w:cs="Arial"/>
          <w:color w:val="000000" w:themeColor="text1"/>
        </w:rPr>
        <w:t>1.1本磋商文件仅适用于本次采购项目。</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1.2本磋商文件的最终解释权归采购单位所有。</w:t>
      </w:r>
    </w:p>
    <w:p>
      <w:pPr>
        <w:spacing w:line="500" w:lineRule="exact"/>
        <w:ind w:firstLine="517" w:firstLineChars="245"/>
        <w:rPr>
          <w:rFonts w:ascii="宋体" w:hAnsi="宋体" w:cs="Arial"/>
          <w:b/>
          <w:bCs/>
          <w:color w:val="000000" w:themeColor="text1"/>
        </w:rPr>
      </w:pPr>
      <w:r>
        <w:rPr>
          <w:rFonts w:hint="eastAsia" w:ascii="宋体" w:hAnsi="宋体" w:cs="Arial"/>
          <w:b/>
          <w:bCs/>
          <w:color w:val="000000" w:themeColor="text1"/>
        </w:rPr>
        <w:t>2、定义</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2.1货物服务：既是指本范本适用于货物采购或服务采购，也是指货物采购所伴随的服务或服务采购中伴随的货物采购。</w:t>
      </w:r>
    </w:p>
    <w:p>
      <w:pPr>
        <w:tabs>
          <w:tab w:val="center" w:pos="4153"/>
        </w:tabs>
        <w:spacing w:line="500" w:lineRule="exact"/>
        <w:ind w:firstLine="525" w:firstLineChars="250"/>
        <w:rPr>
          <w:rFonts w:ascii="宋体" w:hAnsi="宋体" w:cs="Arial"/>
          <w:color w:val="000000" w:themeColor="text1"/>
        </w:rPr>
      </w:pPr>
      <w:r>
        <w:rPr>
          <w:rFonts w:hint="eastAsia" w:ascii="宋体" w:hAnsi="宋体" w:cs="Arial"/>
          <w:color w:val="000000" w:themeColor="text1"/>
        </w:rPr>
        <w:t>2.2工程：既是指本范本适用于</w:t>
      </w:r>
      <w:r>
        <w:rPr>
          <w:rFonts w:hint="eastAsia" w:ascii="宋体" w:hAnsi="宋体" w:cs="Arial"/>
          <w:color w:val="000000" w:themeColor="text1"/>
        </w:rPr>
        <w:tab/>
      </w:r>
      <w:r>
        <w:rPr>
          <w:rFonts w:hint="eastAsia" w:ascii="宋体" w:hAnsi="宋体" w:cs="Arial"/>
          <w:color w:val="000000" w:themeColor="text1"/>
        </w:rPr>
        <w:t>按照招标投标法及其实施条例必须进行招标的工程建设项目以外的</w:t>
      </w:r>
      <w:r>
        <w:rPr>
          <w:rFonts w:ascii="宋体" w:hAnsi="宋体" w:cs="Arial"/>
          <w:color w:val="000000" w:themeColor="text1"/>
        </w:rPr>
        <w:t>工程建设项目。</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2.3采购单位：是指具体负责和从事采购业务的社会中介代理机构和采购人的总称。</w:t>
      </w:r>
    </w:p>
    <w:p>
      <w:pPr>
        <w:spacing w:line="500" w:lineRule="exact"/>
        <w:ind w:firstLine="413" w:firstLineChars="196"/>
        <w:rPr>
          <w:rFonts w:ascii="宋体" w:hAnsi="宋体" w:cs="Arial"/>
          <w:b/>
          <w:bCs/>
          <w:color w:val="000000" w:themeColor="text1"/>
        </w:rPr>
      </w:pPr>
      <w:r>
        <w:rPr>
          <w:rFonts w:hint="eastAsia" w:ascii="宋体" w:hAnsi="宋体" w:cs="Arial"/>
          <w:b/>
          <w:bCs/>
          <w:color w:val="000000" w:themeColor="text1"/>
        </w:rPr>
        <w:t xml:space="preserve">3、供应商要求 </w:t>
      </w:r>
    </w:p>
    <w:p>
      <w:pPr>
        <w:spacing w:line="500" w:lineRule="exact"/>
        <w:ind w:firstLine="211" w:firstLineChars="100"/>
        <w:rPr>
          <w:rFonts w:ascii="宋体" w:hAnsi="宋体" w:cs="Arial"/>
          <w:color w:val="000000" w:themeColor="text1"/>
        </w:rPr>
      </w:pPr>
      <w:bookmarkStart w:id="40" w:name="_Toc8996"/>
      <w:bookmarkEnd w:id="40"/>
      <w:bookmarkStart w:id="41" w:name="_Toc12596"/>
      <w:bookmarkEnd w:id="41"/>
      <w:bookmarkStart w:id="42" w:name="_Toc9010"/>
      <w:bookmarkEnd w:id="42"/>
      <w:r>
        <w:rPr>
          <w:rFonts w:hint="eastAsia" w:ascii="宋体" w:hAnsi="宋体" w:cs="Arial"/>
          <w:b/>
          <w:bCs/>
          <w:color w:val="000000" w:themeColor="text1"/>
          <w:lang w:val="en-US" w:eastAsia="zh-CN"/>
        </w:rPr>
        <w:t xml:space="preserve"> </w:t>
      </w:r>
      <w:r>
        <w:rPr>
          <w:rFonts w:hint="eastAsia" w:ascii="宋体" w:hAnsi="宋体" w:cs="Arial"/>
          <w:b/>
          <w:bCs/>
          <w:color w:val="000000" w:themeColor="text1"/>
        </w:rPr>
        <w:t xml:space="preserve"> 供应商资格要求详见竞争性磋商公告</w:t>
      </w:r>
      <w:r>
        <w:rPr>
          <w:rFonts w:hint="eastAsia" w:ascii="宋体" w:hAnsi="宋体" w:cs="Arial"/>
          <w:color w:val="000000" w:themeColor="text1"/>
        </w:rPr>
        <w:t>。</w:t>
      </w:r>
    </w:p>
    <w:p>
      <w:pPr>
        <w:numPr>
          <w:ilvl w:val="0"/>
          <w:numId w:val="5"/>
        </w:numPr>
        <w:spacing w:line="500" w:lineRule="exact"/>
        <w:rPr>
          <w:rFonts w:ascii="宋体" w:hAnsi="宋体" w:cs="Arial"/>
          <w:b/>
          <w:bCs/>
          <w:color w:val="000000" w:themeColor="text1"/>
        </w:rPr>
      </w:pPr>
      <w:r>
        <w:rPr>
          <w:rFonts w:hint="eastAsia" w:ascii="宋体" w:hAnsi="宋体" w:cs="Arial"/>
          <w:b/>
          <w:bCs/>
          <w:color w:val="000000" w:themeColor="text1"/>
        </w:rPr>
        <w:t>供应商参与磋商活动的费用</w:t>
      </w:r>
    </w:p>
    <w:p>
      <w:pPr>
        <w:spacing w:line="500" w:lineRule="exact"/>
        <w:ind w:firstLine="499" w:firstLineChars="238"/>
        <w:rPr>
          <w:rFonts w:ascii="宋体" w:hAnsi="宋体" w:cs="Arial"/>
          <w:color w:val="000000" w:themeColor="text1"/>
        </w:rPr>
      </w:pPr>
      <w:r>
        <w:rPr>
          <w:rFonts w:hint="eastAsia" w:ascii="宋体" w:hAnsi="宋体" w:cs="Arial"/>
          <w:color w:val="000000" w:themeColor="text1"/>
          <w:lang w:val="en-US" w:eastAsia="zh-CN"/>
        </w:rPr>
        <w:t xml:space="preserve"> </w:t>
      </w:r>
      <w:r>
        <w:rPr>
          <w:rFonts w:hint="eastAsia" w:ascii="宋体" w:hAnsi="宋体" w:cs="Arial"/>
          <w:color w:val="000000" w:themeColor="text1"/>
        </w:rPr>
        <w:t>供应商必须自行承担所有与参采购活动的有关费用。不论结果如何，采购单位在任何情况下均无义务和责任承担这些费用。</w:t>
      </w:r>
    </w:p>
    <w:p>
      <w:pPr>
        <w:spacing w:line="500" w:lineRule="exact"/>
        <w:ind w:firstLine="632" w:firstLineChars="300"/>
        <w:rPr>
          <w:rFonts w:ascii="宋体" w:hAnsi="宋体" w:cs="Arial"/>
          <w:b/>
          <w:bCs/>
          <w:color w:val="000000" w:themeColor="text1"/>
        </w:rPr>
      </w:pPr>
      <w:r>
        <w:rPr>
          <w:rFonts w:hint="eastAsia" w:ascii="宋体" w:hAnsi="宋体" w:cs="Arial"/>
          <w:b/>
          <w:bCs/>
          <w:color w:val="000000" w:themeColor="text1"/>
        </w:rPr>
        <w:t>5、保密</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参与政府采购活动的各方主体应对磋商文件和磋商响应文件中的商业和技术等秘密保密，违者应对由此造成的后果承担法律责任。</w:t>
      </w:r>
    </w:p>
    <w:p>
      <w:pPr>
        <w:spacing w:line="500" w:lineRule="exact"/>
        <w:ind w:firstLine="632" w:firstLineChars="300"/>
        <w:rPr>
          <w:rFonts w:ascii="宋体" w:hAnsi="宋体" w:cs="Arial"/>
          <w:b/>
          <w:bCs/>
          <w:color w:val="000000" w:themeColor="text1"/>
        </w:rPr>
      </w:pPr>
      <w:r>
        <w:rPr>
          <w:rFonts w:hint="eastAsia" w:ascii="宋体" w:hAnsi="宋体" w:cs="Arial"/>
          <w:b/>
          <w:bCs/>
          <w:color w:val="000000" w:themeColor="text1"/>
        </w:rPr>
        <w:t>6、语言文字</w:t>
      </w:r>
    </w:p>
    <w:p>
      <w:pPr>
        <w:spacing w:line="500" w:lineRule="exact"/>
        <w:rPr>
          <w:rFonts w:ascii="宋体" w:hAnsi="宋体"/>
          <w:color w:val="000000" w:themeColor="text1"/>
        </w:rPr>
      </w:pPr>
      <w:r>
        <w:rPr>
          <w:rFonts w:hint="eastAsia" w:ascii="宋体" w:hAnsi="宋体"/>
          <w:color w:val="000000" w:themeColor="text1"/>
        </w:rPr>
        <w:t xml:space="preserve">    磋商及磋商响应文件使用的语言文字、</w:t>
      </w:r>
      <w:r>
        <w:rPr>
          <w:rFonts w:hint="eastAsia" w:ascii="宋体" w:hAnsi="宋体" w:cs="Arial"/>
          <w:color w:val="000000" w:themeColor="text1"/>
        </w:rPr>
        <w:t>以及供应商与采购单位就磋商相关事项的所有往来函电均须使用</w:t>
      </w:r>
      <w:r>
        <w:rPr>
          <w:rFonts w:hint="eastAsia" w:ascii="宋体" w:hAnsi="宋体"/>
          <w:color w:val="000000" w:themeColor="text1"/>
        </w:rPr>
        <w:t>简体中文（部分专用术语需使用外文的除外）。</w:t>
      </w:r>
    </w:p>
    <w:p>
      <w:pPr>
        <w:spacing w:line="500" w:lineRule="exact"/>
        <w:ind w:firstLine="632" w:firstLineChars="300"/>
        <w:rPr>
          <w:rFonts w:ascii="宋体" w:hAnsi="宋体" w:cs="Arial"/>
          <w:b/>
          <w:bCs/>
          <w:color w:val="000000" w:themeColor="text1"/>
        </w:rPr>
      </w:pPr>
      <w:r>
        <w:rPr>
          <w:rFonts w:hint="eastAsia" w:ascii="宋体" w:hAnsi="宋体" w:cs="Arial"/>
          <w:b/>
          <w:bCs/>
          <w:color w:val="000000" w:themeColor="text1"/>
        </w:rPr>
        <w:t>7、计量单位</w:t>
      </w:r>
    </w:p>
    <w:p>
      <w:pPr>
        <w:pStyle w:val="33"/>
        <w:widowControl w:val="0"/>
        <w:spacing w:line="500" w:lineRule="exact"/>
        <w:ind w:firstLine="420"/>
        <w:rPr>
          <w:rFonts w:ascii="宋体" w:hAnsi="宋体"/>
          <w:color w:val="000000" w:themeColor="text1"/>
        </w:rPr>
      </w:pPr>
      <w:r>
        <w:rPr>
          <w:rFonts w:hint="eastAsia" w:ascii="宋体" w:hAnsi="宋体"/>
          <w:color w:val="000000" w:themeColor="text1"/>
        </w:rPr>
        <w:t>所有计量均采用中华人民共和国法定计量单位。</w:t>
      </w:r>
    </w:p>
    <w:p>
      <w:pPr>
        <w:spacing w:line="500" w:lineRule="exact"/>
        <w:ind w:firstLine="632" w:firstLineChars="300"/>
        <w:rPr>
          <w:rFonts w:ascii="宋体" w:hAnsi="宋体" w:cs="Arial"/>
          <w:b/>
          <w:bCs/>
          <w:color w:val="000000" w:themeColor="text1"/>
        </w:rPr>
      </w:pPr>
      <w:r>
        <w:rPr>
          <w:rFonts w:hint="eastAsia" w:ascii="宋体" w:hAnsi="宋体" w:cs="Arial"/>
          <w:b/>
          <w:bCs/>
          <w:color w:val="000000" w:themeColor="text1"/>
        </w:rPr>
        <w:t>8、勘察现场（供应商自行踏勘）</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采购单位根据项目的具体情况，可以组织潜在供应商现场考察或者召开开标前答疑会，但不得单独或者分别组织只有一个供应商参加的现场考察。本项目不组织。</w:t>
      </w:r>
    </w:p>
    <w:p>
      <w:pPr>
        <w:spacing w:line="500" w:lineRule="exact"/>
        <w:ind w:firstLine="632" w:firstLineChars="300"/>
        <w:rPr>
          <w:rFonts w:ascii="宋体" w:hAnsi="宋体" w:cs="Arial"/>
          <w:b/>
          <w:bCs/>
          <w:color w:val="000000" w:themeColor="text1"/>
        </w:rPr>
      </w:pPr>
      <w:r>
        <w:rPr>
          <w:rFonts w:hint="eastAsia" w:ascii="宋体" w:hAnsi="宋体" w:cs="Arial"/>
          <w:b/>
          <w:bCs/>
          <w:color w:val="000000" w:themeColor="text1"/>
        </w:rPr>
        <w:t>9、偏离</w:t>
      </w:r>
    </w:p>
    <w:p>
      <w:pPr>
        <w:spacing w:line="500" w:lineRule="exact"/>
        <w:ind w:firstLine="420" w:firstLineChars="200"/>
        <w:rPr>
          <w:rFonts w:ascii="宋体" w:hAnsi="宋体" w:cs="Arial"/>
          <w:color w:val="000000" w:themeColor="text1"/>
        </w:rPr>
      </w:pPr>
      <w:r>
        <w:rPr>
          <w:rFonts w:hint="eastAsia" w:ascii="宋体" w:hAnsi="宋体"/>
          <w:color w:val="000000" w:themeColor="text1"/>
        </w:rPr>
        <w:t>磋商文件允许磋商响应文件偏离某些要求的，偏离应当符合磋商文件规定的偏离范围和幅度。</w:t>
      </w:r>
    </w:p>
    <w:p>
      <w:pPr>
        <w:pStyle w:val="31"/>
        <w:rPr>
          <w:color w:val="000000" w:themeColor="text1"/>
        </w:rPr>
      </w:pPr>
      <w:bookmarkStart w:id="43" w:name="_Toc511899306"/>
      <w:bookmarkEnd w:id="43"/>
      <w:bookmarkStart w:id="44" w:name="_Toc17878"/>
      <w:bookmarkStart w:id="45" w:name="_Toc27346"/>
      <w:r>
        <w:rPr>
          <w:rFonts w:hint="eastAsia"/>
          <w:color w:val="000000" w:themeColor="text1"/>
        </w:rPr>
        <w:t>二、竞争性磋商文件</w:t>
      </w:r>
      <w:bookmarkEnd w:id="44"/>
      <w:bookmarkEnd w:id="45"/>
    </w:p>
    <w:p>
      <w:pPr>
        <w:numPr>
          <w:ilvl w:val="1"/>
          <w:numId w:val="6"/>
        </w:numPr>
        <w:spacing w:line="500" w:lineRule="exact"/>
        <w:rPr>
          <w:rFonts w:ascii="宋体" w:hAnsi="宋体" w:cs="Arial"/>
          <w:b/>
          <w:bCs/>
          <w:color w:val="000000" w:themeColor="text1"/>
        </w:rPr>
      </w:pPr>
      <w:r>
        <w:rPr>
          <w:rFonts w:hint="eastAsia" w:ascii="宋体" w:hAnsi="宋体" w:cs="Arial"/>
          <w:b/>
          <w:bCs/>
          <w:color w:val="000000" w:themeColor="text1"/>
        </w:rPr>
        <w:t>竞争性磋商文件构成</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10.1竞争性磋商文件包括：</w:t>
      </w:r>
    </w:p>
    <w:p>
      <w:pPr>
        <w:spacing w:line="540" w:lineRule="exact"/>
        <w:ind w:firstLine="518" w:firstLineChars="247"/>
        <w:rPr>
          <w:rFonts w:ascii="宋体" w:hAnsi="宋体" w:cs="Arial"/>
          <w:color w:val="000000" w:themeColor="text1"/>
        </w:rPr>
      </w:pPr>
      <w:r>
        <w:rPr>
          <w:rFonts w:hint="eastAsia" w:ascii="宋体" w:hAnsi="宋体" w:cs="Arial"/>
          <w:color w:val="000000" w:themeColor="text1"/>
        </w:rPr>
        <w:t>第一章 竞争性磋商公告</w:t>
      </w:r>
    </w:p>
    <w:p>
      <w:pPr>
        <w:spacing w:line="540" w:lineRule="exact"/>
        <w:ind w:firstLine="518" w:firstLineChars="247"/>
        <w:rPr>
          <w:rFonts w:ascii="宋体" w:hAnsi="宋体" w:cs="Arial"/>
          <w:color w:val="000000" w:themeColor="text1"/>
        </w:rPr>
      </w:pPr>
      <w:r>
        <w:rPr>
          <w:rFonts w:hint="eastAsia" w:ascii="宋体" w:hAnsi="宋体" w:cs="Arial"/>
          <w:color w:val="000000" w:themeColor="text1"/>
        </w:rPr>
        <w:t>第二章 供应商须知前附表</w:t>
      </w:r>
    </w:p>
    <w:p>
      <w:pPr>
        <w:spacing w:line="540" w:lineRule="exact"/>
        <w:rPr>
          <w:rFonts w:ascii="宋体" w:hAnsi="宋体" w:cs="Arial"/>
          <w:color w:val="000000" w:themeColor="text1"/>
        </w:rPr>
      </w:pPr>
      <w:r>
        <w:rPr>
          <w:rFonts w:hint="eastAsia" w:ascii="宋体" w:hAnsi="宋体" w:cs="Arial"/>
          <w:color w:val="000000" w:themeColor="text1"/>
        </w:rPr>
        <w:t xml:space="preserve">     第三章 项目要求</w:t>
      </w:r>
    </w:p>
    <w:p>
      <w:pPr>
        <w:spacing w:line="540" w:lineRule="exact"/>
        <w:ind w:firstLine="525" w:firstLineChars="250"/>
        <w:rPr>
          <w:rFonts w:ascii="宋体" w:hAnsi="宋体"/>
          <w:color w:val="000000" w:themeColor="text1"/>
        </w:rPr>
      </w:pPr>
      <w:r>
        <w:rPr>
          <w:rFonts w:hint="eastAsia" w:ascii="宋体" w:hAnsi="宋体" w:cs="Arial"/>
          <w:color w:val="000000" w:themeColor="text1"/>
        </w:rPr>
        <w:t xml:space="preserve">第四章 </w:t>
      </w:r>
      <w:r>
        <w:rPr>
          <w:rFonts w:hint="eastAsia" w:ascii="宋体" w:hAnsi="宋体"/>
          <w:color w:val="000000" w:themeColor="text1"/>
        </w:rPr>
        <w:t>实质性响应审查</w:t>
      </w:r>
    </w:p>
    <w:p>
      <w:pPr>
        <w:spacing w:line="540" w:lineRule="exact"/>
        <w:ind w:firstLine="525" w:firstLineChars="250"/>
        <w:rPr>
          <w:rFonts w:ascii="宋体" w:hAnsi="宋体" w:cs="Arial"/>
          <w:color w:val="000000" w:themeColor="text1"/>
        </w:rPr>
      </w:pPr>
      <w:r>
        <w:rPr>
          <w:rFonts w:hint="eastAsia" w:ascii="宋体" w:hAnsi="宋体"/>
          <w:color w:val="000000" w:themeColor="text1"/>
        </w:rPr>
        <w:t>第五章 评分办法</w:t>
      </w:r>
    </w:p>
    <w:p>
      <w:pPr>
        <w:spacing w:line="540" w:lineRule="exact"/>
        <w:ind w:firstLine="518" w:firstLineChars="247"/>
        <w:rPr>
          <w:rFonts w:ascii="宋体" w:hAnsi="宋体" w:cs="Arial"/>
          <w:color w:val="000000" w:themeColor="text1"/>
        </w:rPr>
      </w:pPr>
      <w:r>
        <w:rPr>
          <w:rFonts w:hint="eastAsia" w:ascii="宋体" w:hAnsi="宋体" w:cs="Arial"/>
          <w:color w:val="000000" w:themeColor="text1"/>
        </w:rPr>
        <w:t>第六章 供应商须知</w:t>
      </w:r>
    </w:p>
    <w:p>
      <w:pPr>
        <w:spacing w:line="540" w:lineRule="exact"/>
        <w:ind w:firstLine="518" w:firstLineChars="247"/>
        <w:rPr>
          <w:rFonts w:ascii="宋体" w:hAnsi="宋体" w:cs="Arial"/>
          <w:color w:val="000000" w:themeColor="text1"/>
        </w:rPr>
      </w:pPr>
      <w:r>
        <w:rPr>
          <w:rFonts w:hint="eastAsia" w:ascii="宋体" w:hAnsi="宋体" w:cs="Arial"/>
          <w:color w:val="000000" w:themeColor="text1"/>
        </w:rPr>
        <w:t>第七章 合同条款及格式</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第八章 磋商响应文件</w:t>
      </w:r>
    </w:p>
    <w:p>
      <w:pPr>
        <w:spacing w:line="500" w:lineRule="exact"/>
        <w:ind w:left="267" w:leftChars="127" w:firstLine="420" w:firstLineChars="200"/>
        <w:rPr>
          <w:rFonts w:ascii="宋体" w:hAnsi="宋体" w:cs="Arial"/>
          <w:color w:val="000000" w:themeColor="text1"/>
        </w:rPr>
      </w:pPr>
      <w:r>
        <w:rPr>
          <w:rFonts w:hint="eastAsia" w:ascii="宋体" w:hAnsi="宋体" w:cs="Arial"/>
          <w:color w:val="000000" w:themeColor="text1"/>
        </w:rPr>
        <w:t>10.2供应商应认真阅读和充分理解竞争性磋商文件中所有的内容。如果其磋商响应书没有满足竞争性磋商文件的有关要求，其风险由供应商自行承担。</w:t>
      </w:r>
    </w:p>
    <w:p>
      <w:pPr>
        <w:spacing w:line="500" w:lineRule="exact"/>
        <w:ind w:firstLine="632" w:firstLineChars="300"/>
        <w:rPr>
          <w:rFonts w:ascii="宋体" w:hAnsi="宋体" w:cs="Arial"/>
          <w:b/>
          <w:bCs/>
          <w:color w:val="000000" w:themeColor="text1"/>
        </w:rPr>
      </w:pPr>
      <w:r>
        <w:rPr>
          <w:rFonts w:hint="eastAsia" w:ascii="宋体" w:hAnsi="宋体" w:cs="Arial"/>
          <w:b/>
          <w:bCs/>
          <w:color w:val="000000" w:themeColor="text1"/>
        </w:rPr>
        <w:t>11、竞争性磋商文件的澄清和修改</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11.1</w:t>
      </w:r>
      <w:r>
        <w:rPr>
          <w:rFonts w:hint="eastAsia" w:ascii="宋体" w:hAnsi="宋体" w:cs="Arial"/>
          <w:b/>
          <w:bCs/>
          <w:color w:val="000000" w:themeColor="text1"/>
        </w:rPr>
        <w:t>采购人可以对竞争性磋商文件中的有关问题进行澄清、修改。</w:t>
      </w:r>
    </w:p>
    <w:p>
      <w:pPr>
        <w:spacing w:line="500" w:lineRule="exact"/>
        <w:ind w:firstLine="525" w:firstLineChars="250"/>
        <w:rPr>
          <w:rFonts w:ascii="宋体" w:hAnsi="宋体"/>
          <w:color w:val="000000" w:themeColor="text1"/>
        </w:rPr>
      </w:pPr>
      <w:r>
        <w:rPr>
          <w:rFonts w:hint="eastAsia" w:ascii="宋体" w:hAnsi="宋体" w:cs="Arial"/>
          <w:color w:val="000000" w:themeColor="text1"/>
        </w:rPr>
        <w:t>11.2</w:t>
      </w:r>
      <w:r>
        <w:rPr>
          <w:rFonts w:hint="eastAsia" w:ascii="宋体" w:hAnsi="宋体"/>
          <w:color w:val="000000" w:themeColor="text1"/>
        </w:rPr>
        <w:t>采购人、代理机构或者磋商小组在提交首次磋商响应文件截止时间前可以对已发出的竞争性磋商文件进行必要的澄清或者修改，澄清或修改将在本项目公示网站上公布，但不指明问题的来源，所有潜在供应商均有义务自行查看该澄清或修改的内容。采购人、代理机构</w:t>
      </w:r>
      <w:r>
        <w:rPr>
          <w:rFonts w:hint="eastAsia" w:ascii="宋体" w:hAnsi="宋体" w:cs="Arial"/>
          <w:color w:val="000000" w:themeColor="text1"/>
        </w:rPr>
        <w:t>对竞争性磋商文件进行</w:t>
      </w:r>
      <w:r>
        <w:rPr>
          <w:rFonts w:hint="eastAsia" w:ascii="宋体" w:hAnsi="宋体"/>
          <w:color w:val="000000" w:themeColor="text1"/>
        </w:rPr>
        <w:t>澄清或者修改的内容作为磋商文件的组成部分。澄清或者修改的内容可能影响响应文件编制的，采购人或者代理机构应当在递交首次磋商响应文件截止之日5日前发布，不足</w:t>
      </w:r>
      <w:r>
        <w:rPr>
          <w:rFonts w:hint="eastAsia"/>
          <w:color w:val="000000" w:themeColor="text1"/>
        </w:rPr>
        <w:t>5</w:t>
      </w:r>
      <w:r>
        <w:rPr>
          <w:rFonts w:hint="eastAsia" w:ascii="宋体" w:hAnsi="宋体"/>
          <w:color w:val="000000" w:themeColor="text1"/>
        </w:rPr>
        <w:t>日的，应当顺延提交响应文件截止之日。</w:t>
      </w:r>
    </w:p>
    <w:p>
      <w:pPr>
        <w:spacing w:line="500" w:lineRule="exact"/>
        <w:ind w:firstLine="527" w:firstLineChars="250"/>
        <w:rPr>
          <w:rFonts w:ascii="宋体" w:hAnsi="宋体" w:cs="Arial"/>
          <w:color w:val="000000" w:themeColor="text1"/>
        </w:rPr>
      </w:pPr>
      <w:r>
        <w:rPr>
          <w:rFonts w:hint="eastAsia" w:ascii="宋体" w:hAnsi="宋体" w:cs="Arial"/>
          <w:b/>
          <w:bCs/>
          <w:color w:val="000000" w:themeColor="text1"/>
        </w:rPr>
        <w:t>12、竞争性磋商文件</w:t>
      </w:r>
      <w:r>
        <w:rPr>
          <w:rFonts w:hint="eastAsia" w:ascii="宋体" w:hAnsi="宋体"/>
          <w:b/>
          <w:bCs/>
          <w:color w:val="000000" w:themeColor="text1"/>
        </w:rPr>
        <w:t>的质疑和答复</w:t>
      </w:r>
    </w:p>
    <w:p>
      <w:pPr>
        <w:pStyle w:val="33"/>
        <w:widowControl w:val="0"/>
        <w:spacing w:line="500" w:lineRule="exact"/>
        <w:ind w:firstLine="420"/>
        <w:rPr>
          <w:rFonts w:ascii="宋体" w:hAnsi="宋体"/>
          <w:color w:val="000000" w:themeColor="text1"/>
        </w:rPr>
      </w:pPr>
      <w:r>
        <w:rPr>
          <w:rFonts w:hint="eastAsia" w:ascii="宋体" w:hAnsi="宋体"/>
          <w:color w:val="000000" w:themeColor="text1"/>
        </w:rPr>
        <w:t>12.1</w:t>
      </w:r>
      <w:r>
        <w:rPr>
          <w:rFonts w:ascii="宋体" w:hAnsi="宋体" w:cs="Arial"/>
          <w:color w:val="000000" w:themeColor="text1"/>
        </w:rPr>
        <w:t>潜在供应商已依法获取</w:t>
      </w:r>
      <w:r>
        <w:rPr>
          <w:rFonts w:hint="eastAsia" w:ascii="宋体" w:hAnsi="宋体" w:cs="Arial"/>
          <w:color w:val="000000" w:themeColor="text1"/>
        </w:rPr>
        <w:t>本磋商</w:t>
      </w:r>
      <w:r>
        <w:rPr>
          <w:rFonts w:ascii="宋体" w:hAnsi="宋体" w:cs="Arial"/>
          <w:color w:val="000000" w:themeColor="text1"/>
        </w:rPr>
        <w:t>文件的</w:t>
      </w:r>
      <w:r>
        <w:rPr>
          <w:rFonts w:hint="eastAsia" w:ascii="宋体" w:hAnsi="宋体" w:cs="Arial"/>
          <w:color w:val="000000" w:themeColor="text1"/>
        </w:rPr>
        <w:t>（应提供依法获取磋商文件的证明材料）</w:t>
      </w:r>
      <w:r>
        <w:rPr>
          <w:rFonts w:ascii="宋体" w:hAnsi="宋体" w:cs="Arial"/>
          <w:color w:val="000000" w:themeColor="text1"/>
        </w:rPr>
        <w:t>，可以对</w:t>
      </w:r>
      <w:r>
        <w:rPr>
          <w:rFonts w:hint="eastAsia" w:ascii="宋体" w:hAnsi="宋体" w:cs="Arial"/>
          <w:color w:val="000000" w:themeColor="text1"/>
        </w:rPr>
        <w:t>本磋商</w:t>
      </w:r>
      <w:r>
        <w:rPr>
          <w:rFonts w:ascii="宋体" w:hAnsi="宋体" w:cs="Arial"/>
          <w:color w:val="000000" w:themeColor="text1"/>
        </w:rPr>
        <w:t>文件提出质疑。</w:t>
      </w:r>
      <w:r>
        <w:rPr>
          <w:rFonts w:hint="eastAsia" w:ascii="宋体" w:hAnsi="宋体" w:cs="Arial"/>
          <w:color w:val="000000" w:themeColor="text1"/>
        </w:rPr>
        <w:t>质疑</w:t>
      </w:r>
      <w:r>
        <w:rPr>
          <w:rFonts w:ascii="宋体" w:hAnsi="宋体" w:cs="Arial"/>
          <w:color w:val="000000" w:themeColor="text1"/>
        </w:rPr>
        <w:t>应当在获取</w:t>
      </w:r>
      <w:r>
        <w:rPr>
          <w:rFonts w:hint="eastAsia" w:ascii="宋体" w:hAnsi="宋体" w:cs="Arial"/>
          <w:color w:val="000000" w:themeColor="text1"/>
        </w:rPr>
        <w:t>磋商</w:t>
      </w:r>
      <w:r>
        <w:rPr>
          <w:rFonts w:ascii="宋体" w:hAnsi="宋体" w:cs="Arial"/>
          <w:color w:val="000000" w:themeColor="text1"/>
        </w:rPr>
        <w:t>文件或者</w:t>
      </w:r>
      <w:r>
        <w:rPr>
          <w:rFonts w:hint="eastAsia" w:ascii="宋体" w:hAnsi="宋体" w:cs="Arial"/>
          <w:color w:val="000000" w:themeColor="text1"/>
        </w:rPr>
        <w:t>磋商</w:t>
      </w:r>
      <w:r>
        <w:rPr>
          <w:rFonts w:ascii="宋体" w:hAnsi="宋体" w:cs="Arial"/>
          <w:color w:val="000000" w:themeColor="text1"/>
        </w:rPr>
        <w:t>文件公告期限届满之日起</w:t>
      </w:r>
      <w:r>
        <w:rPr>
          <w:rFonts w:ascii="Arial" w:hAnsi="Arial" w:cs="Arial"/>
          <w:color w:val="000000" w:themeColor="text1"/>
        </w:rPr>
        <w:t>7</w:t>
      </w:r>
      <w:r>
        <w:rPr>
          <w:rFonts w:ascii="宋体" w:hAnsi="宋体" w:cs="Arial"/>
          <w:color w:val="000000" w:themeColor="text1"/>
        </w:rPr>
        <w:t>个工作日内</w:t>
      </w:r>
      <w:r>
        <w:rPr>
          <w:rFonts w:hint="eastAsia" w:ascii="宋体" w:hAnsi="宋体"/>
          <w:color w:val="000000" w:themeColor="text1"/>
        </w:rPr>
        <w:t>以书面形式向采购人或代理机构提出，质疑函的内容应包括</w:t>
      </w:r>
      <w:r>
        <w:rPr>
          <w:rFonts w:ascii="宋体" w:hAnsi="宋体" w:cs="Arial"/>
          <w:color w:val="000000" w:themeColor="text1"/>
        </w:rPr>
        <w:t>《政府采购质疑和投诉办法》</w:t>
      </w:r>
      <w:r>
        <w:rPr>
          <w:rFonts w:hint="eastAsia" w:ascii="宋体" w:hAnsi="宋体" w:cs="Arial"/>
          <w:color w:val="000000" w:themeColor="text1"/>
        </w:rPr>
        <w:t>（财政部令第</w:t>
      </w:r>
      <w:r>
        <w:rPr>
          <w:rFonts w:hint="eastAsia" w:ascii="Arial" w:hAnsi="Arial" w:cs="Arial"/>
          <w:color w:val="000000" w:themeColor="text1"/>
        </w:rPr>
        <w:t>94</w:t>
      </w:r>
      <w:r>
        <w:rPr>
          <w:rFonts w:hint="eastAsia" w:ascii="宋体" w:hAnsi="宋体" w:cs="Arial"/>
          <w:color w:val="000000" w:themeColor="text1"/>
        </w:rPr>
        <w:t>号）第十二条规定的内容。</w:t>
      </w:r>
    </w:p>
    <w:p>
      <w:pPr>
        <w:pStyle w:val="33"/>
        <w:widowControl w:val="0"/>
        <w:spacing w:line="500" w:lineRule="exact"/>
        <w:ind w:firstLine="420"/>
        <w:rPr>
          <w:rFonts w:ascii="宋体" w:hAnsi="宋体"/>
          <w:color w:val="000000" w:themeColor="text1"/>
        </w:rPr>
      </w:pPr>
      <w:r>
        <w:rPr>
          <w:rFonts w:hint="eastAsia" w:ascii="宋体" w:hAnsi="宋体"/>
          <w:color w:val="000000" w:themeColor="text1"/>
        </w:rPr>
        <w:t>12.2供应商对</w:t>
      </w:r>
      <w:r>
        <w:rPr>
          <w:rFonts w:hint="eastAsia" w:ascii="宋体" w:hAnsi="宋体" w:cs="Arial"/>
          <w:color w:val="000000" w:themeColor="text1"/>
        </w:rPr>
        <w:t>磋商</w:t>
      </w:r>
      <w:r>
        <w:rPr>
          <w:rFonts w:hint="eastAsia" w:ascii="宋体" w:hAnsi="宋体"/>
          <w:color w:val="000000" w:themeColor="text1"/>
        </w:rPr>
        <w:t>文件有质疑的，应</w:t>
      </w:r>
      <w:r>
        <w:rPr>
          <w:rFonts w:ascii="宋体" w:hAnsi="宋体" w:cs="Arial"/>
          <w:color w:val="000000" w:themeColor="text1"/>
        </w:rPr>
        <w:t>在法定质疑期内一次性提出</w:t>
      </w:r>
      <w:r>
        <w:rPr>
          <w:rFonts w:hint="eastAsia" w:ascii="宋体" w:hAnsi="宋体" w:cs="Arial"/>
          <w:color w:val="000000" w:themeColor="text1"/>
        </w:rPr>
        <w:t>，采购人或代理机构不再接受同一供应商针对同一磋商文件提出的再次质疑（对同一质疑的补充除外）。</w:t>
      </w:r>
    </w:p>
    <w:p>
      <w:pPr>
        <w:pStyle w:val="33"/>
        <w:widowControl w:val="0"/>
        <w:spacing w:line="500" w:lineRule="exact"/>
        <w:ind w:firstLine="420" w:firstLineChars="200"/>
        <w:rPr>
          <w:rFonts w:ascii="宋体" w:hAnsi="宋体" w:cs="Arial"/>
          <w:color w:val="000000" w:themeColor="text1"/>
        </w:rPr>
      </w:pPr>
      <w:r>
        <w:rPr>
          <w:rFonts w:hint="eastAsia" w:ascii="宋体" w:hAnsi="宋体"/>
          <w:color w:val="000000" w:themeColor="text1"/>
        </w:rPr>
        <w:t>12.3采购人或代理机构应当在收到质疑后7个工作日内作出答复。答复内容将在本项目公示网站中公布，所有获取</w:t>
      </w:r>
      <w:r>
        <w:rPr>
          <w:rFonts w:hint="eastAsia" w:ascii="宋体" w:hAnsi="宋体" w:cs="Arial"/>
          <w:color w:val="000000" w:themeColor="text1"/>
        </w:rPr>
        <w:t>磋商</w:t>
      </w:r>
      <w:r>
        <w:rPr>
          <w:rFonts w:hint="eastAsia" w:ascii="宋体" w:hAnsi="宋体"/>
          <w:color w:val="000000" w:themeColor="text1"/>
        </w:rPr>
        <w:t>文件的潜在供应商均有义务自行查看该答复内容。</w:t>
      </w:r>
    </w:p>
    <w:p>
      <w:pPr>
        <w:spacing w:line="500" w:lineRule="exact"/>
        <w:ind w:left="1365" w:hanging="735"/>
        <w:rPr>
          <w:rFonts w:ascii="宋体" w:hAnsi="宋体" w:cs="Arial"/>
          <w:color w:val="000000" w:themeColor="text1"/>
        </w:rPr>
      </w:pPr>
    </w:p>
    <w:p>
      <w:pPr>
        <w:pStyle w:val="31"/>
        <w:rPr>
          <w:color w:val="000000" w:themeColor="text1"/>
        </w:rPr>
      </w:pPr>
      <w:bookmarkStart w:id="46" w:name="_Toc511899307"/>
      <w:bookmarkEnd w:id="46"/>
      <w:bookmarkStart w:id="47" w:name="_Toc20676"/>
      <w:bookmarkStart w:id="48" w:name="_Toc31012"/>
      <w:r>
        <w:rPr>
          <w:rFonts w:hint="eastAsia"/>
          <w:color w:val="000000" w:themeColor="text1"/>
        </w:rPr>
        <w:t>三、磋商响应文件的编制</w:t>
      </w:r>
      <w:bookmarkEnd w:id="47"/>
      <w:bookmarkEnd w:id="48"/>
    </w:p>
    <w:p>
      <w:pPr>
        <w:spacing w:line="500" w:lineRule="exact"/>
        <w:ind w:firstLine="517" w:firstLineChars="245"/>
        <w:rPr>
          <w:rFonts w:ascii="宋体" w:hAnsi="宋体" w:cs="Arial"/>
          <w:b/>
          <w:bCs/>
          <w:color w:val="000000" w:themeColor="text1"/>
        </w:rPr>
      </w:pPr>
      <w:r>
        <w:rPr>
          <w:rFonts w:hint="eastAsia" w:ascii="宋体" w:hAnsi="宋体" w:cs="Arial"/>
          <w:b/>
          <w:bCs/>
          <w:color w:val="000000" w:themeColor="text1"/>
        </w:rPr>
        <w:t>13、磋商响应文件构成</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13.1磋商响应文件应包括下列内容：</w:t>
      </w:r>
      <w:r>
        <w:rPr>
          <w:rFonts w:hint="eastAsia" w:ascii="宋体" w:hAnsi="宋体"/>
          <w:color w:val="000000" w:themeColor="text1"/>
        </w:rPr>
        <w:t>磋商响应</w:t>
      </w:r>
      <w:r>
        <w:rPr>
          <w:rFonts w:hint="eastAsia" w:ascii="宋体" w:hAnsi="宋体" w:cs="Arial"/>
          <w:color w:val="000000" w:themeColor="text1"/>
        </w:rPr>
        <w:t>函、开标一览表、项目要求响应情况表、商务要求响应情况表、本项目实施方案、资格证明文件及其他重要资料等。</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13.1.1证明供应商合格的资格文件</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应包括磋商文件要求的证明，以证明其有资格参加磋商，以及中标后有能力履行合同所必需的生产、技术、服务和财务管理等方面能力的证明文件。</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 xml:space="preserve">13.2供应商必须对其磋商响应文件的真实性与准确性负责。一旦中标，其磋商响应文件将作为合同的重要组成部分。 </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13.3供应商应在磋商响应文件中体现本文件要求的内容。</w:t>
      </w:r>
    </w:p>
    <w:p>
      <w:pPr>
        <w:spacing w:line="500" w:lineRule="exact"/>
        <w:ind w:firstLine="422" w:firstLineChars="200"/>
        <w:rPr>
          <w:rFonts w:ascii="宋体" w:hAnsi="宋体" w:cs="Arial"/>
          <w:b/>
          <w:bCs/>
          <w:color w:val="000000" w:themeColor="text1"/>
        </w:rPr>
      </w:pPr>
      <w:r>
        <w:rPr>
          <w:rFonts w:hint="eastAsia" w:ascii="宋体" w:hAnsi="宋体" w:cs="Arial"/>
          <w:b/>
          <w:bCs/>
          <w:color w:val="000000" w:themeColor="text1"/>
        </w:rPr>
        <w:t>14、磋商报价</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14.1本项目只允许有一个方案、一个报价。多方案、多报价的磋商响应文件将不被接受。</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14.2开标一览表中的投标总报价应包括完成本项目的所有费用、税费等所有费用，即为履行合同的最终价格。</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14.3价格标的服务分项报价表上应清楚地标明供应商拟提供的服务或工程费用等内容，其合计价格应与开标一览表中的投标总报价保持一致。</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14.4供应商投标的货币为人民币。</w:t>
      </w:r>
    </w:p>
    <w:p>
      <w:pPr>
        <w:spacing w:line="500" w:lineRule="exact"/>
        <w:ind w:left="426"/>
        <w:rPr>
          <w:rFonts w:ascii="宋体" w:hAnsi="宋体" w:cs="Arial"/>
          <w:b/>
          <w:bCs/>
          <w:color w:val="000000" w:themeColor="text1"/>
        </w:rPr>
      </w:pPr>
      <w:r>
        <w:rPr>
          <w:rFonts w:hint="eastAsia" w:ascii="宋体" w:hAnsi="宋体" w:cs="Arial"/>
          <w:b/>
          <w:bCs/>
          <w:color w:val="000000" w:themeColor="text1"/>
        </w:rPr>
        <w:t>15、磋商保证金</w:t>
      </w:r>
    </w:p>
    <w:p>
      <w:pPr>
        <w:spacing w:line="540" w:lineRule="exact"/>
        <w:ind w:firstLine="525" w:firstLineChars="250"/>
        <w:rPr>
          <w:rFonts w:ascii="宋体" w:hAnsi="宋体" w:cs="Arial"/>
          <w:color w:val="000000" w:themeColor="text1"/>
        </w:rPr>
      </w:pPr>
      <w:r>
        <w:rPr>
          <w:rFonts w:hint="eastAsia" w:ascii="宋体" w:hAnsi="宋体" w:cs="Arial"/>
          <w:color w:val="000000" w:themeColor="text1"/>
        </w:rPr>
        <w:t>15.1</w:t>
      </w:r>
      <w:r>
        <w:rPr>
          <w:rFonts w:hint="eastAsia" w:ascii="宋体" w:hAnsi="宋体"/>
          <w:color w:val="000000" w:themeColor="text1"/>
        </w:rPr>
        <w:t>供应商在递交磋商响应文件的同时，应按供应商须知前附表规定的金额和形式递交磋商保证金。联合体参加磋商的，其磋商保证金由牵头人递交，并应符合供应商须知前附表的规定。</w:t>
      </w:r>
    </w:p>
    <w:p>
      <w:pPr>
        <w:spacing w:before="93" w:after="93" w:line="540" w:lineRule="exact"/>
        <w:ind w:firstLine="525" w:firstLineChars="250"/>
        <w:rPr>
          <w:rFonts w:ascii="宋体" w:hAnsi="宋体" w:cs="Arial"/>
          <w:color w:val="000000" w:themeColor="text1"/>
        </w:rPr>
      </w:pPr>
      <w:r>
        <w:rPr>
          <w:rFonts w:hint="eastAsia" w:ascii="宋体" w:hAnsi="宋体" w:cs="Arial"/>
          <w:color w:val="000000" w:themeColor="text1"/>
        </w:rPr>
        <w:t>15.2</w:t>
      </w:r>
      <w:r>
        <w:rPr>
          <w:rFonts w:hint="eastAsia" w:ascii="宋体" w:hAnsi="宋体"/>
          <w:color w:val="000000" w:themeColor="text1"/>
        </w:rPr>
        <w:t>供应商不按供应商须知前附表要求提交磋商保证金的，其响应文件无效。</w:t>
      </w:r>
    </w:p>
    <w:p>
      <w:pPr>
        <w:spacing w:before="93" w:after="93" w:line="540" w:lineRule="exact"/>
        <w:ind w:firstLine="525" w:firstLineChars="250"/>
        <w:rPr>
          <w:rFonts w:ascii="宋体" w:hAnsi="宋体" w:cs="Arial"/>
          <w:color w:val="000000" w:themeColor="text1"/>
        </w:rPr>
      </w:pPr>
      <w:r>
        <w:rPr>
          <w:rFonts w:hint="eastAsia" w:ascii="宋体" w:hAnsi="宋体" w:cs="Arial"/>
          <w:color w:val="000000" w:themeColor="text1"/>
        </w:rPr>
        <w:t>15.3</w:t>
      </w:r>
      <w:r>
        <w:rPr>
          <w:rFonts w:hint="eastAsia" w:ascii="宋体" w:hAnsi="宋体"/>
          <w:color w:val="000000" w:themeColor="text1"/>
        </w:rPr>
        <w:t>未成交供应商的磋商保证金应当在成交通知书发出后</w:t>
      </w:r>
      <w:r>
        <w:rPr>
          <w:rFonts w:ascii="宋体" w:hAnsi="宋体"/>
          <w:color w:val="000000" w:themeColor="text1"/>
        </w:rPr>
        <w:t>5个工作日内退还</w:t>
      </w:r>
      <w:r>
        <w:rPr>
          <w:rFonts w:hint="eastAsia" w:ascii="宋体" w:hAnsi="宋体" w:cs="Arial"/>
          <w:color w:val="000000" w:themeColor="text1"/>
        </w:rPr>
        <w:t>。</w:t>
      </w:r>
    </w:p>
    <w:p>
      <w:pPr>
        <w:spacing w:line="500" w:lineRule="exact"/>
        <w:ind w:firstLine="525" w:firstLineChars="250"/>
        <w:rPr>
          <w:rFonts w:ascii="宋体" w:hAnsi="宋体"/>
          <w:color w:val="000000" w:themeColor="text1"/>
        </w:rPr>
      </w:pPr>
      <w:r>
        <w:rPr>
          <w:rFonts w:hint="eastAsia" w:ascii="宋体" w:hAnsi="宋体" w:cs="Arial"/>
          <w:color w:val="000000" w:themeColor="text1"/>
        </w:rPr>
        <w:t>15.4</w:t>
      </w:r>
      <w:r>
        <w:rPr>
          <w:rFonts w:ascii="宋体" w:hAnsi="宋体"/>
          <w:color w:val="000000" w:themeColor="text1"/>
        </w:rPr>
        <w:t>成交供应商的磋商保证金应当在采购合同签订后5个工作日内退还</w:t>
      </w:r>
      <w:r>
        <w:rPr>
          <w:rFonts w:hint="eastAsia" w:ascii="宋体" w:hAnsi="宋体"/>
          <w:color w:val="000000" w:themeColor="text1"/>
        </w:rPr>
        <w:t>。</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15.5有下列情形之一的，不予退还磋商保证金：</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15.5.1供应商在提交响应文件截止时间后撤回响应文件的；</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15.5.2</w:t>
      </w:r>
      <w:r>
        <w:rPr>
          <w:rFonts w:ascii="宋体" w:hAnsi="宋体" w:cs="Arial"/>
          <w:color w:val="000000" w:themeColor="text1"/>
        </w:rPr>
        <w:t>供应商在响应文件中提供虚假材料的；</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15.5.3</w:t>
      </w:r>
      <w:r>
        <w:rPr>
          <w:rFonts w:ascii="宋体" w:hAnsi="宋体" w:cs="Arial"/>
          <w:color w:val="000000" w:themeColor="text1"/>
        </w:rPr>
        <w:t>除因不可抗力或磋商文件认可的情形以外，成交供应商不与采购人签订合同的；</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15.5.4</w:t>
      </w:r>
      <w:r>
        <w:rPr>
          <w:rFonts w:ascii="宋体" w:hAnsi="宋体" w:cs="Arial"/>
          <w:color w:val="000000" w:themeColor="text1"/>
        </w:rPr>
        <w:t>供应商与采购人、其他供应商或者采购代理机构恶意串通的；</w:t>
      </w:r>
    </w:p>
    <w:p>
      <w:pPr>
        <w:spacing w:line="500" w:lineRule="exact"/>
        <w:ind w:firstLine="525" w:firstLineChars="250"/>
        <w:rPr>
          <w:rFonts w:ascii="宋体" w:hAnsi="宋体"/>
          <w:color w:val="000000" w:themeColor="text1"/>
          <w:kern w:val="0"/>
        </w:rPr>
      </w:pPr>
      <w:r>
        <w:rPr>
          <w:rFonts w:hint="eastAsia" w:ascii="宋体" w:hAnsi="宋体" w:cs="Arial"/>
          <w:color w:val="000000" w:themeColor="text1"/>
        </w:rPr>
        <w:t>15.5.5</w:t>
      </w:r>
      <w:r>
        <w:rPr>
          <w:rFonts w:hint="eastAsia" w:ascii="宋体" w:hAnsi="宋体"/>
          <w:color w:val="000000" w:themeColor="text1"/>
          <w:kern w:val="0"/>
        </w:rPr>
        <w:t>供应商在规定的磋商有效期内撤销或修改其磋商响应文件或放弃候选供应商资格的；</w:t>
      </w:r>
    </w:p>
    <w:p>
      <w:pPr>
        <w:spacing w:line="500" w:lineRule="exact"/>
        <w:ind w:firstLine="525" w:firstLineChars="250"/>
        <w:rPr>
          <w:rFonts w:ascii="宋体" w:hAnsi="宋体" w:cs="Arial"/>
          <w:color w:val="000000" w:themeColor="text1"/>
        </w:rPr>
      </w:pPr>
      <w:r>
        <w:rPr>
          <w:rFonts w:hint="eastAsia" w:ascii="宋体" w:hAnsi="宋体"/>
          <w:color w:val="000000" w:themeColor="text1"/>
          <w:kern w:val="0"/>
        </w:rPr>
        <w:t>15.5.6成交人在收到中标通知书后，未按磋商文件规定提交履约担保。</w:t>
      </w:r>
    </w:p>
    <w:p>
      <w:pPr>
        <w:spacing w:line="500" w:lineRule="exact"/>
        <w:ind w:left="426"/>
        <w:rPr>
          <w:rFonts w:ascii="宋体" w:hAnsi="宋体" w:cs="Arial"/>
          <w:b/>
          <w:bCs/>
          <w:color w:val="000000" w:themeColor="text1"/>
        </w:rPr>
      </w:pPr>
      <w:r>
        <w:rPr>
          <w:rFonts w:hint="eastAsia" w:ascii="宋体" w:hAnsi="宋体" w:cs="Arial"/>
          <w:b/>
          <w:bCs/>
          <w:color w:val="000000" w:themeColor="text1"/>
        </w:rPr>
        <w:t>16、磋商有效期</w:t>
      </w:r>
    </w:p>
    <w:p>
      <w:pPr>
        <w:spacing w:line="500" w:lineRule="exact"/>
        <w:ind w:firstLine="514" w:firstLineChars="245"/>
        <w:rPr>
          <w:rFonts w:ascii="宋体" w:hAnsi="宋体" w:cs="Arial"/>
          <w:b/>
          <w:bCs/>
          <w:color w:val="000000" w:themeColor="text1"/>
        </w:rPr>
      </w:pPr>
      <w:r>
        <w:rPr>
          <w:rFonts w:hint="eastAsia" w:ascii="宋体" w:hAnsi="宋体" w:cs="Arial"/>
          <w:color w:val="000000" w:themeColor="text1"/>
        </w:rPr>
        <w:t>16.1磋商有效期在“供应商须知前附表”中有明确的规定。供应商如未就此提出异议，则视同接受；如承诺的磋商有效期短于此规定时间的，将被视为非响应性投标而予以拒绝。</w:t>
      </w:r>
    </w:p>
    <w:p>
      <w:pPr>
        <w:pStyle w:val="33"/>
        <w:widowControl w:val="0"/>
        <w:spacing w:line="500" w:lineRule="exact"/>
        <w:ind w:firstLine="420"/>
        <w:rPr>
          <w:rFonts w:ascii="宋体" w:hAnsi="宋体"/>
          <w:color w:val="000000" w:themeColor="text1"/>
        </w:rPr>
      </w:pPr>
      <w:r>
        <w:rPr>
          <w:rFonts w:hint="eastAsia" w:ascii="宋体" w:hAnsi="宋体" w:cs="Arial"/>
          <w:color w:val="000000" w:themeColor="text1"/>
        </w:rPr>
        <w:t>16.2在特殊情况下，采购单位可于原磋商有效期满之前，向供应商提出延长磋商有效期的要求。</w:t>
      </w:r>
      <w:r>
        <w:rPr>
          <w:rFonts w:hint="eastAsia" w:ascii="宋体" w:hAnsi="宋体"/>
          <w:color w:val="000000" w:themeColor="text1"/>
        </w:rPr>
        <w:t>供应商同意延长的，应相应延长其磋商保证金的有效期，但不得要求或被允许修改或撤销其磋商响应文件。供应商拒绝延长的</w:t>
      </w:r>
      <w:r>
        <w:rPr>
          <w:rFonts w:hint="eastAsia" w:ascii="宋体" w:hAnsi="宋体" w:cs="Arial"/>
          <w:color w:val="000000" w:themeColor="text1"/>
        </w:rPr>
        <w:t>，可以书面形式拒绝采购单位的这种要求而不失去其磋商保证金。如在规定的时间内未提出书面意见表示拒绝，将视为同意延长磋商有效期</w:t>
      </w:r>
      <w:r>
        <w:rPr>
          <w:rFonts w:hint="eastAsia" w:ascii="宋体" w:hAnsi="宋体"/>
          <w:color w:val="000000" w:themeColor="text1"/>
        </w:rPr>
        <w:t>。</w:t>
      </w:r>
    </w:p>
    <w:p>
      <w:pPr>
        <w:spacing w:line="500" w:lineRule="exact"/>
        <w:ind w:firstLine="525" w:firstLineChars="250"/>
        <w:rPr>
          <w:rFonts w:ascii="宋体" w:hAnsi="宋体" w:cs="Arial"/>
          <w:color w:val="000000" w:themeColor="text1"/>
        </w:rPr>
      </w:pPr>
      <w:r>
        <w:rPr>
          <w:rFonts w:hint="eastAsia" w:ascii="宋体" w:hAnsi="宋体"/>
          <w:color w:val="000000" w:themeColor="text1"/>
        </w:rPr>
        <w:t>16.3在磋商有效期内，供应商撤销或修改其磋商响应文件的，应承担责任。</w:t>
      </w:r>
    </w:p>
    <w:p>
      <w:pPr>
        <w:spacing w:line="500" w:lineRule="exact"/>
        <w:ind w:left="426"/>
        <w:rPr>
          <w:rFonts w:ascii="宋体" w:hAnsi="宋体" w:cs="Arial"/>
          <w:b/>
          <w:bCs/>
          <w:color w:val="000000" w:themeColor="text1"/>
        </w:rPr>
      </w:pPr>
      <w:r>
        <w:rPr>
          <w:rFonts w:hint="eastAsia" w:ascii="宋体" w:hAnsi="宋体" w:cs="Arial"/>
          <w:b/>
          <w:bCs/>
          <w:color w:val="000000" w:themeColor="text1"/>
        </w:rPr>
        <w:t>17、磋商响应文件签署</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17.1磋商响应文件应由供应商的法定代表人或其被授权代表正确签署。被授权代表须将法定代表人以书面形式出具的“法定代表人授权书”附在磋商响应文件中。</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17.2磋商响应文件不得行间插字、涂改或增删。如有修改错漏处，必须由供应商的法定代表人或其授权代表签字。</w:t>
      </w:r>
    </w:p>
    <w:p>
      <w:pPr>
        <w:spacing w:line="500" w:lineRule="exact"/>
        <w:rPr>
          <w:rFonts w:ascii="宋体" w:hAnsi="宋体" w:cs="Arial"/>
          <w:color w:val="000000" w:themeColor="text1"/>
        </w:rPr>
      </w:pPr>
    </w:p>
    <w:p>
      <w:pPr>
        <w:pStyle w:val="31"/>
        <w:rPr>
          <w:color w:val="000000" w:themeColor="text1"/>
        </w:rPr>
      </w:pPr>
      <w:bookmarkStart w:id="49" w:name="_Toc511899308"/>
      <w:bookmarkEnd w:id="49"/>
      <w:bookmarkStart w:id="50" w:name="_Toc26763"/>
      <w:bookmarkStart w:id="51" w:name="_Toc9389"/>
      <w:r>
        <w:rPr>
          <w:rFonts w:hint="eastAsia"/>
          <w:color w:val="000000" w:themeColor="text1"/>
        </w:rPr>
        <w:t>四、磋商响应文件的提交</w:t>
      </w:r>
      <w:bookmarkEnd w:id="50"/>
      <w:bookmarkEnd w:id="51"/>
    </w:p>
    <w:p>
      <w:pPr>
        <w:spacing w:line="500" w:lineRule="exact"/>
        <w:ind w:left="426"/>
        <w:rPr>
          <w:rFonts w:ascii="宋体" w:hAnsi="宋体" w:cs="Arial"/>
          <w:b/>
          <w:bCs/>
          <w:color w:val="000000" w:themeColor="text1"/>
        </w:rPr>
      </w:pPr>
      <w:r>
        <w:rPr>
          <w:rFonts w:hint="eastAsia" w:ascii="宋体" w:hAnsi="宋体" w:cs="Arial"/>
          <w:b/>
          <w:bCs/>
          <w:color w:val="000000" w:themeColor="text1"/>
        </w:rPr>
        <w:t>18、磋商响应文件的封装</w:t>
      </w:r>
    </w:p>
    <w:p>
      <w:pPr>
        <w:spacing w:before="93" w:after="93" w:line="540" w:lineRule="exact"/>
        <w:ind w:firstLine="525" w:firstLineChars="250"/>
        <w:rPr>
          <w:rFonts w:ascii="宋体" w:hAnsi="宋体" w:cs="Arial"/>
          <w:color w:val="000000" w:themeColor="text1"/>
        </w:rPr>
      </w:pPr>
      <w:r>
        <w:rPr>
          <w:rFonts w:hint="eastAsia" w:ascii="宋体" w:hAnsi="宋体" w:cs="Arial"/>
          <w:color w:val="000000" w:themeColor="text1"/>
        </w:rPr>
        <w:t>18.1</w:t>
      </w:r>
      <w:r>
        <w:rPr>
          <w:rFonts w:hint="eastAsia" w:ascii="宋体" w:hAnsi="宋体" w:cs="Arial"/>
          <w:b/>
          <w:bCs/>
          <w:color w:val="000000" w:themeColor="text1"/>
        </w:rPr>
        <w:t>磋商响应文件(纸质版)应胶装装订，封面加盖公章。密封包装，在封套的封口处（也可加贴封条）加盖供应商公章及法定代表人签名或盖章（或代理人签名）。</w:t>
      </w:r>
      <w:r>
        <w:rPr>
          <w:rFonts w:hint="eastAsia" w:ascii="宋体" w:hAnsi="宋体" w:cs="Arial"/>
          <w:color w:val="000000" w:themeColor="text1"/>
        </w:rPr>
        <w:t>磋商响应文件包装袋上必须清楚写明项目的名称、项目编号及供应商全称。</w:t>
      </w:r>
    </w:p>
    <w:p>
      <w:pPr>
        <w:spacing w:before="93" w:after="93" w:line="540" w:lineRule="exact"/>
        <w:ind w:left="359" w:leftChars="171" w:firstLine="211" w:firstLineChars="100"/>
        <w:rPr>
          <w:rFonts w:ascii="宋体" w:hAnsi="宋体" w:cs="Arial"/>
          <w:b/>
          <w:bCs/>
          <w:color w:val="000000" w:themeColor="text1"/>
        </w:rPr>
      </w:pPr>
      <w:r>
        <w:rPr>
          <w:rFonts w:hint="eastAsia" w:ascii="宋体" w:hAnsi="宋体" w:cs="Arial"/>
          <w:b/>
          <w:bCs/>
          <w:color w:val="000000" w:themeColor="text1"/>
        </w:rPr>
        <w:t>19、磋商响应文件的递交</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19.1供应商应按供应商须知前附表中规定的截止时间前递交磋商响应文件。</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19.2供应商递交磋商响应文件的地点：详见供应商须知前附表。</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19.3供应商所递交的磋商响应文件在磋商开始后不予退还。</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19.4采购单位收到磋商响应文件后，应及时登记并由供应商签字确认。</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19.5有下列情形之一的，</w:t>
      </w:r>
      <w:r>
        <w:rPr>
          <w:rFonts w:hint="eastAsia" w:ascii="宋体" w:hAnsi="宋体" w:cs="Arial"/>
          <w:b/>
          <w:bCs/>
          <w:color w:val="000000" w:themeColor="text1"/>
        </w:rPr>
        <w:t>采购人将不予受理</w:t>
      </w:r>
      <w:r>
        <w:rPr>
          <w:rFonts w:hint="eastAsia" w:ascii="宋体" w:hAnsi="宋体" w:cs="Arial"/>
          <w:color w:val="000000" w:themeColor="text1"/>
        </w:rPr>
        <w:t>：</w:t>
      </w:r>
    </w:p>
    <w:p>
      <w:pPr>
        <w:spacing w:line="500" w:lineRule="exact"/>
        <w:ind w:firstLine="420" w:firstLineChars="200"/>
        <w:rPr>
          <w:rFonts w:ascii="宋体" w:hAnsi="宋体" w:cs="Arial"/>
          <w:color w:val="000000" w:themeColor="text1"/>
        </w:rPr>
      </w:pPr>
      <w:r>
        <w:rPr>
          <w:rFonts w:hint="eastAsia" w:ascii="宋体" w:hAnsi="宋体" w:cs="Arial"/>
          <w:color w:val="000000" w:themeColor="text1"/>
        </w:rPr>
        <w:t>19.5.1逾期送达的或者未送达指定地点的磋商响应文件。</w:t>
      </w:r>
    </w:p>
    <w:p>
      <w:pPr>
        <w:spacing w:line="540" w:lineRule="exact"/>
        <w:ind w:firstLine="420" w:firstLineChars="200"/>
        <w:rPr>
          <w:rFonts w:ascii="宋体" w:hAnsi="宋体" w:cs="Arial"/>
          <w:color w:val="000000" w:themeColor="text1"/>
        </w:rPr>
      </w:pPr>
      <w:r>
        <w:rPr>
          <w:rFonts w:hint="eastAsia" w:ascii="宋体" w:hAnsi="宋体" w:cs="Arial"/>
          <w:color w:val="000000" w:themeColor="text1"/>
        </w:rPr>
        <w:t>19.5.2未按本文件18.1、18.2条的要求密封和加写标记的磋商响应文件。</w:t>
      </w:r>
    </w:p>
    <w:p>
      <w:pPr>
        <w:spacing w:line="500" w:lineRule="exact"/>
        <w:ind w:firstLine="422" w:firstLineChars="200"/>
        <w:rPr>
          <w:rFonts w:ascii="宋体" w:hAnsi="宋体" w:cs="Arial"/>
          <w:b/>
          <w:bCs/>
          <w:color w:val="000000" w:themeColor="text1"/>
        </w:rPr>
      </w:pPr>
      <w:r>
        <w:rPr>
          <w:rFonts w:hint="eastAsia" w:ascii="宋体" w:hAnsi="宋体" w:cs="Arial"/>
          <w:b/>
          <w:bCs/>
          <w:color w:val="000000" w:themeColor="text1"/>
        </w:rPr>
        <w:t>20、磋商响应文件的修改和撤回</w:t>
      </w:r>
    </w:p>
    <w:p>
      <w:pPr>
        <w:pStyle w:val="33"/>
        <w:widowControl w:val="0"/>
        <w:spacing w:line="400" w:lineRule="atLeast"/>
        <w:ind w:firstLine="420"/>
        <w:rPr>
          <w:rFonts w:ascii="宋体" w:hAnsi="宋体"/>
          <w:color w:val="000000" w:themeColor="text1"/>
        </w:rPr>
      </w:pPr>
      <w:r>
        <w:rPr>
          <w:rFonts w:hint="eastAsia" w:ascii="宋体" w:hAnsi="宋体"/>
          <w:color w:val="000000" w:themeColor="text1"/>
        </w:rPr>
        <w:t>20.1在供应商须知前附表规定的磋商响应文件递交截止时间前，供应商可以修改或撤回已递交的磋商响应文件，但应以书面形式通知采购人。</w:t>
      </w:r>
    </w:p>
    <w:p>
      <w:pPr>
        <w:pStyle w:val="33"/>
        <w:widowControl w:val="0"/>
        <w:spacing w:line="400" w:lineRule="atLeast"/>
        <w:ind w:firstLine="420"/>
        <w:rPr>
          <w:rFonts w:ascii="宋体" w:hAnsi="宋体"/>
          <w:color w:val="000000" w:themeColor="text1"/>
        </w:rPr>
      </w:pPr>
      <w:r>
        <w:rPr>
          <w:rFonts w:hint="eastAsia" w:ascii="宋体" w:hAnsi="宋体"/>
          <w:color w:val="000000" w:themeColor="text1"/>
        </w:rPr>
        <w:t>20.2供应商修改或撤回已递交磋商响应文件的书面通知应按照本文件第17条的要求签字或盖章。</w:t>
      </w:r>
    </w:p>
    <w:p>
      <w:pPr>
        <w:pStyle w:val="33"/>
        <w:widowControl w:val="0"/>
        <w:spacing w:line="400" w:lineRule="atLeast"/>
        <w:ind w:firstLine="420"/>
        <w:rPr>
          <w:rFonts w:ascii="宋体" w:hAnsi="宋体"/>
          <w:color w:val="000000" w:themeColor="text1"/>
        </w:rPr>
      </w:pPr>
      <w:r>
        <w:rPr>
          <w:rFonts w:hint="eastAsia" w:ascii="宋体" w:hAnsi="宋体"/>
          <w:color w:val="000000" w:themeColor="text1"/>
        </w:rPr>
        <w:t>20.3供应商撤回磋商响应文件的，受托人自收到供应商书面撤回通知之日起5个工作日内退还已收取的磋商保证金。</w:t>
      </w:r>
    </w:p>
    <w:p>
      <w:pPr>
        <w:pStyle w:val="33"/>
        <w:widowControl w:val="0"/>
        <w:spacing w:line="500" w:lineRule="exact"/>
        <w:ind w:firstLine="420"/>
        <w:rPr>
          <w:rFonts w:ascii="宋体" w:hAnsi="宋体"/>
          <w:color w:val="000000" w:themeColor="text1"/>
        </w:rPr>
      </w:pPr>
      <w:r>
        <w:rPr>
          <w:rFonts w:hint="eastAsia" w:ascii="宋体" w:hAnsi="宋体"/>
          <w:color w:val="000000" w:themeColor="text1"/>
        </w:rPr>
        <w:t>20.4修改的内容为磋商响应文件的组成部分。修改的磋商响应文件应按照本文件的要求进行编制、密封、标记和递交，并标明“修改”字样。</w:t>
      </w:r>
    </w:p>
    <w:p>
      <w:pPr>
        <w:spacing w:before="93" w:after="93" w:line="540" w:lineRule="exact"/>
        <w:ind w:firstLine="630" w:firstLineChars="300"/>
        <w:rPr>
          <w:rFonts w:ascii="宋体" w:hAnsi="宋体" w:cs="Arial"/>
          <w:color w:val="000000" w:themeColor="text1"/>
        </w:rPr>
      </w:pPr>
      <w:r>
        <w:rPr>
          <w:rFonts w:hint="eastAsia" w:ascii="宋体" w:hAnsi="宋体" w:cs="Arial"/>
          <w:color w:val="000000" w:themeColor="text1"/>
        </w:rPr>
        <w:t>21、联合体参加磋商（本项目不适用）</w:t>
      </w:r>
    </w:p>
    <w:p>
      <w:pPr>
        <w:spacing w:before="93" w:after="93" w:line="540" w:lineRule="exact"/>
        <w:ind w:firstLine="567" w:firstLineChars="270"/>
        <w:rPr>
          <w:rFonts w:ascii="宋体" w:hAnsi="宋体" w:cs="Arial"/>
          <w:color w:val="000000" w:themeColor="text1"/>
        </w:rPr>
      </w:pPr>
      <w:r>
        <w:rPr>
          <w:rFonts w:hint="eastAsia" w:ascii="宋体" w:hAnsi="宋体" w:cs="Arial"/>
          <w:color w:val="000000" w:themeColor="text1"/>
        </w:rPr>
        <w:t>由两家或两家以上供应商组成的联合体参与磋商时，应满足以下要求;</w:t>
      </w:r>
    </w:p>
    <w:p>
      <w:pPr>
        <w:spacing w:before="93" w:after="93" w:line="540" w:lineRule="exact"/>
        <w:ind w:firstLine="630" w:firstLineChars="300"/>
        <w:rPr>
          <w:rFonts w:ascii="宋体" w:hAnsi="宋体" w:cs="Arial"/>
          <w:color w:val="000000" w:themeColor="text1"/>
        </w:rPr>
      </w:pPr>
      <w:r>
        <w:rPr>
          <w:rFonts w:hint="eastAsia" w:ascii="宋体" w:hAnsi="宋体" w:cs="Arial"/>
          <w:color w:val="000000" w:themeColor="text1"/>
        </w:rPr>
        <w:t>21.1联合体成员除必须满足供应商资格的要求外，如本项目还有其他特定条件的，联合体各方中至少有一方符合特定的条件。</w:t>
      </w:r>
    </w:p>
    <w:p>
      <w:pPr>
        <w:spacing w:before="93" w:after="93" w:line="540" w:lineRule="exact"/>
        <w:ind w:firstLine="630" w:firstLineChars="300"/>
        <w:rPr>
          <w:rFonts w:ascii="宋体" w:hAnsi="宋体" w:cs="Arial"/>
          <w:color w:val="000000" w:themeColor="text1"/>
        </w:rPr>
      </w:pPr>
      <w:r>
        <w:rPr>
          <w:rFonts w:hint="eastAsia" w:ascii="宋体" w:hAnsi="宋体" w:cs="Arial"/>
          <w:color w:val="000000" w:themeColor="text1"/>
        </w:rPr>
        <w:t>21.2联合体应签订联合体协议，明确各方承担的职责和相应的责任，并授权其中的一个成员作为磋商代表，具体进行磋商、签署磋商响应文件、签订合同等事务。联合体协议应作为磋商响应文件的一部分。</w:t>
      </w:r>
    </w:p>
    <w:p>
      <w:pPr>
        <w:spacing w:before="93" w:after="93" w:line="540" w:lineRule="exact"/>
        <w:ind w:firstLine="630" w:firstLineChars="300"/>
        <w:rPr>
          <w:rFonts w:ascii="宋体" w:hAnsi="宋体" w:cs="Arial"/>
          <w:color w:val="000000" w:themeColor="text1"/>
        </w:rPr>
      </w:pPr>
      <w:r>
        <w:rPr>
          <w:rFonts w:hint="eastAsia" w:ascii="宋体" w:hAnsi="宋体" w:cs="Arial"/>
          <w:color w:val="000000" w:themeColor="text1"/>
        </w:rPr>
        <w:t>21.3联合体代表应能全权处理磋商过程中的有关问题。一旦成为成交供应商，该联合体代表应负责签订合同并负责合同的全面实施，包括合同款项的收付。</w:t>
      </w:r>
    </w:p>
    <w:p>
      <w:pPr>
        <w:spacing w:line="500" w:lineRule="exact"/>
        <w:ind w:firstLine="630" w:firstLineChars="300"/>
        <w:rPr>
          <w:rFonts w:ascii="宋体" w:hAnsi="宋体" w:cs="Arial"/>
          <w:color w:val="000000" w:themeColor="text1"/>
        </w:rPr>
      </w:pPr>
      <w:r>
        <w:rPr>
          <w:rFonts w:hint="eastAsia" w:ascii="宋体" w:hAnsi="宋体" w:cs="Arial"/>
          <w:color w:val="000000" w:themeColor="text1"/>
        </w:rPr>
        <w:t>21.4联合体各方不得再以自己的名义单独参与同一项目磋商，也不得再组成新的联合体参与同一项目中的磋商。</w:t>
      </w:r>
    </w:p>
    <w:p>
      <w:pPr>
        <w:spacing w:line="500" w:lineRule="exact"/>
        <w:rPr>
          <w:rFonts w:ascii="宋体" w:hAnsi="宋体" w:cs="Arial"/>
          <w:color w:val="000000" w:themeColor="text1"/>
        </w:rPr>
      </w:pPr>
    </w:p>
    <w:p>
      <w:pPr>
        <w:pStyle w:val="31"/>
        <w:rPr>
          <w:color w:val="000000" w:themeColor="text1"/>
        </w:rPr>
      </w:pPr>
      <w:bookmarkStart w:id="52" w:name="_Toc511899309"/>
      <w:bookmarkEnd w:id="52"/>
      <w:bookmarkStart w:id="53" w:name="_Toc28816"/>
      <w:bookmarkStart w:id="54" w:name="_Toc30695"/>
      <w:r>
        <w:rPr>
          <w:rFonts w:hint="eastAsia"/>
          <w:color w:val="000000" w:themeColor="text1"/>
        </w:rPr>
        <w:t>五、磋商与评审</w:t>
      </w:r>
      <w:bookmarkEnd w:id="53"/>
      <w:bookmarkEnd w:id="54"/>
    </w:p>
    <w:p>
      <w:pPr>
        <w:spacing w:line="360" w:lineRule="auto"/>
        <w:ind w:firstLine="517" w:firstLineChars="245"/>
        <w:rPr>
          <w:rFonts w:ascii="宋体" w:hAnsi="宋体" w:cs="Arial"/>
          <w:b/>
          <w:bCs/>
          <w:color w:val="000000" w:themeColor="text1"/>
        </w:rPr>
      </w:pPr>
      <w:r>
        <w:rPr>
          <w:rFonts w:hint="eastAsia" w:ascii="宋体" w:hAnsi="宋体" w:cs="Arial"/>
          <w:b/>
          <w:bCs/>
          <w:color w:val="000000" w:themeColor="text1"/>
        </w:rPr>
        <w:t>22、磋商</w:t>
      </w:r>
    </w:p>
    <w:p>
      <w:pPr>
        <w:spacing w:line="360" w:lineRule="auto"/>
        <w:ind w:firstLine="420" w:firstLineChars="200"/>
        <w:rPr>
          <w:rFonts w:ascii="宋体" w:hAnsi="宋体" w:cs="Arial"/>
          <w:color w:val="000000" w:themeColor="text1"/>
        </w:rPr>
      </w:pPr>
      <w:r>
        <w:rPr>
          <w:rFonts w:hint="eastAsia" w:ascii="宋体" w:hAnsi="宋体" w:cs="Arial"/>
          <w:color w:val="000000" w:themeColor="text1"/>
        </w:rPr>
        <w:t>22.1采购单位将在“供应商须知前附表”规定的时间和地点组织磋商。</w:t>
      </w:r>
    </w:p>
    <w:p>
      <w:pPr>
        <w:spacing w:line="360" w:lineRule="auto"/>
        <w:ind w:firstLine="420" w:firstLineChars="200"/>
        <w:rPr>
          <w:rFonts w:ascii="宋体" w:hAnsi="宋体" w:cs="Arial"/>
          <w:color w:val="000000" w:themeColor="text1"/>
        </w:rPr>
      </w:pPr>
      <w:r>
        <w:rPr>
          <w:rFonts w:hint="eastAsia" w:ascii="宋体" w:hAnsi="宋体"/>
          <w:color w:val="000000" w:themeColor="text1"/>
        </w:rPr>
        <w:t>22.2</w:t>
      </w:r>
      <w:r>
        <w:rPr>
          <w:rFonts w:hint="eastAsia" w:ascii="宋体" w:hAnsi="宋体" w:cs="Arial"/>
          <w:color w:val="000000" w:themeColor="text1"/>
        </w:rPr>
        <w:t>采购单位按规定组成三人或以上的磋商小组。</w:t>
      </w:r>
    </w:p>
    <w:p>
      <w:pPr>
        <w:rPr>
          <w:rFonts w:ascii="宋体" w:hAnsi="宋体" w:cs="Arial"/>
          <w:color w:val="000000" w:themeColor="text1"/>
        </w:rPr>
      </w:pPr>
      <w:r>
        <w:rPr>
          <w:rFonts w:hint="eastAsia" w:ascii="宋体" w:hAnsi="宋体" w:cs="Arial"/>
          <w:color w:val="000000" w:themeColor="text1"/>
        </w:rPr>
        <w:br w:type="page"/>
      </w:r>
    </w:p>
    <w:p>
      <w:pPr>
        <w:spacing w:line="360" w:lineRule="auto"/>
        <w:ind w:firstLine="420" w:firstLineChars="200"/>
        <w:rPr>
          <w:rFonts w:ascii="宋体" w:hAnsi="宋体" w:cs="Arial"/>
          <w:b/>
          <w:bCs/>
          <w:color w:val="000000" w:themeColor="text1"/>
        </w:rPr>
      </w:pPr>
      <w:r>
        <w:rPr>
          <w:rFonts w:hint="eastAsia" w:ascii="宋体" w:hAnsi="宋体" w:cs="Arial"/>
          <w:color w:val="000000" w:themeColor="text1"/>
        </w:rPr>
        <w:t>磋商小组成员有下列情形之一的，应当回避：</w:t>
      </w:r>
    </w:p>
    <w:p>
      <w:pPr>
        <w:pStyle w:val="33"/>
        <w:widowControl w:val="0"/>
        <w:spacing w:line="500" w:lineRule="exact"/>
        <w:ind w:firstLine="420" w:firstLineChars="200"/>
        <w:rPr>
          <w:rFonts w:ascii="宋体" w:hAnsi="宋体"/>
          <w:color w:val="000000" w:themeColor="text1"/>
        </w:rPr>
      </w:pPr>
      <w:r>
        <w:rPr>
          <w:rFonts w:hint="eastAsia" w:ascii="宋体" w:hAnsi="宋体"/>
          <w:color w:val="000000" w:themeColor="text1"/>
        </w:rPr>
        <w:t>（1）参加采购活动前三年内，与供应商存在劳动关系，或者担任过供应商的董事、监事，或者是供应商的控股股东或实际控制人；</w:t>
      </w:r>
    </w:p>
    <w:p>
      <w:pPr>
        <w:pStyle w:val="33"/>
        <w:widowControl w:val="0"/>
        <w:spacing w:line="500" w:lineRule="exact"/>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2</w:t>
      </w:r>
      <w:r>
        <w:rPr>
          <w:rFonts w:ascii="宋体" w:hAnsi="宋体"/>
          <w:color w:val="000000" w:themeColor="text1"/>
        </w:rPr>
        <w:t>）与供应商的法定代表人或者负责人有夫妻、直系血亲、三代以内旁系血亲或者近姻亲关系；</w:t>
      </w:r>
    </w:p>
    <w:p>
      <w:pPr>
        <w:pStyle w:val="33"/>
        <w:widowControl w:val="0"/>
        <w:spacing w:line="500" w:lineRule="exact"/>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3</w:t>
      </w:r>
      <w:r>
        <w:rPr>
          <w:rFonts w:ascii="宋体" w:hAnsi="宋体"/>
          <w:color w:val="000000" w:themeColor="text1"/>
        </w:rPr>
        <w:t>）与供应商有其他可能影响政府采购活动公平、公正进行的关系。</w:t>
      </w:r>
    </w:p>
    <w:p>
      <w:pPr>
        <w:pStyle w:val="33"/>
        <w:widowControl w:val="0"/>
        <w:spacing w:line="500" w:lineRule="exact"/>
        <w:ind w:firstLine="420" w:firstLineChars="200"/>
        <w:rPr>
          <w:rFonts w:ascii="宋体" w:hAnsi="宋体"/>
          <w:color w:val="000000" w:themeColor="text1"/>
        </w:rPr>
      </w:pPr>
      <w:r>
        <w:rPr>
          <w:rFonts w:hint="eastAsia" w:ascii="宋体" w:hAnsi="宋体"/>
          <w:color w:val="000000" w:themeColor="text1"/>
        </w:rPr>
        <w:t>另外，磋商小组成员</w:t>
      </w:r>
      <w:r>
        <w:rPr>
          <w:rFonts w:ascii="宋体" w:hAnsi="宋体"/>
          <w:color w:val="000000" w:themeColor="text1"/>
        </w:rPr>
        <w:t>发现本人与参加采购活动的供应商有利害关系的，应当主动提出回避。采购人或者采购代理机构发现评审专家与参加采购活动的供应商有利害关系的，应当要求其回避。</w:t>
      </w:r>
    </w:p>
    <w:p>
      <w:pPr>
        <w:spacing w:line="360" w:lineRule="auto"/>
        <w:ind w:firstLine="420" w:firstLineChars="200"/>
        <w:rPr>
          <w:rFonts w:ascii="宋体" w:hAnsi="宋体"/>
          <w:color w:val="000000" w:themeColor="text1"/>
        </w:rPr>
      </w:pPr>
      <w:r>
        <w:rPr>
          <w:rFonts w:hint="eastAsia" w:ascii="宋体" w:hAnsi="宋体"/>
          <w:color w:val="000000" w:themeColor="text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0" w:firstLineChars="200"/>
        <w:rPr>
          <w:rFonts w:ascii="宋体" w:hAnsi="宋体"/>
          <w:color w:val="000000" w:themeColor="text1"/>
        </w:rPr>
      </w:pPr>
      <w:r>
        <w:rPr>
          <w:rFonts w:hint="eastAsia" w:ascii="宋体" w:hAnsi="宋体"/>
          <w:color w:val="000000" w:themeColor="text1"/>
        </w:rPr>
        <w:t>22.3竞争性磋商活动采用综合评分法评审。</w:t>
      </w:r>
    </w:p>
    <w:p>
      <w:pPr>
        <w:spacing w:line="360" w:lineRule="auto"/>
        <w:ind w:firstLine="420" w:firstLineChars="200"/>
        <w:rPr>
          <w:rFonts w:ascii="宋体" w:hAnsi="宋体"/>
          <w:color w:val="000000" w:themeColor="text1"/>
        </w:rPr>
      </w:pPr>
      <w:r>
        <w:rPr>
          <w:rFonts w:hint="eastAsia" w:ascii="宋体" w:hAnsi="宋体"/>
          <w:color w:val="000000" w:themeColor="text1"/>
        </w:rPr>
        <w:t>综合评分法，是指响应文件满足磋商文件全部实质性要求且按评审因素的量化指标评审得分最高的供应商为成交候选供应商的评审方法。</w:t>
      </w:r>
    </w:p>
    <w:p>
      <w:pPr>
        <w:spacing w:line="360" w:lineRule="auto"/>
        <w:ind w:firstLine="420" w:firstLineChars="200"/>
        <w:rPr>
          <w:rFonts w:ascii="宋体" w:hAnsi="宋体"/>
          <w:color w:val="000000" w:themeColor="text1"/>
        </w:rPr>
      </w:pPr>
      <w:r>
        <w:rPr>
          <w:rFonts w:hint="eastAsia" w:ascii="宋体" w:hAnsi="宋体"/>
          <w:color w:val="000000" w:themeColor="text1"/>
        </w:rPr>
        <w:t>22.4为保证磋商活动顺利进行，供应商可派相关技术人员进行现场答疑。</w:t>
      </w:r>
    </w:p>
    <w:p>
      <w:pPr>
        <w:spacing w:line="360" w:lineRule="auto"/>
        <w:ind w:firstLine="422" w:firstLineChars="200"/>
        <w:rPr>
          <w:rFonts w:ascii="宋体" w:hAnsi="宋体"/>
          <w:b/>
          <w:bCs/>
          <w:color w:val="000000" w:themeColor="text1"/>
        </w:rPr>
      </w:pPr>
      <w:r>
        <w:rPr>
          <w:rFonts w:hint="eastAsia" w:ascii="宋体" w:hAnsi="宋体"/>
          <w:b/>
          <w:bCs/>
          <w:color w:val="000000" w:themeColor="text1"/>
        </w:rPr>
        <w:t>23、评审</w:t>
      </w:r>
    </w:p>
    <w:p>
      <w:pPr>
        <w:spacing w:line="360" w:lineRule="auto"/>
        <w:ind w:firstLine="422" w:firstLineChars="200"/>
        <w:rPr>
          <w:rFonts w:ascii="宋体" w:hAnsi="宋体"/>
          <w:b/>
          <w:bCs/>
          <w:color w:val="000000" w:themeColor="text1"/>
        </w:rPr>
      </w:pPr>
      <w:r>
        <w:rPr>
          <w:rFonts w:hint="eastAsia" w:ascii="宋体" w:hAnsi="宋体"/>
          <w:b/>
          <w:bCs/>
          <w:color w:val="000000" w:themeColor="text1"/>
        </w:rPr>
        <w:t>23.1实质性响应审查。（详见第四章）</w:t>
      </w:r>
    </w:p>
    <w:p>
      <w:pPr>
        <w:spacing w:line="360" w:lineRule="auto"/>
        <w:ind w:firstLine="420" w:firstLineChars="200"/>
        <w:rPr>
          <w:rFonts w:ascii="宋体" w:hAnsi="宋体"/>
          <w:b/>
          <w:bCs/>
          <w:color w:val="000000" w:themeColor="text1"/>
        </w:rPr>
      </w:pPr>
      <w:r>
        <w:rPr>
          <w:rFonts w:hint="eastAsia" w:ascii="宋体" w:hAnsi="宋体"/>
          <w:color w:val="000000" w:themeColor="text1"/>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13" w:firstLineChars="196"/>
        <w:rPr>
          <w:rFonts w:ascii="宋体" w:hAnsi="宋体"/>
          <w:b/>
          <w:bCs/>
          <w:color w:val="000000" w:themeColor="text1"/>
        </w:rPr>
      </w:pPr>
      <w:r>
        <w:rPr>
          <w:rFonts w:hint="eastAsia" w:ascii="宋体" w:hAnsi="宋体"/>
          <w:b/>
          <w:bCs/>
          <w:color w:val="000000" w:themeColor="text1"/>
        </w:rPr>
        <w:t>23.2综合评审。（评分办法详见第五章）</w:t>
      </w:r>
    </w:p>
    <w:p>
      <w:pPr>
        <w:spacing w:line="360" w:lineRule="auto"/>
        <w:ind w:firstLine="411" w:firstLineChars="196"/>
        <w:rPr>
          <w:rFonts w:ascii="宋体" w:hAnsi="宋体"/>
          <w:color w:val="000000" w:themeColor="text1"/>
        </w:rPr>
      </w:pPr>
      <w:r>
        <w:rPr>
          <w:rFonts w:hint="eastAsia" w:ascii="宋体" w:hAnsi="宋体"/>
          <w:color w:val="000000" w:themeColor="text1"/>
        </w:rPr>
        <w:t>磋商小组只对实质上响应磋商文件要求的磋商响应文件按照评分细则进行综合评审。</w:t>
      </w:r>
    </w:p>
    <w:p>
      <w:pPr>
        <w:spacing w:line="360" w:lineRule="auto"/>
        <w:ind w:firstLine="411" w:firstLineChars="196"/>
        <w:rPr>
          <w:rFonts w:ascii="宋体" w:hAnsi="宋体"/>
          <w:color w:val="000000" w:themeColor="text1"/>
        </w:rPr>
      </w:pPr>
      <w:r>
        <w:rPr>
          <w:rFonts w:hint="eastAsia" w:ascii="宋体" w:hAnsi="宋体"/>
          <w:color w:val="000000" w:themeColor="text1"/>
        </w:rPr>
        <w:t>23.2.1各供应商通过抽签方式随机产生磋商排列顺序，磋商小组将按顺序分别与供应商就商务技术内容进行磋商并进行商务技术评分。</w:t>
      </w:r>
    </w:p>
    <w:p>
      <w:pPr>
        <w:spacing w:line="360" w:lineRule="auto"/>
        <w:ind w:firstLine="411" w:firstLineChars="196"/>
        <w:rPr>
          <w:rFonts w:ascii="宋体" w:hAnsi="宋体"/>
          <w:b/>
          <w:bCs/>
          <w:color w:val="000000" w:themeColor="text1"/>
        </w:rPr>
      </w:pPr>
      <w:r>
        <w:rPr>
          <w:rFonts w:hint="eastAsia" w:ascii="宋体" w:hAnsi="宋体"/>
          <w:color w:val="000000" w:themeColor="text1"/>
        </w:rPr>
        <w:t>23.2.2磋商小组所有成员按顺序集中与单一供应商分别进行磋商，并给予所有参加磋商的供应商平等的磋商机会。磋商并不限定只进行二轮报价，如果磋商小组认为有必要，可以要求供应商进行多轮报价。</w:t>
      </w:r>
      <w:r>
        <w:rPr>
          <w:rFonts w:hint="eastAsia" w:ascii="宋体" w:hAnsi="宋体"/>
          <w:b/>
          <w:bCs/>
          <w:color w:val="000000" w:themeColor="text1"/>
        </w:rPr>
        <w:t>在磋商内容不做实质性变更及重大调整的前提下，供应商下轮报价不得高于上一轮报价。</w:t>
      </w:r>
    </w:p>
    <w:p>
      <w:pPr>
        <w:spacing w:line="360" w:lineRule="auto"/>
        <w:ind w:firstLine="411" w:firstLineChars="196"/>
        <w:rPr>
          <w:rFonts w:ascii="宋体" w:hAnsi="宋体"/>
          <w:color w:val="000000" w:themeColor="text1"/>
        </w:rPr>
      </w:pPr>
      <w:r>
        <w:rPr>
          <w:rFonts w:hint="eastAsia" w:ascii="宋体" w:hAnsi="宋体"/>
          <w:color w:val="000000" w:themeColor="text1"/>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最后报价也是签订合同的依据。</w:t>
      </w:r>
    </w:p>
    <w:p>
      <w:pPr>
        <w:spacing w:line="360" w:lineRule="auto"/>
        <w:ind w:firstLine="411" w:firstLineChars="196"/>
        <w:rPr>
          <w:rFonts w:ascii="宋体" w:hAnsi="宋体"/>
          <w:color w:val="000000" w:themeColor="text1"/>
        </w:rPr>
      </w:pPr>
      <w:r>
        <w:rPr>
          <w:rFonts w:hint="eastAsia" w:ascii="宋体" w:hAnsi="宋体"/>
          <w:color w:val="000000" w:themeColor="text1"/>
        </w:rPr>
        <w:t>23.2.3磋商小组将供应商的商务技术分和价格分汇总后得到供应商的最终评审得分，按照最终评审得分由高到低推荐成交候选人。</w:t>
      </w:r>
    </w:p>
    <w:p>
      <w:pPr>
        <w:spacing w:line="360" w:lineRule="auto"/>
        <w:ind w:firstLine="413" w:firstLineChars="196"/>
        <w:rPr>
          <w:rFonts w:ascii="宋体" w:hAnsi="宋体"/>
          <w:b/>
          <w:bCs/>
          <w:color w:val="000000" w:themeColor="text1"/>
        </w:rPr>
      </w:pPr>
      <w:r>
        <w:rPr>
          <w:rFonts w:hint="eastAsia" w:ascii="宋体" w:hAnsi="宋体"/>
          <w:b/>
          <w:bCs/>
          <w:color w:val="000000" w:themeColor="text1"/>
        </w:rPr>
        <w:t>最终评审得分出现两家或两家以上相同者，按最后报价由低到高排序确定成交候选供应商；评审总得分且最后报价相同的供应商，按照技术指标优劣顺序推荐。</w:t>
      </w:r>
    </w:p>
    <w:p>
      <w:pPr>
        <w:spacing w:line="360" w:lineRule="auto"/>
        <w:ind w:firstLine="411" w:firstLineChars="196"/>
        <w:rPr>
          <w:rFonts w:ascii="宋体" w:hAnsi="宋体"/>
          <w:color w:val="000000" w:themeColor="text1"/>
        </w:rPr>
      </w:pPr>
      <w:r>
        <w:rPr>
          <w:rFonts w:hint="eastAsia" w:ascii="宋体" w:hAnsi="宋体"/>
          <w:color w:val="000000" w:themeColor="text1"/>
        </w:rPr>
        <w:t>23.3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11" w:firstLineChars="196"/>
        <w:rPr>
          <w:rFonts w:ascii="宋体" w:hAnsi="宋体"/>
          <w:color w:val="000000" w:themeColor="text1"/>
        </w:rPr>
      </w:pPr>
      <w:r>
        <w:rPr>
          <w:rFonts w:hint="eastAsia" w:ascii="宋体" w:hAnsi="宋体"/>
          <w:color w:val="000000" w:themeColor="text1"/>
        </w:rPr>
        <w:t>23.4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pPr>
        <w:spacing w:line="500" w:lineRule="exact"/>
        <w:ind w:firstLine="315" w:firstLineChars="150"/>
        <w:jc w:val="left"/>
        <w:rPr>
          <w:rFonts w:ascii="宋体" w:hAnsi="宋体" w:cs="Arial"/>
          <w:color w:val="000000" w:themeColor="text1"/>
        </w:rPr>
      </w:pPr>
      <w:r>
        <w:rPr>
          <w:rFonts w:hint="eastAsia" w:ascii="宋体" w:hAnsi="宋体"/>
          <w:color w:val="000000" w:themeColor="text1"/>
        </w:rPr>
        <w:t>23.5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人递补，以此类推。</w:t>
      </w:r>
    </w:p>
    <w:p>
      <w:pPr>
        <w:spacing w:line="500" w:lineRule="exact"/>
        <w:ind w:left="517"/>
        <w:rPr>
          <w:rFonts w:ascii="宋体" w:hAnsi="宋体" w:cs="Arial"/>
          <w:b/>
          <w:bCs/>
          <w:color w:val="000000" w:themeColor="text1"/>
        </w:rPr>
      </w:pPr>
      <w:r>
        <w:rPr>
          <w:rFonts w:hint="eastAsia" w:ascii="宋体" w:hAnsi="宋体" w:cs="Arial"/>
          <w:b/>
          <w:bCs/>
          <w:color w:val="000000" w:themeColor="text1"/>
        </w:rPr>
        <w:t>24、异常情况处理</w:t>
      </w:r>
    </w:p>
    <w:p>
      <w:pPr>
        <w:spacing w:line="500" w:lineRule="exact"/>
        <w:ind w:left="517"/>
        <w:rPr>
          <w:rFonts w:ascii="宋体" w:hAnsi="宋体" w:cs="Arial"/>
          <w:b/>
          <w:bCs/>
          <w:color w:val="000000" w:themeColor="text1"/>
        </w:rPr>
      </w:pPr>
      <w:r>
        <w:rPr>
          <w:rFonts w:hint="eastAsia" w:ascii="宋体" w:hAnsi="宋体" w:cs="Arial"/>
          <w:color w:val="000000" w:themeColor="text1"/>
        </w:rPr>
        <w:t>24.1磋商时出现以下情况之一的，将重新组织磋商：</w:t>
      </w:r>
    </w:p>
    <w:p>
      <w:pPr>
        <w:spacing w:line="500" w:lineRule="exact"/>
        <w:ind w:left="540"/>
        <w:rPr>
          <w:rFonts w:ascii="宋体" w:hAnsi="宋体" w:cs="Arial"/>
          <w:color w:val="000000" w:themeColor="text1"/>
        </w:rPr>
      </w:pPr>
      <w:r>
        <w:rPr>
          <w:rFonts w:hint="eastAsia" w:ascii="宋体" w:hAnsi="宋体" w:cs="Arial"/>
          <w:color w:val="000000" w:themeColor="text1"/>
        </w:rPr>
        <w:t>1）供应商的报价均超过了采购预算，经过多轮磋商仍不能降到预算内、且采购人不能支付的；</w:t>
      </w:r>
    </w:p>
    <w:p>
      <w:pPr>
        <w:spacing w:line="500" w:lineRule="exact"/>
        <w:ind w:left="540"/>
        <w:rPr>
          <w:rFonts w:ascii="宋体" w:hAnsi="宋体" w:cs="Arial"/>
          <w:color w:val="000000" w:themeColor="text1"/>
        </w:rPr>
      </w:pPr>
      <w:r>
        <w:rPr>
          <w:rFonts w:hint="eastAsia" w:ascii="宋体" w:hAnsi="宋体" w:cs="Arial"/>
          <w:color w:val="000000" w:themeColor="text1"/>
        </w:rPr>
        <w:t>2）经过磋商，供应商所提供的货物服务仍无法满足磋商文件实质性要求、影响工作的；</w:t>
      </w:r>
    </w:p>
    <w:p>
      <w:pPr>
        <w:numPr>
          <w:ilvl w:val="0"/>
          <w:numId w:val="7"/>
        </w:numPr>
        <w:spacing w:line="500" w:lineRule="exact"/>
        <w:rPr>
          <w:rFonts w:ascii="宋体" w:hAnsi="宋体" w:cs="Arial"/>
          <w:color w:val="000000" w:themeColor="text1"/>
        </w:rPr>
      </w:pPr>
      <w:r>
        <w:rPr>
          <w:rFonts w:hint="eastAsia" w:ascii="宋体" w:hAnsi="宋体" w:cs="Arial"/>
          <w:color w:val="000000" w:themeColor="text1"/>
        </w:rPr>
        <w:t>出现影响采购公正的违法、违规行为的。</w:t>
      </w:r>
    </w:p>
    <w:p>
      <w:pPr>
        <w:spacing w:line="500" w:lineRule="exact"/>
        <w:rPr>
          <w:rFonts w:ascii="宋体" w:hAnsi="宋体" w:cs="Arial"/>
          <w:color w:val="000000" w:themeColor="text1"/>
        </w:rPr>
      </w:pPr>
    </w:p>
    <w:p>
      <w:pPr>
        <w:pStyle w:val="31"/>
        <w:rPr>
          <w:color w:val="000000" w:themeColor="text1"/>
        </w:rPr>
      </w:pPr>
      <w:bookmarkStart w:id="55" w:name="_Toc511899310"/>
      <w:bookmarkEnd w:id="55"/>
      <w:bookmarkStart w:id="56" w:name="_Toc9704"/>
      <w:bookmarkStart w:id="57" w:name="_Toc18987"/>
      <w:r>
        <w:rPr>
          <w:rFonts w:hint="eastAsia"/>
          <w:color w:val="000000" w:themeColor="text1"/>
        </w:rPr>
        <w:t>六、定标和授予合同</w:t>
      </w:r>
      <w:bookmarkEnd w:id="56"/>
      <w:bookmarkEnd w:id="57"/>
    </w:p>
    <w:p>
      <w:pPr>
        <w:spacing w:line="500" w:lineRule="exact"/>
        <w:ind w:left="517"/>
        <w:rPr>
          <w:rFonts w:ascii="宋体" w:hAnsi="宋体" w:cs="Arial"/>
          <w:b/>
          <w:bCs/>
          <w:color w:val="000000" w:themeColor="text1"/>
        </w:rPr>
      </w:pPr>
      <w:r>
        <w:rPr>
          <w:rFonts w:hint="eastAsia" w:ascii="宋体" w:hAnsi="宋体" w:cs="Arial"/>
          <w:b/>
          <w:bCs/>
          <w:color w:val="000000" w:themeColor="text1"/>
        </w:rPr>
        <w:t>25、定标方式</w:t>
      </w:r>
    </w:p>
    <w:p>
      <w:pPr>
        <w:spacing w:line="500" w:lineRule="exact"/>
        <w:ind w:firstLine="525" w:firstLineChars="250"/>
        <w:rPr>
          <w:rFonts w:ascii="宋体" w:hAnsi="宋体"/>
          <w:color w:val="000000" w:themeColor="text1"/>
          <w:shd w:val="clear" w:color="auto" w:fill="FFFFFF"/>
        </w:rPr>
      </w:pPr>
      <w:r>
        <w:rPr>
          <w:rFonts w:hint="eastAsia" w:ascii="宋体" w:hAnsi="宋体"/>
          <w:color w:val="000000" w:themeColor="text1"/>
          <w:shd w:val="clear" w:color="auto" w:fill="FFFFFF"/>
        </w:rPr>
        <w:t>25.1采购人应当在收到评审报告后</w:t>
      </w:r>
      <w:r>
        <w:rPr>
          <w:rFonts w:hint="eastAsia"/>
          <w:color w:val="000000" w:themeColor="text1"/>
          <w:shd w:val="clear" w:color="auto" w:fill="FFFFFF"/>
        </w:rPr>
        <w:t>5</w:t>
      </w:r>
      <w:r>
        <w:rPr>
          <w:rFonts w:hint="eastAsia" w:ascii="宋体" w:hAnsi="宋体"/>
          <w:color w:val="000000" w:themeColor="text1"/>
          <w:shd w:val="clear" w:color="auto" w:fill="FFFFFF"/>
        </w:rPr>
        <w:t>个工作日内，从评审报告提出的成交候选人中，按照排序由高到低的原则确定成交供应商。</w:t>
      </w:r>
    </w:p>
    <w:p>
      <w:pPr>
        <w:spacing w:line="500" w:lineRule="exact"/>
        <w:ind w:firstLine="525" w:firstLineChars="250"/>
        <w:rPr>
          <w:rFonts w:ascii="宋体" w:hAnsi="宋体" w:cs="Arial"/>
          <w:color w:val="000000" w:themeColor="text1"/>
        </w:rPr>
      </w:pPr>
      <w:r>
        <w:rPr>
          <w:rFonts w:hint="eastAsia" w:ascii="宋体" w:hAnsi="宋体"/>
          <w:color w:val="000000" w:themeColor="text1"/>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pPr>
        <w:spacing w:line="500" w:lineRule="exact"/>
        <w:ind w:firstLine="527" w:firstLineChars="250"/>
        <w:rPr>
          <w:rFonts w:ascii="宋体" w:hAnsi="宋体"/>
          <w:color w:val="000000" w:themeColor="text1"/>
          <w:shd w:val="clear" w:color="auto" w:fill="FFFFFF"/>
        </w:rPr>
      </w:pPr>
      <w:r>
        <w:rPr>
          <w:rFonts w:hint="eastAsia" w:ascii="宋体" w:hAnsi="宋体" w:cs="Arial"/>
          <w:b/>
          <w:bCs/>
          <w:color w:val="000000" w:themeColor="text1"/>
        </w:rPr>
        <w:t>26、签订合同</w:t>
      </w:r>
    </w:p>
    <w:p>
      <w:pPr>
        <w:spacing w:line="500" w:lineRule="exact"/>
        <w:ind w:firstLine="525" w:firstLineChars="250"/>
        <w:rPr>
          <w:rFonts w:ascii="宋体" w:hAnsi="宋体" w:cs="Arial"/>
          <w:color w:val="000000" w:themeColor="text1"/>
        </w:rPr>
      </w:pPr>
      <w:r>
        <w:rPr>
          <w:rFonts w:hint="eastAsia" w:ascii="宋体" w:hAnsi="宋体"/>
          <w:color w:val="000000" w:themeColor="text1"/>
          <w:shd w:val="clear" w:color="auto" w:fill="FFFFFF"/>
        </w:rPr>
        <w:t>26.1采购人与成交人应当在成交通知书发出之日起三十日内</w:t>
      </w:r>
      <w:r>
        <w:rPr>
          <w:rFonts w:hint="eastAsia" w:ascii="宋体" w:hAnsi="宋体" w:cs="Arial"/>
          <w:color w:val="000000" w:themeColor="text1"/>
        </w:rPr>
        <w:t>（具体时限本文件有约定的，按约定执行</w:t>
      </w:r>
      <w:r>
        <w:rPr>
          <w:rFonts w:hint="eastAsia" w:ascii="宋体" w:hAnsi="宋体"/>
          <w:color w:val="000000" w:themeColor="text1"/>
          <w:shd w:val="clear" w:color="auto" w:fill="FFFFFF"/>
        </w:rPr>
        <w:t>），按照磋商文件确定的合同文本以及采购标的、规格型号、采购金额、采购数量、技术和服务要求等事项签订政府采购合同。</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26.2采购人在签订合同时，可以在不改变合同其他条款的前提下变更采购数量，但变更的金额不得超过成交人原来总价的10%。</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26.3中标通知书发出后，采购人无正当理由不与成交供应商签订采购合同的，将依据相关规定给予处理。</w:t>
      </w:r>
    </w:p>
    <w:p>
      <w:pPr>
        <w:numPr>
          <w:ilvl w:val="0"/>
          <w:numId w:val="8"/>
        </w:numPr>
        <w:spacing w:line="500" w:lineRule="exact"/>
        <w:rPr>
          <w:rFonts w:ascii="宋体" w:hAnsi="宋体" w:cs="Arial"/>
          <w:b/>
          <w:bCs/>
          <w:color w:val="000000" w:themeColor="text1"/>
        </w:rPr>
      </w:pPr>
      <w:r>
        <w:rPr>
          <w:rFonts w:hint="eastAsia" w:ascii="宋体" w:hAnsi="宋体" w:cs="Arial"/>
          <w:b/>
          <w:bCs/>
          <w:color w:val="000000" w:themeColor="text1"/>
        </w:rPr>
        <w:t>履约保证金</w:t>
      </w:r>
    </w:p>
    <w:p>
      <w:pPr>
        <w:spacing w:before="93" w:after="93" w:line="540" w:lineRule="exact"/>
        <w:ind w:firstLine="630" w:firstLineChars="300"/>
        <w:rPr>
          <w:rFonts w:ascii="宋体" w:hAnsi="宋体" w:cs="Arial"/>
          <w:color w:val="000000" w:themeColor="text1"/>
        </w:rPr>
      </w:pPr>
      <w:r>
        <w:rPr>
          <w:rFonts w:hint="eastAsia" w:ascii="宋体" w:hAnsi="宋体" w:cs="Arial"/>
          <w:color w:val="000000" w:themeColor="text1"/>
        </w:rPr>
        <w:t>27.1 成交供应商在签订合同前必须按竞争性磋商文件的规定，及时、足额向采购人交纳履约保证金。</w:t>
      </w:r>
    </w:p>
    <w:p>
      <w:pPr>
        <w:spacing w:before="93" w:after="93" w:line="540" w:lineRule="exact"/>
        <w:ind w:firstLine="630" w:firstLineChars="300"/>
        <w:rPr>
          <w:rFonts w:ascii="宋体" w:hAnsi="宋体" w:cs="Arial"/>
          <w:color w:val="000000" w:themeColor="text1"/>
        </w:rPr>
      </w:pPr>
      <w:r>
        <w:rPr>
          <w:rFonts w:hint="eastAsia" w:ascii="宋体" w:hAnsi="宋体" w:cs="Arial"/>
          <w:color w:val="000000" w:themeColor="text1"/>
        </w:rPr>
        <w:t>27.2履约保证金是督促成交供应商按时、按质、按量履行合同的一个经济制约手段。当采购人因成交供应商违约而造成损失时，可在无须征得成交供应商同意的情况下首先从其所交纳的履约保证金中获取相应的补偿。</w:t>
      </w:r>
    </w:p>
    <w:p>
      <w:pPr>
        <w:spacing w:line="500" w:lineRule="exact"/>
        <w:ind w:left="840" w:hanging="840"/>
        <w:rPr>
          <w:rFonts w:ascii="宋体" w:hAnsi="宋体" w:cs="Arial"/>
          <w:color w:val="000000" w:themeColor="text1"/>
        </w:rPr>
      </w:pPr>
    </w:p>
    <w:p>
      <w:pPr>
        <w:pStyle w:val="31"/>
        <w:rPr>
          <w:color w:val="000000" w:themeColor="text1"/>
        </w:rPr>
      </w:pPr>
      <w:bookmarkStart w:id="58" w:name="_Toc511899311"/>
      <w:bookmarkEnd w:id="58"/>
      <w:bookmarkStart w:id="59" w:name="_Toc18233"/>
      <w:bookmarkStart w:id="60" w:name="_Toc11095"/>
      <w:r>
        <w:rPr>
          <w:rFonts w:hint="eastAsia"/>
          <w:color w:val="000000" w:themeColor="text1"/>
        </w:rPr>
        <w:t>七、质疑与投诉</w:t>
      </w:r>
      <w:bookmarkEnd w:id="59"/>
      <w:bookmarkEnd w:id="60"/>
    </w:p>
    <w:p>
      <w:pPr>
        <w:spacing w:line="500" w:lineRule="exact"/>
        <w:ind w:left="517"/>
        <w:rPr>
          <w:rFonts w:ascii="宋体" w:hAnsi="宋体" w:cs="Arial"/>
          <w:b/>
          <w:bCs/>
          <w:color w:val="000000" w:themeColor="text1"/>
        </w:rPr>
      </w:pPr>
      <w:r>
        <w:rPr>
          <w:rFonts w:hint="eastAsia" w:ascii="宋体" w:hAnsi="宋体" w:cs="Arial"/>
          <w:b/>
          <w:bCs/>
          <w:color w:val="000000" w:themeColor="text1"/>
        </w:rPr>
        <w:t>28、质疑</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28.1</w:t>
      </w:r>
      <w:r>
        <w:rPr>
          <w:rFonts w:ascii="宋体" w:hAnsi="宋体" w:cs="Arial"/>
          <w:color w:val="000000" w:themeColor="text1"/>
        </w:rPr>
        <w:t>参与</w:t>
      </w:r>
      <w:r>
        <w:rPr>
          <w:rFonts w:hint="eastAsia" w:ascii="宋体" w:hAnsi="宋体" w:cs="Arial"/>
          <w:color w:val="000000" w:themeColor="text1"/>
        </w:rPr>
        <w:t>本</w:t>
      </w:r>
      <w:r>
        <w:rPr>
          <w:rFonts w:ascii="宋体" w:hAnsi="宋体" w:cs="Arial"/>
          <w:color w:val="000000" w:themeColor="text1"/>
        </w:rPr>
        <w:t>项目采购活动的</w:t>
      </w:r>
      <w:r>
        <w:rPr>
          <w:rFonts w:hint="eastAsia" w:ascii="宋体" w:hAnsi="宋体" w:cs="Arial"/>
          <w:color w:val="000000" w:themeColor="text1"/>
        </w:rPr>
        <w:t>供应商（即递交了磋商响应文件的供应商）对成交结果提出质疑的，最迟可以在成交结果公告期限届满之日起七个工作日内，以书面形式向采购人或代理机构提出质疑。</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28.2</w:t>
      </w:r>
      <w:r>
        <w:rPr>
          <w:rFonts w:ascii="宋体" w:hAnsi="宋体" w:cs="Arial"/>
          <w:color w:val="000000" w:themeColor="text1"/>
        </w:rPr>
        <w:t>参与</w:t>
      </w:r>
      <w:r>
        <w:rPr>
          <w:rFonts w:hint="eastAsia" w:ascii="宋体" w:hAnsi="宋体" w:cs="Arial"/>
          <w:color w:val="000000" w:themeColor="text1"/>
        </w:rPr>
        <w:t>本</w:t>
      </w:r>
      <w:r>
        <w:rPr>
          <w:rFonts w:ascii="宋体" w:hAnsi="宋体" w:cs="Arial"/>
          <w:color w:val="000000" w:themeColor="text1"/>
        </w:rPr>
        <w:t>项目采购活动的</w:t>
      </w:r>
      <w:r>
        <w:rPr>
          <w:rFonts w:hint="eastAsia" w:ascii="宋体" w:hAnsi="宋体" w:cs="Arial"/>
          <w:color w:val="000000" w:themeColor="text1"/>
        </w:rPr>
        <w:t>供应商（即递交了磋商响应文件的供应商）认为采购过程使自己的权益受到损害的，可以在各采购程序环节结束之日起七个工作日内，以书面形式向采购人或代理机构提出质疑。</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 xml:space="preserve"> 28.3</w:t>
      </w:r>
      <w:r>
        <w:rPr>
          <w:rFonts w:hint="eastAsia" w:ascii="宋体" w:hAnsi="宋体"/>
          <w:color w:val="000000" w:themeColor="text1"/>
        </w:rPr>
        <w:t>质疑函的内容应包括</w:t>
      </w:r>
      <w:r>
        <w:rPr>
          <w:rFonts w:ascii="宋体" w:hAnsi="宋体" w:cs="Arial"/>
          <w:color w:val="000000" w:themeColor="text1"/>
        </w:rPr>
        <w:t>《政府采购质疑和投诉办法》</w:t>
      </w:r>
      <w:r>
        <w:rPr>
          <w:rFonts w:hint="eastAsia" w:ascii="宋体" w:hAnsi="宋体" w:cs="Arial"/>
          <w:color w:val="000000" w:themeColor="text1"/>
        </w:rPr>
        <w:t>（财政部令第</w:t>
      </w:r>
      <w:r>
        <w:rPr>
          <w:rFonts w:hint="eastAsia" w:ascii="Arial" w:hAnsi="Arial" w:cs="Arial"/>
          <w:color w:val="000000" w:themeColor="text1"/>
        </w:rPr>
        <w:t>94</w:t>
      </w:r>
      <w:r>
        <w:rPr>
          <w:rFonts w:hint="eastAsia" w:ascii="宋体" w:hAnsi="宋体" w:cs="Arial"/>
          <w:color w:val="000000" w:themeColor="text1"/>
        </w:rPr>
        <w:t>号）第十二条规定的内容，质疑函的格式可参照</w:t>
      </w:r>
      <w:r>
        <w:rPr>
          <w:rFonts w:hint="eastAsia" w:ascii="宋体" w:hAnsi="宋体"/>
          <w:color w:val="000000" w:themeColor="text1"/>
        </w:rPr>
        <w:t>宿州市公共资源交易中心门户网站办事流程--资料下载中的质疑函范本</w:t>
      </w:r>
      <w:r>
        <w:rPr>
          <w:rFonts w:hint="eastAsia" w:ascii="宋体" w:hAnsi="宋体" w:cs="Arial"/>
          <w:color w:val="000000" w:themeColor="text1"/>
        </w:rPr>
        <w:t>。</w:t>
      </w:r>
    </w:p>
    <w:p>
      <w:pPr>
        <w:spacing w:line="500" w:lineRule="exact"/>
        <w:ind w:firstLine="525" w:firstLineChars="250"/>
        <w:rPr>
          <w:rFonts w:ascii="宋体" w:hAnsi="宋体" w:cs="Arial"/>
          <w:color w:val="000000" w:themeColor="text1"/>
        </w:rPr>
      </w:pPr>
      <w:r>
        <w:rPr>
          <w:rFonts w:hint="eastAsia" w:ascii="宋体" w:hAnsi="宋体" w:cs="Arial"/>
          <w:color w:val="000000" w:themeColor="text1"/>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line="500" w:lineRule="exact"/>
        <w:ind w:firstLine="514" w:firstLineChars="245"/>
        <w:rPr>
          <w:rFonts w:ascii="宋体" w:hAnsi="宋体" w:cs="Arial"/>
          <w:color w:val="000000" w:themeColor="text1"/>
        </w:rPr>
      </w:pPr>
      <w:r>
        <w:rPr>
          <w:rFonts w:hint="eastAsia" w:ascii="宋体" w:hAnsi="宋体" w:cs="Arial"/>
          <w:color w:val="000000" w:themeColor="text1"/>
        </w:rPr>
        <w:t xml:space="preserve"> 28.5</w:t>
      </w:r>
      <w:r>
        <w:rPr>
          <w:rFonts w:hint="eastAsia" w:ascii="宋体" w:hAnsi="宋体"/>
          <w:color w:val="000000" w:themeColor="text1"/>
        </w:rPr>
        <w:t>供应商对同一环节的质疑，应</w:t>
      </w:r>
      <w:r>
        <w:rPr>
          <w:rFonts w:ascii="宋体" w:hAnsi="宋体" w:cs="Arial"/>
          <w:color w:val="000000" w:themeColor="text1"/>
        </w:rPr>
        <w:t>在法定质疑期内一次性提出</w:t>
      </w:r>
      <w:r>
        <w:rPr>
          <w:rFonts w:hint="eastAsia" w:ascii="宋体" w:hAnsi="宋体" w:cs="Arial"/>
          <w:color w:val="000000" w:themeColor="text1"/>
        </w:rPr>
        <w:t>，采购人或代理机构不再接受同一供应商针对同一环节提出的再次质疑。</w:t>
      </w:r>
    </w:p>
    <w:p>
      <w:pPr>
        <w:spacing w:before="93" w:after="93" w:line="540" w:lineRule="exact"/>
        <w:ind w:firstLine="527" w:firstLineChars="250"/>
        <w:rPr>
          <w:rFonts w:ascii="宋体" w:hAnsi="宋体" w:cs="Arial"/>
          <w:b/>
          <w:bCs/>
          <w:color w:val="000000" w:themeColor="text1"/>
        </w:rPr>
      </w:pPr>
      <w:r>
        <w:rPr>
          <w:rFonts w:hint="eastAsia" w:ascii="宋体" w:hAnsi="宋体" w:cs="Arial"/>
          <w:b/>
          <w:bCs/>
          <w:color w:val="000000" w:themeColor="text1"/>
        </w:rPr>
        <w:t>29、投诉</w:t>
      </w:r>
    </w:p>
    <w:p>
      <w:pPr>
        <w:spacing w:line="500" w:lineRule="exact"/>
        <w:ind w:firstLine="525" w:firstLineChars="250"/>
        <w:rPr>
          <w:rFonts w:ascii="宋体" w:hAnsi="宋体" w:cs="Arial"/>
          <w:b/>
          <w:bCs/>
          <w:color w:val="000000" w:themeColor="text1"/>
        </w:rPr>
      </w:pPr>
      <w:r>
        <w:rPr>
          <w:rFonts w:hint="eastAsia" w:ascii="宋体" w:hAnsi="宋体" w:cs="Arial"/>
          <w:color w:val="000000" w:themeColor="text1"/>
        </w:rPr>
        <w:t>29.1质疑人对采购单位的答复不满意，或者采购单位未在规定的时间内答复的，可以在答复期满后十五个工作日内按有关规定，向上级主管部门进行投诉。</w:t>
      </w:r>
    </w:p>
    <w:p>
      <w:pPr>
        <w:rPr>
          <w:rFonts w:ascii="Arial" w:hAnsi="Arial" w:cs="Arial"/>
          <w:b/>
          <w:bCs/>
          <w:color w:val="000000" w:themeColor="text1"/>
          <w:sz w:val="32"/>
          <w:szCs w:val="32"/>
        </w:rPr>
      </w:pPr>
      <w:bookmarkStart w:id="61" w:name="_Toc25214"/>
      <w:bookmarkStart w:id="62" w:name="_Toc16784"/>
      <w:r>
        <w:rPr>
          <w:rFonts w:hint="eastAsia" w:ascii="Arial" w:hAnsi="Arial" w:cs="Arial"/>
          <w:b/>
          <w:bCs/>
          <w:color w:val="000000" w:themeColor="text1"/>
          <w:sz w:val="32"/>
          <w:szCs w:val="32"/>
        </w:rPr>
        <w:br w:type="page"/>
      </w:r>
    </w:p>
    <w:p>
      <w:pPr>
        <w:jc w:val="center"/>
        <w:rPr>
          <w:color w:val="000000" w:themeColor="text1"/>
        </w:rPr>
      </w:pPr>
      <w:r>
        <w:rPr>
          <w:rFonts w:hint="eastAsia" w:ascii="Arial" w:hAnsi="Arial" w:cs="Arial"/>
          <w:b/>
          <w:bCs/>
          <w:color w:val="000000" w:themeColor="text1"/>
          <w:sz w:val="32"/>
          <w:szCs w:val="32"/>
        </w:rPr>
        <w:t xml:space="preserve">第七章 </w:t>
      </w:r>
      <w:bookmarkEnd w:id="61"/>
      <w:bookmarkEnd w:id="62"/>
      <w:bookmarkStart w:id="63" w:name="_Toc1671"/>
      <w:r>
        <w:rPr>
          <w:rFonts w:hint="eastAsia"/>
          <w:b/>
          <w:bCs/>
          <w:color w:val="000000" w:themeColor="text1"/>
          <w:sz w:val="32"/>
          <w:szCs w:val="32"/>
        </w:rPr>
        <w:t>合同条款及格式</w:t>
      </w:r>
    </w:p>
    <w:tbl>
      <w:tblPr>
        <w:tblStyle w:val="22"/>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vAlign w:val="center"/>
          </w:tcPr>
          <w:p>
            <w:pPr>
              <w:spacing w:line="500" w:lineRule="exact"/>
              <w:ind w:firstLine="525" w:firstLineChars="250"/>
              <w:rPr>
                <w:rFonts w:hint="eastAsia" w:ascii="宋体" w:hAnsi="宋体" w:cs="Arial"/>
                <w:color w:val="000000" w:themeColor="text1"/>
              </w:rPr>
            </w:pPr>
            <w:r>
              <w:rPr>
                <w:rFonts w:hint="eastAsia" w:ascii="宋体" w:hAnsi="宋体" w:cs="Arial"/>
                <w:color w:val="000000" w:themeColor="text1"/>
              </w:rPr>
              <w:t>序号</w:t>
            </w:r>
          </w:p>
        </w:tc>
        <w:tc>
          <w:tcPr>
            <w:tcW w:w="6635" w:type="dxa"/>
            <w:vAlign w:val="center"/>
          </w:tcPr>
          <w:p>
            <w:pPr>
              <w:spacing w:line="500" w:lineRule="exact"/>
              <w:ind w:firstLine="525" w:firstLineChars="250"/>
              <w:rPr>
                <w:rFonts w:hint="eastAsia" w:ascii="宋体" w:hAnsi="宋体" w:cs="Arial"/>
                <w:color w:val="000000" w:themeColor="text1"/>
              </w:rPr>
            </w:pPr>
            <w:r>
              <w:rPr>
                <w:rFonts w:hint="eastAsia" w:ascii="宋体" w:hAnsi="宋体" w:cs="Arial"/>
                <w:color w:val="000000" w:themeColor="text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vAlign w:val="center"/>
          </w:tcPr>
          <w:p>
            <w:pPr>
              <w:spacing w:line="500" w:lineRule="exact"/>
              <w:ind w:firstLine="525" w:firstLineChars="250"/>
              <w:rPr>
                <w:rFonts w:hint="eastAsia" w:ascii="宋体" w:hAnsi="宋体" w:cs="Arial"/>
                <w:color w:val="000000" w:themeColor="text1"/>
              </w:rPr>
            </w:pPr>
            <w:r>
              <w:rPr>
                <w:rFonts w:hint="eastAsia" w:ascii="宋体" w:hAnsi="宋体" w:cs="Arial"/>
                <w:color w:val="000000" w:themeColor="text1"/>
              </w:rPr>
              <w:t>1</w:t>
            </w:r>
          </w:p>
        </w:tc>
        <w:tc>
          <w:tcPr>
            <w:tcW w:w="6635" w:type="dxa"/>
            <w:vAlign w:val="center"/>
          </w:tcPr>
          <w:p>
            <w:pPr>
              <w:spacing w:line="500" w:lineRule="exact"/>
              <w:ind w:firstLine="525" w:firstLineChars="250"/>
              <w:rPr>
                <w:rFonts w:hint="eastAsia" w:ascii="宋体" w:hAnsi="宋体" w:cs="Arial"/>
                <w:color w:val="000000" w:themeColor="text1"/>
              </w:rPr>
            </w:pPr>
            <w:r>
              <w:rPr>
                <w:rFonts w:hint="eastAsia" w:ascii="宋体" w:hAnsi="宋体" w:cs="Arial"/>
                <w:color w:val="000000" w:themeColor="text1"/>
              </w:rPr>
              <w:t>付款人：皖北卫生职业学院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341" w:type="dxa"/>
            <w:vAlign w:val="center"/>
          </w:tcPr>
          <w:p>
            <w:pPr>
              <w:spacing w:line="500" w:lineRule="exact"/>
              <w:ind w:firstLine="525" w:firstLineChars="250"/>
              <w:rPr>
                <w:rFonts w:hint="eastAsia" w:ascii="宋体" w:hAnsi="宋体" w:cs="Arial"/>
                <w:color w:val="000000" w:themeColor="text1"/>
              </w:rPr>
            </w:pPr>
            <w:r>
              <w:rPr>
                <w:rFonts w:hint="eastAsia" w:ascii="宋体" w:hAnsi="宋体" w:cs="Arial"/>
                <w:color w:val="000000" w:themeColor="text1"/>
              </w:rPr>
              <w:t>2</w:t>
            </w:r>
          </w:p>
        </w:tc>
        <w:tc>
          <w:tcPr>
            <w:tcW w:w="6635" w:type="dxa"/>
            <w:vAlign w:val="center"/>
          </w:tcPr>
          <w:p>
            <w:pPr>
              <w:spacing w:line="500" w:lineRule="exact"/>
              <w:ind w:firstLine="525" w:firstLineChars="250"/>
              <w:rPr>
                <w:rFonts w:hint="eastAsia" w:ascii="宋体" w:hAnsi="宋体" w:cs="Arial"/>
                <w:color w:val="000000" w:themeColor="text1"/>
              </w:rPr>
            </w:pPr>
            <w:r>
              <w:rPr>
                <w:rFonts w:hint="eastAsia" w:ascii="宋体" w:hAnsi="宋体" w:cs="Arial"/>
                <w:color w:val="000000" w:themeColor="text1"/>
              </w:rPr>
              <w:t>付款条件：</w:t>
            </w:r>
            <w:r>
              <w:rPr>
                <w:rFonts w:hint="eastAsia" w:ascii="宋体" w:hAnsi="宋体" w:cs="Arial"/>
                <w:color w:val="000000" w:themeColor="text1"/>
                <w:lang w:val="en-US" w:eastAsia="zh-CN"/>
              </w:rPr>
              <w:t>签订合同后三天内支付审计费用50%，在出具审计报告初稿后付至审计费用100%。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341" w:type="dxa"/>
            <w:vAlign w:val="center"/>
          </w:tcPr>
          <w:p>
            <w:pPr>
              <w:spacing w:line="500" w:lineRule="exact"/>
              <w:ind w:firstLine="525" w:firstLineChars="250"/>
              <w:rPr>
                <w:rFonts w:hint="eastAsia" w:ascii="宋体" w:hAnsi="宋体" w:eastAsia="宋体" w:cs="Arial"/>
                <w:color w:val="000000" w:themeColor="text1"/>
                <w:lang w:val="en-US" w:eastAsia="zh-CN"/>
              </w:rPr>
            </w:pPr>
            <w:bookmarkStart w:id="64" w:name="_Toc6729"/>
            <w:r>
              <w:rPr>
                <w:rFonts w:hint="eastAsia" w:ascii="宋体" w:hAnsi="宋体" w:cs="Arial"/>
                <w:color w:val="000000" w:themeColor="text1"/>
                <w:lang w:val="en-US" w:eastAsia="zh-CN"/>
              </w:rPr>
              <w:t>3</w:t>
            </w:r>
          </w:p>
        </w:tc>
        <w:tc>
          <w:tcPr>
            <w:tcW w:w="6635" w:type="dxa"/>
            <w:vAlign w:val="center"/>
          </w:tcPr>
          <w:p>
            <w:pPr>
              <w:jc w:val="left"/>
              <w:rPr>
                <w:rFonts w:hint="eastAsia" w:ascii="宋体" w:hAnsi="宋体" w:cs="Arial"/>
                <w:color w:val="auto"/>
              </w:rPr>
            </w:pPr>
            <w:r>
              <w:rPr>
                <w:rFonts w:hint="eastAsia" w:ascii="宋体" w:hAnsi="宋体" w:cs="Arial"/>
                <w:color w:val="auto"/>
              </w:rPr>
              <w:t>履约保证金：签订合同前向采购人缴纳合同金额的2%的履约保证金。</w:t>
            </w:r>
          </w:p>
          <w:p>
            <w:pPr>
              <w:jc w:val="left"/>
              <w:rPr>
                <w:rFonts w:hint="eastAsia" w:ascii="宋体" w:hAnsi="宋体" w:cs="Arial"/>
                <w:color w:val="auto"/>
              </w:rPr>
            </w:pPr>
            <w:r>
              <w:rPr>
                <w:rFonts w:hint="eastAsia" w:ascii="宋体" w:hAnsi="宋体" w:cs="Arial"/>
                <w:color w:val="auto"/>
              </w:rPr>
              <w:t>履约保证金形式：转账、电汇、保函。</w:t>
            </w:r>
          </w:p>
          <w:p>
            <w:pPr>
              <w:spacing w:line="500" w:lineRule="exact"/>
              <w:ind w:firstLine="525" w:firstLineChars="250"/>
              <w:rPr>
                <w:rFonts w:hint="eastAsia" w:ascii="宋体" w:hAnsi="宋体" w:cs="Arial"/>
                <w:color w:val="000000" w:themeColor="text1"/>
              </w:rPr>
            </w:pPr>
            <w:r>
              <w:rPr>
                <w:rFonts w:hint="eastAsia" w:ascii="宋体" w:hAnsi="宋体" w:cs="Arial"/>
                <w:color w:val="auto"/>
              </w:rPr>
              <w:t>退还时间：合同履行结束服务期已满且项目验收合格后退还。</w:t>
            </w:r>
          </w:p>
        </w:tc>
      </w:tr>
      <w:bookmarkEnd w:id="64"/>
    </w:tbl>
    <w:p>
      <w:pPr>
        <w:jc w:val="center"/>
        <w:outlineLvl w:val="1"/>
        <w:rPr>
          <w:rFonts w:hint="eastAsia" w:ascii="宋体" w:hAnsi="宋体" w:eastAsia="宋体" w:cs="宋体"/>
          <w:color w:val="auto"/>
          <w:sz w:val="32"/>
          <w:szCs w:val="32"/>
        </w:rPr>
      </w:pPr>
      <w:bookmarkStart w:id="65" w:name="_Toc23040"/>
      <w:bookmarkStart w:id="66" w:name="_Toc2761"/>
      <w:bookmarkStart w:id="67" w:name="_Toc14659"/>
      <w:bookmarkStart w:id="68" w:name="_Toc30944"/>
      <w:bookmarkStart w:id="69" w:name="_Toc727"/>
      <w:bookmarkStart w:id="70" w:name="_Toc897"/>
      <w:bookmarkStart w:id="71" w:name="_Toc26470"/>
      <w:bookmarkStart w:id="72" w:name="_Toc1174"/>
      <w:bookmarkStart w:id="73" w:name="_Toc11438"/>
      <w:r>
        <w:rPr>
          <w:rFonts w:hint="eastAsia" w:ascii="宋体" w:hAnsi="宋体" w:eastAsia="宋体" w:cs="宋体"/>
          <w:b/>
          <w:bCs w:val="0"/>
          <w:color w:val="auto"/>
          <w:kern w:val="2"/>
          <w:sz w:val="32"/>
          <w:szCs w:val="32"/>
          <w:lang w:val="en-US" w:eastAsia="zh-CN" w:bidi="ar-SA"/>
        </w:rPr>
        <w:t>二、合同条款</w:t>
      </w:r>
      <w:bookmarkEnd w:id="65"/>
      <w:bookmarkEnd w:id="66"/>
      <w:bookmarkEnd w:id="67"/>
      <w:bookmarkEnd w:id="68"/>
      <w:bookmarkEnd w:id="69"/>
      <w:bookmarkEnd w:id="70"/>
      <w:bookmarkEnd w:id="71"/>
      <w:bookmarkEnd w:id="72"/>
      <w:bookmarkEnd w:id="73"/>
    </w:p>
    <w:p>
      <w:pPr>
        <w:snapToGrid w:val="0"/>
        <w:spacing w:after="156" w:afterLines="50" w:line="312" w:lineRule="auto"/>
        <w:ind w:firstLine="413" w:firstLineChars="196"/>
        <w:rPr>
          <w:rFonts w:hint="eastAsia" w:ascii="宋体" w:hAnsi="宋体" w:eastAsia="宋体" w:cs="宋体"/>
          <w:b/>
          <w:bCs/>
          <w:color w:val="auto"/>
          <w:sz w:val="21"/>
          <w:szCs w:val="21"/>
        </w:rPr>
      </w:pPr>
      <w:r>
        <w:rPr>
          <w:rFonts w:hint="eastAsia" w:ascii="宋体" w:hAnsi="宋体" w:eastAsia="宋体" w:cs="宋体"/>
          <w:b/>
          <w:bCs/>
          <w:color w:val="auto"/>
          <w:sz w:val="21"/>
          <w:szCs w:val="21"/>
        </w:rPr>
        <w:t>1. 术语的定义</w:t>
      </w:r>
    </w:p>
    <w:p>
      <w:pPr>
        <w:snapToGrid w:val="0"/>
        <w:spacing w:after="156" w:afterLines="50" w:line="312"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1.1本</w:t>
      </w:r>
      <w:r>
        <w:rPr>
          <w:rFonts w:hint="eastAsia" w:ascii="宋体" w:hAnsi="宋体" w:eastAsia="宋体" w:cs="宋体"/>
          <w:color w:val="auto"/>
          <w:sz w:val="21"/>
          <w:szCs w:val="21"/>
        </w:rPr>
        <w:t>合同下列术语应解释为：</w:t>
      </w:r>
    </w:p>
    <w:p>
      <w:pPr>
        <w:pStyle w:val="14"/>
        <w:snapToGrid w:val="0"/>
        <w:spacing w:after="156" w:afterLines="50" w:line="312"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（1）“合同”是指委托和受托双方签署的、合同格式中载明的委托和受托双方所达成的协议，包括所有的附件、附录和构成合同的所有文件。</w:t>
      </w:r>
    </w:p>
    <w:p>
      <w:pPr>
        <w:pStyle w:val="14"/>
        <w:snapToGrid w:val="0"/>
        <w:spacing w:after="156" w:afterLines="50" w:line="312"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（2）“合同价”是指根据合同规定，</w:t>
      </w:r>
      <w:r>
        <w:rPr>
          <w:rFonts w:hint="eastAsia" w:ascii="宋体" w:hAnsi="宋体" w:eastAsia="宋体" w:cs="宋体"/>
          <w:b w:val="0"/>
          <w:bCs w:val="0"/>
          <w:color w:val="auto"/>
          <w:sz w:val="21"/>
          <w:szCs w:val="21"/>
          <w:lang w:eastAsia="zh-CN"/>
        </w:rPr>
        <w:t>成交</w:t>
      </w:r>
      <w:r>
        <w:rPr>
          <w:rFonts w:hint="eastAsia" w:ascii="宋体" w:hAnsi="宋体" w:eastAsia="宋体" w:cs="宋体"/>
          <w:b w:val="0"/>
          <w:bCs w:val="0"/>
          <w:color w:val="auto"/>
          <w:sz w:val="21"/>
          <w:szCs w:val="21"/>
        </w:rPr>
        <w:t>供应商在正确地完全履行合同义务后采购人应支付给</w:t>
      </w:r>
      <w:r>
        <w:rPr>
          <w:rFonts w:hint="eastAsia" w:ascii="宋体" w:hAnsi="宋体" w:eastAsia="宋体" w:cs="宋体"/>
          <w:b w:val="0"/>
          <w:bCs w:val="0"/>
          <w:color w:val="auto"/>
          <w:sz w:val="21"/>
          <w:szCs w:val="21"/>
          <w:lang w:eastAsia="zh-CN"/>
        </w:rPr>
        <w:t>成交</w:t>
      </w:r>
      <w:r>
        <w:rPr>
          <w:rFonts w:hint="eastAsia" w:ascii="宋体" w:hAnsi="宋体" w:eastAsia="宋体" w:cs="宋体"/>
          <w:b w:val="0"/>
          <w:bCs w:val="0"/>
          <w:color w:val="auto"/>
          <w:sz w:val="21"/>
          <w:szCs w:val="21"/>
        </w:rPr>
        <w:t>供应商的货币数量。</w:t>
      </w:r>
    </w:p>
    <w:p>
      <w:pPr>
        <w:pStyle w:val="14"/>
        <w:snapToGrid w:val="0"/>
        <w:spacing w:after="156" w:afterLines="50" w:line="312"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（3）“服务”是指</w:t>
      </w:r>
      <w:r>
        <w:rPr>
          <w:rFonts w:hint="eastAsia" w:ascii="宋体" w:hAnsi="宋体" w:eastAsia="宋体" w:cs="宋体"/>
          <w:b w:val="0"/>
          <w:bCs w:val="0"/>
          <w:color w:val="auto"/>
          <w:sz w:val="21"/>
          <w:szCs w:val="21"/>
          <w:highlight w:val="none"/>
        </w:rPr>
        <w:t>采购</w:t>
      </w:r>
      <w:r>
        <w:rPr>
          <w:rFonts w:hint="eastAsia" w:ascii="宋体" w:hAnsi="宋体" w:eastAsia="宋体" w:cs="宋体"/>
          <w:b w:val="0"/>
          <w:bCs w:val="0"/>
          <w:color w:val="auto"/>
          <w:sz w:val="21"/>
          <w:szCs w:val="21"/>
        </w:rPr>
        <w:t>合同服务清单（同</w:t>
      </w:r>
      <w:r>
        <w:rPr>
          <w:rFonts w:hint="eastAsia" w:ascii="宋体" w:hAnsi="宋体" w:eastAsia="宋体" w:cs="宋体"/>
          <w:b w:val="0"/>
          <w:bCs w:val="0"/>
          <w:color w:val="auto"/>
          <w:sz w:val="21"/>
          <w:szCs w:val="21"/>
          <w:lang w:eastAsia="zh-CN"/>
        </w:rPr>
        <w:t>谈判响应</w:t>
      </w:r>
      <w:r>
        <w:rPr>
          <w:rFonts w:hint="eastAsia" w:ascii="宋体" w:hAnsi="宋体" w:eastAsia="宋体" w:cs="宋体"/>
          <w:b w:val="0"/>
          <w:bCs w:val="0"/>
          <w:color w:val="auto"/>
          <w:sz w:val="21"/>
          <w:szCs w:val="21"/>
        </w:rPr>
        <w:t>文件中开标一览表及其附表，下同）中所规定的服务内容。</w:t>
      </w:r>
    </w:p>
    <w:p>
      <w:pPr>
        <w:pStyle w:val="14"/>
        <w:snapToGrid w:val="0"/>
        <w:spacing w:after="156" w:afterLines="50" w:line="312"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（4）“合同条款”是指本章所述全部内容。</w:t>
      </w:r>
    </w:p>
    <w:p>
      <w:pPr>
        <w:pStyle w:val="14"/>
        <w:snapToGrid w:val="0"/>
        <w:spacing w:after="156" w:afterLines="50" w:line="312"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（5）“合同特殊条款”是指采购文件正文部分第一章“合同特殊条款”。</w:t>
      </w:r>
    </w:p>
    <w:p>
      <w:pPr>
        <w:pStyle w:val="14"/>
        <w:snapToGrid w:val="0"/>
        <w:spacing w:after="156" w:afterLines="50" w:line="312"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（6）“采购人”是指采购文件正文部分第一章“</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人须知前附表”中所述购买服务的单位。</w:t>
      </w:r>
    </w:p>
    <w:p>
      <w:pPr>
        <w:pStyle w:val="14"/>
        <w:snapToGrid w:val="0"/>
        <w:spacing w:after="156" w:afterLines="50" w:line="312"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w:t>
      </w:r>
      <w:r>
        <w:rPr>
          <w:rFonts w:hint="eastAsia" w:ascii="宋体" w:hAnsi="宋体" w:eastAsia="宋体" w:cs="宋体"/>
          <w:b w:val="0"/>
          <w:bCs w:val="0"/>
          <w:color w:val="auto"/>
          <w:sz w:val="21"/>
          <w:szCs w:val="21"/>
          <w:lang w:eastAsia="zh-CN"/>
        </w:rPr>
        <w:t>成交</w:t>
      </w:r>
      <w:r>
        <w:rPr>
          <w:rFonts w:hint="eastAsia" w:ascii="宋体" w:hAnsi="宋体" w:eastAsia="宋体" w:cs="宋体"/>
          <w:b w:val="0"/>
          <w:bCs w:val="0"/>
          <w:color w:val="auto"/>
          <w:sz w:val="21"/>
          <w:szCs w:val="21"/>
        </w:rPr>
        <w:t>供应商”是指通过采购确定的提供采购文件正文部分第八章“服务需求”中所述服务的成交供应商。</w:t>
      </w:r>
    </w:p>
    <w:p>
      <w:pPr>
        <w:pStyle w:val="14"/>
        <w:snapToGrid w:val="0"/>
        <w:spacing w:after="156" w:afterLines="50" w:line="312"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（8）“现场”是指合同规定的履行相关服务的地点。</w:t>
      </w:r>
    </w:p>
    <w:p>
      <w:pPr>
        <w:pStyle w:val="14"/>
        <w:snapToGrid w:val="0"/>
        <w:spacing w:after="156" w:afterLines="50" w:line="312"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（9）“验收”是指委托、受托双方依据强制性的国家技术质量规范和合同规定，确认合同项下的服务符合合同规定的活动。</w:t>
      </w:r>
    </w:p>
    <w:p>
      <w:pPr>
        <w:pStyle w:val="14"/>
        <w:snapToGrid w:val="0"/>
        <w:spacing w:after="156" w:afterLines="50" w:line="312"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（10）“天”指日历天数（如无特别说明）。</w:t>
      </w:r>
    </w:p>
    <w:p>
      <w:pPr>
        <w:pStyle w:val="14"/>
        <w:snapToGrid w:val="0"/>
        <w:spacing w:after="156" w:afterLines="50" w:line="312"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（11）“检验”是指采购人按照合同约定的标准对</w:t>
      </w:r>
      <w:r>
        <w:rPr>
          <w:rFonts w:hint="eastAsia" w:ascii="宋体" w:hAnsi="宋体" w:eastAsia="宋体" w:cs="宋体"/>
          <w:b w:val="0"/>
          <w:bCs w:val="0"/>
          <w:color w:val="auto"/>
          <w:sz w:val="21"/>
          <w:szCs w:val="21"/>
          <w:lang w:eastAsia="zh-CN"/>
        </w:rPr>
        <w:t>成交</w:t>
      </w:r>
      <w:r>
        <w:rPr>
          <w:rFonts w:hint="eastAsia" w:ascii="宋体" w:hAnsi="宋体" w:eastAsia="宋体" w:cs="宋体"/>
          <w:b w:val="0"/>
          <w:bCs w:val="0"/>
          <w:color w:val="auto"/>
          <w:sz w:val="21"/>
          <w:szCs w:val="21"/>
        </w:rPr>
        <w:t>供应商所提供的服务进行的检测与查验。</w:t>
      </w:r>
    </w:p>
    <w:p>
      <w:pPr>
        <w:pStyle w:val="14"/>
        <w:snapToGrid w:val="0"/>
        <w:spacing w:after="156" w:afterLines="50" w:line="312"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（12）“检验合格证书”是指检验完成后由采购人和</w:t>
      </w:r>
      <w:r>
        <w:rPr>
          <w:rFonts w:hint="eastAsia" w:ascii="宋体" w:hAnsi="宋体" w:eastAsia="宋体" w:cs="宋体"/>
          <w:b w:val="0"/>
          <w:bCs w:val="0"/>
          <w:color w:val="auto"/>
          <w:sz w:val="21"/>
          <w:szCs w:val="21"/>
          <w:lang w:eastAsia="zh-CN"/>
        </w:rPr>
        <w:t>成交</w:t>
      </w:r>
      <w:r>
        <w:rPr>
          <w:rFonts w:hint="eastAsia" w:ascii="宋体" w:hAnsi="宋体" w:eastAsia="宋体" w:cs="宋体"/>
          <w:b w:val="0"/>
          <w:bCs w:val="0"/>
          <w:color w:val="auto"/>
          <w:sz w:val="21"/>
          <w:szCs w:val="21"/>
        </w:rPr>
        <w:t>供应商共同签署的检验合格确认书。</w:t>
      </w:r>
    </w:p>
    <w:p>
      <w:pPr>
        <w:pStyle w:val="14"/>
        <w:snapToGrid w:val="0"/>
        <w:spacing w:after="156" w:afterLines="50" w:line="312" w:lineRule="auto"/>
        <w:ind w:firstLine="420" w:firstLineChars="200"/>
        <w:rPr>
          <w:rFonts w:hint="eastAsia" w:ascii="宋体" w:hAnsi="宋体" w:eastAsia="宋体" w:cs="宋体"/>
          <w:b w:val="0"/>
          <w:bCs w:val="0"/>
          <w:color w:val="auto"/>
          <w:sz w:val="21"/>
          <w:szCs w:val="21"/>
          <w:highlight w:val="cyan"/>
        </w:rPr>
      </w:pPr>
      <w:r>
        <w:rPr>
          <w:rFonts w:hint="eastAsia" w:ascii="宋体" w:hAnsi="宋体" w:eastAsia="宋体" w:cs="宋体"/>
          <w:b w:val="0"/>
          <w:bCs w:val="0"/>
          <w:color w:val="auto"/>
          <w:sz w:val="21"/>
          <w:szCs w:val="21"/>
        </w:rPr>
        <w:t>（13）</w:t>
      </w:r>
      <w:r>
        <w:rPr>
          <w:rFonts w:hint="eastAsia" w:ascii="宋体" w:hAnsi="宋体" w:eastAsia="宋体" w:cs="宋体"/>
          <w:b w:val="0"/>
          <w:bCs w:val="0"/>
          <w:color w:val="auto"/>
          <w:sz w:val="21"/>
          <w:szCs w:val="21"/>
          <w:highlight w:val="none"/>
        </w:rPr>
        <w:t>“政府采购项目验收单”是指采购人根据检验合格证书签署的报同级政府采购监管部门的最终验收确认书。</w:t>
      </w:r>
    </w:p>
    <w:p>
      <w:pPr>
        <w:pStyle w:val="14"/>
        <w:snapToGrid w:val="0"/>
        <w:spacing w:after="156" w:afterLines="50" w:line="312"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（14）“第三方”是指合同双方以外的任何中国境内、外的自然人、法人或其他经济组织。</w:t>
      </w:r>
    </w:p>
    <w:p>
      <w:pPr>
        <w:pStyle w:val="14"/>
        <w:snapToGrid w:val="0"/>
        <w:spacing w:after="156" w:afterLines="50" w:line="312"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（15）“法律、法规”是指由中国各级政府及有关部门制定的法律、行政法规、地方性法规、规章及其他规范性文件。</w:t>
      </w:r>
    </w:p>
    <w:p>
      <w:pPr>
        <w:pStyle w:val="14"/>
        <w:snapToGrid w:val="0"/>
        <w:spacing w:after="156" w:afterLines="50" w:line="312"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（16）“采购文件”是指由</w:t>
      </w:r>
      <w:r>
        <w:rPr>
          <w:rFonts w:hint="eastAsia" w:ascii="宋体" w:hAnsi="宋体" w:eastAsia="宋体" w:cs="宋体"/>
          <w:b w:val="0"/>
          <w:bCs w:val="0"/>
          <w:color w:val="auto"/>
          <w:sz w:val="21"/>
          <w:szCs w:val="21"/>
          <w:lang w:eastAsia="zh-CN"/>
        </w:rPr>
        <w:t>采购</w:t>
      </w:r>
      <w:r>
        <w:rPr>
          <w:rFonts w:hint="eastAsia" w:ascii="宋体" w:hAnsi="宋体" w:eastAsia="宋体" w:cs="宋体"/>
          <w:b w:val="0"/>
          <w:bCs w:val="0"/>
          <w:color w:val="auto"/>
          <w:sz w:val="21"/>
          <w:szCs w:val="21"/>
        </w:rPr>
        <w:t>代理机构发布的采购文本。</w:t>
      </w:r>
    </w:p>
    <w:p>
      <w:pPr>
        <w:pStyle w:val="14"/>
        <w:snapToGrid w:val="0"/>
        <w:spacing w:after="156" w:afterLines="50"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b w:val="0"/>
          <w:bCs w:val="0"/>
          <w:color w:val="auto"/>
          <w:kern w:val="0"/>
          <w:sz w:val="21"/>
          <w:szCs w:val="21"/>
        </w:rPr>
        <w:t>（17）“</w:t>
      </w:r>
      <w:r>
        <w:rPr>
          <w:rFonts w:hint="eastAsia" w:ascii="宋体" w:hAnsi="宋体" w:eastAsia="宋体" w:cs="宋体"/>
          <w:b w:val="0"/>
          <w:bCs w:val="0"/>
          <w:color w:val="auto"/>
          <w:kern w:val="0"/>
          <w:sz w:val="21"/>
          <w:szCs w:val="21"/>
          <w:lang w:eastAsia="zh-CN"/>
        </w:rPr>
        <w:t>谈判响应</w:t>
      </w:r>
      <w:r>
        <w:rPr>
          <w:rFonts w:hint="eastAsia" w:ascii="宋体" w:hAnsi="宋体" w:eastAsia="宋体" w:cs="宋体"/>
          <w:b w:val="0"/>
          <w:bCs w:val="0"/>
          <w:color w:val="auto"/>
          <w:kern w:val="0"/>
          <w:sz w:val="21"/>
          <w:szCs w:val="21"/>
        </w:rPr>
        <w:t>文件”是指</w:t>
      </w:r>
      <w:r>
        <w:rPr>
          <w:rFonts w:hint="eastAsia" w:ascii="宋体" w:hAnsi="宋体" w:eastAsia="宋体" w:cs="宋体"/>
          <w:b w:val="0"/>
          <w:bCs w:val="0"/>
          <w:color w:val="auto"/>
          <w:kern w:val="0"/>
          <w:sz w:val="21"/>
          <w:szCs w:val="21"/>
          <w:lang w:eastAsia="zh-CN"/>
        </w:rPr>
        <w:t>成交</w:t>
      </w:r>
      <w:r>
        <w:rPr>
          <w:rFonts w:hint="eastAsia" w:ascii="宋体" w:hAnsi="宋体" w:eastAsia="宋体" w:cs="宋体"/>
          <w:b w:val="0"/>
          <w:bCs w:val="0"/>
          <w:color w:val="auto"/>
          <w:kern w:val="0"/>
          <w:sz w:val="21"/>
          <w:szCs w:val="21"/>
        </w:rPr>
        <w:t>供应商按照</w:t>
      </w:r>
      <w:r>
        <w:rPr>
          <w:rFonts w:hint="eastAsia" w:ascii="宋体" w:hAnsi="宋体" w:eastAsia="宋体" w:cs="宋体"/>
          <w:b w:val="0"/>
          <w:bCs w:val="0"/>
          <w:color w:val="auto"/>
          <w:kern w:val="0"/>
          <w:sz w:val="21"/>
          <w:szCs w:val="21"/>
          <w:lang w:eastAsia="zh-CN"/>
        </w:rPr>
        <w:t>采购</w:t>
      </w:r>
      <w:r>
        <w:rPr>
          <w:rFonts w:hint="eastAsia" w:ascii="宋体" w:hAnsi="宋体" w:eastAsia="宋体" w:cs="宋体"/>
          <w:b w:val="0"/>
          <w:bCs w:val="0"/>
          <w:color w:val="auto"/>
          <w:kern w:val="0"/>
          <w:sz w:val="21"/>
          <w:szCs w:val="21"/>
        </w:rPr>
        <w:t>代理机构发布的采购文件的要求编制、</w:t>
      </w:r>
      <w:r>
        <w:rPr>
          <w:rFonts w:hint="eastAsia" w:ascii="宋体" w:hAnsi="宋体" w:eastAsia="宋体" w:cs="宋体"/>
          <w:b w:val="0"/>
          <w:bCs w:val="0"/>
          <w:color w:val="auto"/>
          <w:kern w:val="0"/>
          <w:sz w:val="21"/>
          <w:szCs w:val="21"/>
          <w:lang w:val="en-US" w:eastAsia="zh-CN"/>
        </w:rPr>
        <w:t>上传</w:t>
      </w:r>
      <w:r>
        <w:rPr>
          <w:rFonts w:hint="eastAsia" w:ascii="宋体" w:hAnsi="宋体" w:eastAsia="宋体" w:cs="宋体"/>
          <w:b w:val="0"/>
          <w:bCs w:val="0"/>
          <w:color w:val="auto"/>
          <w:kern w:val="0"/>
          <w:sz w:val="21"/>
          <w:szCs w:val="21"/>
        </w:rPr>
        <w:t>并最终被评审小组接受的</w:t>
      </w:r>
      <w:r>
        <w:rPr>
          <w:rFonts w:hint="eastAsia" w:ascii="宋体" w:hAnsi="宋体" w:eastAsia="宋体" w:cs="宋体"/>
          <w:b w:val="0"/>
          <w:bCs w:val="0"/>
          <w:color w:val="auto"/>
          <w:kern w:val="0"/>
          <w:sz w:val="21"/>
          <w:szCs w:val="21"/>
          <w:lang w:eastAsia="zh-CN"/>
        </w:rPr>
        <w:t>谈判响应</w:t>
      </w:r>
      <w:r>
        <w:rPr>
          <w:rFonts w:hint="eastAsia" w:ascii="宋体" w:hAnsi="宋体" w:eastAsia="宋体" w:cs="宋体"/>
          <w:b w:val="0"/>
          <w:bCs w:val="0"/>
          <w:color w:val="auto"/>
          <w:kern w:val="0"/>
          <w:sz w:val="21"/>
          <w:szCs w:val="21"/>
        </w:rPr>
        <w:t>文本。</w:t>
      </w:r>
    </w:p>
    <w:p>
      <w:pPr>
        <w:pStyle w:val="14"/>
        <w:snapToGrid w:val="0"/>
        <w:spacing w:after="156" w:afterLines="50" w:line="312" w:lineRule="auto"/>
        <w:ind w:left="0" w:leftChars="0" w:firstLine="422" w:firstLineChars="200"/>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rPr>
        <w:t>2.</w:t>
      </w:r>
      <w:r>
        <w:rPr>
          <w:rFonts w:hint="eastAsia" w:ascii="宋体" w:hAnsi="宋体" w:eastAsia="宋体" w:cs="宋体"/>
          <w:b/>
          <w:bCs/>
          <w:color w:val="auto"/>
          <w:kern w:val="0"/>
          <w:sz w:val="21"/>
          <w:szCs w:val="21"/>
        </w:rPr>
        <w:t>技术规范与服务内容</w:t>
      </w:r>
    </w:p>
    <w:p>
      <w:pPr>
        <w:pStyle w:val="14"/>
        <w:snapToGrid w:val="0"/>
        <w:spacing w:after="156" w:afterLines="50" w:line="312" w:lineRule="auto"/>
        <w:ind w:left="0" w:leftChars="0"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2.1 </w:t>
      </w:r>
      <w:r>
        <w:rPr>
          <w:rFonts w:hint="eastAsia" w:ascii="宋体" w:hAnsi="宋体" w:eastAsia="宋体" w:cs="宋体"/>
          <w:b w:val="0"/>
          <w:bCs w:val="0"/>
          <w:color w:val="auto"/>
          <w:kern w:val="0"/>
          <w:sz w:val="21"/>
          <w:szCs w:val="21"/>
          <w:lang w:eastAsia="zh-CN"/>
        </w:rPr>
        <w:t>采购</w:t>
      </w:r>
      <w:r>
        <w:rPr>
          <w:rFonts w:hint="eastAsia" w:ascii="宋体" w:hAnsi="宋体" w:eastAsia="宋体" w:cs="宋体"/>
          <w:b w:val="0"/>
          <w:bCs w:val="0"/>
          <w:color w:val="auto"/>
          <w:kern w:val="0"/>
          <w:sz w:val="21"/>
          <w:szCs w:val="21"/>
        </w:rPr>
        <w:t>服务的技术规范应与采购文件规定的技术规范（如果有的话）相一致。若无相应说明，则以国家有关部门最新颁布的相应标准及规范为准。</w:t>
      </w:r>
    </w:p>
    <w:p>
      <w:pPr>
        <w:snapToGrid w:val="0"/>
        <w:spacing w:after="156" w:afterLines="50" w:line="312"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2.2 </w:t>
      </w:r>
      <w:r>
        <w:rPr>
          <w:rFonts w:hint="eastAsia" w:ascii="宋体" w:hAnsi="宋体" w:eastAsia="宋体" w:cs="宋体"/>
          <w:color w:val="auto"/>
          <w:kern w:val="0"/>
          <w:sz w:val="21"/>
          <w:szCs w:val="21"/>
          <w:lang w:eastAsia="zh-CN"/>
        </w:rPr>
        <w:t>采购</w:t>
      </w:r>
      <w:r>
        <w:rPr>
          <w:rFonts w:hint="eastAsia" w:ascii="宋体" w:hAnsi="宋体" w:eastAsia="宋体" w:cs="宋体"/>
          <w:color w:val="auto"/>
          <w:kern w:val="0"/>
          <w:sz w:val="21"/>
          <w:szCs w:val="21"/>
        </w:rPr>
        <w:t>服务的服务内容应与采购文件规定的服务内容及</w:t>
      </w:r>
      <w:r>
        <w:rPr>
          <w:rFonts w:hint="eastAsia" w:ascii="宋体" w:hAnsi="宋体" w:eastAsia="宋体" w:cs="宋体"/>
          <w:color w:val="auto"/>
          <w:kern w:val="0"/>
          <w:sz w:val="21"/>
          <w:szCs w:val="21"/>
          <w:lang w:eastAsia="zh-CN"/>
        </w:rPr>
        <w:t>谈判响应</w:t>
      </w:r>
      <w:r>
        <w:rPr>
          <w:rFonts w:hint="eastAsia" w:ascii="宋体" w:hAnsi="宋体" w:eastAsia="宋体" w:cs="宋体"/>
          <w:color w:val="auto"/>
          <w:kern w:val="0"/>
          <w:sz w:val="21"/>
          <w:szCs w:val="21"/>
        </w:rPr>
        <w:t>文件中的服务指标响应表一致。</w:t>
      </w:r>
    </w:p>
    <w:p>
      <w:pPr>
        <w:snapToGrid w:val="0"/>
        <w:spacing w:after="156" w:afterLines="50" w:line="312" w:lineRule="auto"/>
        <w:ind w:firstLine="413" w:firstLineChars="196"/>
        <w:rPr>
          <w:rFonts w:hint="eastAsia" w:ascii="宋体" w:hAnsi="宋体" w:eastAsia="宋体" w:cs="宋体"/>
          <w:b/>
          <w:bCs/>
          <w:color w:val="auto"/>
          <w:sz w:val="21"/>
          <w:szCs w:val="21"/>
        </w:rPr>
      </w:pPr>
      <w:r>
        <w:rPr>
          <w:rFonts w:hint="eastAsia" w:ascii="宋体" w:hAnsi="宋体" w:eastAsia="宋体" w:cs="宋体"/>
          <w:b/>
          <w:bCs/>
          <w:color w:val="auto"/>
          <w:sz w:val="21"/>
          <w:szCs w:val="21"/>
        </w:rPr>
        <w:t>3. 知识产权</w:t>
      </w:r>
    </w:p>
    <w:p>
      <w:pPr>
        <w:snapToGrid w:val="0"/>
        <w:spacing w:after="156" w:afterLines="50" w:line="312"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供应商</w:t>
      </w:r>
      <w:r>
        <w:rPr>
          <w:rFonts w:hint="eastAsia" w:ascii="宋体" w:hAnsi="宋体" w:eastAsia="宋体" w:cs="宋体"/>
          <w:color w:val="auto"/>
          <w:kern w:val="0"/>
          <w:sz w:val="21"/>
          <w:szCs w:val="21"/>
        </w:rPr>
        <w:t>应保证，采购人在其接受该服务或其任何一部分时不受第三方提出的侵犯专利权、著作权、商标权和工业设计权等的起诉。如果任何第三方提出侵权指控，</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供应商须与第三方交涉并承担由此发生的一切责任、费用和经济赔偿。</w:t>
      </w:r>
    </w:p>
    <w:p>
      <w:pPr>
        <w:snapToGrid w:val="0"/>
        <w:spacing w:after="156" w:afterLines="50" w:line="312" w:lineRule="auto"/>
        <w:ind w:firstLine="413" w:firstLineChars="196"/>
        <w:rPr>
          <w:rFonts w:hint="eastAsia" w:ascii="宋体" w:hAnsi="宋体" w:eastAsia="宋体" w:cs="宋体"/>
          <w:b/>
          <w:bCs/>
          <w:color w:val="auto"/>
          <w:sz w:val="21"/>
          <w:szCs w:val="21"/>
        </w:rPr>
      </w:pPr>
      <w:r>
        <w:rPr>
          <w:rFonts w:hint="eastAsia" w:ascii="宋体" w:hAnsi="宋体" w:eastAsia="宋体" w:cs="宋体"/>
          <w:b/>
          <w:bCs/>
          <w:color w:val="auto"/>
          <w:sz w:val="21"/>
          <w:szCs w:val="21"/>
        </w:rPr>
        <w:t>4. 完成方式</w:t>
      </w:r>
    </w:p>
    <w:p>
      <w:pPr>
        <w:snapToGrid w:val="0"/>
        <w:spacing w:after="156" w:afterLines="50" w:line="312" w:lineRule="auto"/>
        <w:ind w:firstLine="411" w:firstLineChars="196"/>
        <w:rPr>
          <w:rFonts w:hint="eastAsia" w:ascii="宋体" w:hAnsi="宋体" w:eastAsia="宋体" w:cs="宋体"/>
          <w:color w:val="auto"/>
          <w:kern w:val="0"/>
          <w:sz w:val="21"/>
          <w:szCs w:val="21"/>
        </w:rPr>
      </w:pP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供应商应按照采购文件正文部分第一章“八、服务需求”及“九、商务和技术要求”规定的时间和地点完成服务</w:t>
      </w:r>
      <w:r>
        <w:rPr>
          <w:rFonts w:hint="eastAsia" w:ascii="宋体" w:hAnsi="宋体" w:eastAsia="宋体" w:cs="宋体"/>
          <w:color w:val="auto"/>
          <w:kern w:val="0"/>
          <w:sz w:val="21"/>
          <w:szCs w:val="21"/>
        </w:rPr>
        <w:t>。</w:t>
      </w:r>
    </w:p>
    <w:p>
      <w:pPr>
        <w:adjustRightInd w:val="0"/>
        <w:snapToGrid w:val="0"/>
        <w:spacing w:after="156" w:afterLines="50" w:line="312"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5. 付款</w:t>
      </w:r>
    </w:p>
    <w:p>
      <w:pPr>
        <w:snapToGrid w:val="0"/>
        <w:spacing w:after="156" w:afterLines="50" w:line="312"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5.1合同以人民币付款。</w:t>
      </w:r>
    </w:p>
    <w:p>
      <w:pPr>
        <w:snapToGrid w:val="0"/>
        <w:spacing w:after="156" w:afterLines="50" w:line="312"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5.2 在</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供应商按照合同的规定履行服务后，将按照采购文件正文部分</w:t>
      </w:r>
      <w:r>
        <w:rPr>
          <w:rFonts w:hint="eastAsia" w:ascii="宋体" w:hAnsi="宋体" w:eastAsia="宋体" w:cs="宋体"/>
          <w:color w:val="auto"/>
          <w:kern w:val="0"/>
          <w:sz w:val="21"/>
          <w:szCs w:val="21"/>
        </w:rPr>
        <w:t>“合同条款前附表”规定</w:t>
      </w:r>
      <w:r>
        <w:rPr>
          <w:rFonts w:hint="eastAsia" w:ascii="宋体" w:hAnsi="宋体" w:eastAsia="宋体" w:cs="宋体"/>
          <w:color w:val="auto"/>
          <w:sz w:val="21"/>
          <w:szCs w:val="21"/>
        </w:rPr>
        <w:t>的付款方式付款。</w:t>
      </w:r>
    </w:p>
    <w:p>
      <w:pPr>
        <w:adjustRightInd w:val="0"/>
        <w:snapToGrid w:val="0"/>
        <w:spacing w:after="156" w:afterLines="50" w:line="312" w:lineRule="auto"/>
        <w:ind w:firstLine="417" w:firstLineChars="198"/>
        <w:rPr>
          <w:rFonts w:hint="eastAsia" w:ascii="宋体" w:hAnsi="宋体" w:eastAsia="宋体" w:cs="宋体"/>
          <w:b/>
          <w:bCs/>
          <w:color w:val="auto"/>
          <w:sz w:val="21"/>
          <w:szCs w:val="21"/>
        </w:rPr>
      </w:pPr>
      <w:r>
        <w:rPr>
          <w:rFonts w:hint="eastAsia" w:ascii="宋体" w:hAnsi="宋体" w:eastAsia="宋体" w:cs="宋体"/>
          <w:b/>
          <w:bCs/>
          <w:color w:val="auto"/>
          <w:sz w:val="21"/>
          <w:szCs w:val="21"/>
        </w:rPr>
        <w:t>6. 履约保证金</w:t>
      </w:r>
    </w:p>
    <w:p>
      <w:pPr>
        <w:keepNext w:val="0"/>
        <w:keepLines w:val="0"/>
        <w:widowControl/>
        <w:suppressLineNumbers w:val="0"/>
        <w:spacing w:line="360" w:lineRule="auto"/>
        <w:ind w:firstLine="42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1"/>
          <w:szCs w:val="21"/>
        </w:rPr>
        <w:t>6.1</w:t>
      </w:r>
      <w:r>
        <w:rPr>
          <w:rFonts w:hint="eastAsia" w:ascii="宋体" w:hAnsi="宋体" w:eastAsia="宋体" w:cs="宋体"/>
          <w:color w:val="auto"/>
          <w:kern w:val="0"/>
          <w:sz w:val="24"/>
          <w:szCs w:val="24"/>
          <w:highlight w:val="none"/>
          <w:lang w:val="en-US" w:eastAsia="zh-CN" w:bidi="ar"/>
        </w:rPr>
        <w:t>成交供应商在签订合同前提交</w:t>
      </w:r>
      <w:r>
        <w:rPr>
          <w:rFonts w:hint="eastAsia" w:ascii="宋体" w:hAnsi="宋体" w:cs="宋体"/>
          <w:color w:val="auto"/>
          <w:kern w:val="0"/>
          <w:sz w:val="24"/>
          <w:szCs w:val="24"/>
          <w:highlight w:val="none"/>
          <w:lang w:val="en-US" w:eastAsia="zh-CN" w:bidi="ar"/>
        </w:rPr>
        <w:t>履约保证函</w:t>
      </w:r>
      <w:r>
        <w:rPr>
          <w:rFonts w:hint="eastAsia" w:ascii="宋体" w:hAnsi="宋体" w:eastAsia="宋体" w:cs="宋体"/>
          <w:color w:val="auto"/>
          <w:kern w:val="0"/>
          <w:sz w:val="24"/>
          <w:szCs w:val="24"/>
          <w:highlight w:val="none"/>
          <w:lang w:val="en-US" w:eastAsia="zh-CN" w:bidi="ar"/>
        </w:rPr>
        <w:t>。</w:t>
      </w:r>
    </w:p>
    <w:p>
      <w:pPr>
        <w:snapToGrid w:val="0"/>
        <w:spacing w:after="156" w:afterLines="50"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6.2如</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供应商未能履行其合同规定的义务，采购人有权</w:t>
      </w:r>
      <w:r>
        <w:rPr>
          <w:rFonts w:hint="eastAsia" w:ascii="宋体" w:hAnsi="宋体" w:cs="宋体"/>
          <w:color w:val="auto"/>
          <w:sz w:val="21"/>
          <w:szCs w:val="21"/>
          <w:lang w:eastAsia="zh-CN"/>
        </w:rPr>
        <w:t>按照</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供应商履约保证</w:t>
      </w:r>
      <w:r>
        <w:rPr>
          <w:rFonts w:hint="eastAsia" w:ascii="宋体" w:hAnsi="宋体" w:cs="宋体"/>
          <w:color w:val="auto"/>
          <w:sz w:val="21"/>
          <w:szCs w:val="21"/>
          <w:lang w:eastAsia="zh-CN"/>
        </w:rPr>
        <w:t>函</w:t>
      </w:r>
      <w:r>
        <w:rPr>
          <w:rFonts w:hint="eastAsia" w:ascii="宋体" w:hAnsi="宋体" w:eastAsia="宋体" w:cs="宋体"/>
          <w:color w:val="auto"/>
          <w:sz w:val="21"/>
          <w:szCs w:val="21"/>
        </w:rPr>
        <w:t>中</w:t>
      </w:r>
      <w:r>
        <w:rPr>
          <w:rFonts w:hint="eastAsia" w:ascii="宋体" w:hAnsi="宋体" w:cs="宋体"/>
          <w:color w:val="auto"/>
          <w:sz w:val="21"/>
          <w:szCs w:val="21"/>
          <w:lang w:eastAsia="zh-CN"/>
        </w:rPr>
        <w:t>的承诺</w:t>
      </w:r>
      <w:r>
        <w:rPr>
          <w:rFonts w:hint="eastAsia" w:ascii="宋体" w:hAnsi="宋体" w:eastAsia="宋体" w:cs="宋体"/>
          <w:color w:val="auto"/>
          <w:sz w:val="21"/>
          <w:szCs w:val="21"/>
        </w:rPr>
        <w:t>取得补偿。</w:t>
      </w:r>
    </w:p>
    <w:p>
      <w:pPr>
        <w:adjustRightInd w:val="0"/>
        <w:snapToGrid w:val="0"/>
        <w:spacing w:after="156" w:afterLines="50" w:line="312"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7. 检验和验收</w:t>
      </w:r>
    </w:p>
    <w:p>
      <w:pPr>
        <w:snapToGrid w:val="0"/>
        <w:spacing w:after="156" w:afterLines="50" w:line="312"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7.1采购人依法组织履约验收工作。采购人应当根据采购项目的具体情况,自行组织项目验收或者委托采购代理机构验收。采购人委托采购代理机构进行履约验收的,应当对验收结果进行书面确认。 </w:t>
      </w:r>
    </w:p>
    <w:p>
      <w:pPr>
        <w:snapToGrid w:val="0"/>
        <w:spacing w:after="156" w:afterLines="50" w:line="312"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7.2采购人或其委托的采购代理机构应当根据项目特点制定验收方案,明确履约验收的时间、方式、程序等内容。</w:t>
      </w:r>
    </w:p>
    <w:p>
      <w:pPr>
        <w:snapToGrid w:val="0"/>
        <w:spacing w:after="156" w:afterLines="50" w:line="312"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7.3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pPr>
        <w:snapToGrid w:val="0"/>
        <w:spacing w:after="156" w:afterLines="50" w:line="312"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7.4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pPr>
        <w:snapToGrid w:val="0"/>
        <w:spacing w:after="156" w:afterLines="50" w:line="312"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7.5验收合格的项目,采购人应当根据采购合同的约定及时向供应商支付采购资金。验收不合格的项目,采购人应当依法及时处理。采购合同的履行、违约责任和解决争议的方式等适用《中华人民共和国</w:t>
      </w:r>
      <w:r>
        <w:rPr>
          <w:rFonts w:hint="eastAsia" w:ascii="宋体" w:hAnsi="宋体" w:eastAsia="宋体" w:cs="宋体"/>
          <w:color w:val="auto"/>
          <w:sz w:val="21"/>
          <w:szCs w:val="21"/>
          <w:lang w:eastAsia="zh-CN"/>
        </w:rPr>
        <w:t>民法典</w:t>
      </w:r>
      <w:r>
        <w:rPr>
          <w:rFonts w:hint="eastAsia" w:ascii="宋体" w:hAnsi="宋体" w:eastAsia="宋体" w:cs="宋体"/>
          <w:color w:val="auto"/>
          <w:sz w:val="21"/>
          <w:szCs w:val="21"/>
        </w:rPr>
        <w:t xml:space="preserve">》。供应商在履约过程中有政府采购法律法规规定的违法违规情形的,采购人应当及时报告本级财政部门。 </w:t>
      </w:r>
    </w:p>
    <w:p>
      <w:pPr>
        <w:adjustRightInd w:val="0"/>
        <w:snapToGrid w:val="0"/>
        <w:spacing w:after="156" w:afterLines="50" w:line="312"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8. 索赔</w:t>
      </w:r>
    </w:p>
    <w:p>
      <w:pPr>
        <w:adjustRightInd w:val="0"/>
        <w:snapToGrid w:val="0"/>
        <w:spacing w:after="156" w:afterLines="50" w:line="312"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8.1 如果服务的质量、数量等与合同不符，或在规定的质量保证期内证实服务存在缺陷（包括潜在的缺陷等），采购人有权根据有资质的质检机构的检验结果向</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供应商提出索赔。</w:t>
      </w:r>
    </w:p>
    <w:p>
      <w:pPr>
        <w:adjustRightInd w:val="0"/>
        <w:snapToGrid w:val="0"/>
        <w:spacing w:after="156" w:afterLines="50" w:line="312"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 在合同规定的验收期和质量保证期内，如果</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供应商对采购人提出的索赔负有责任，</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供应商应按照采购人同意的方式解决索赔事宜。</w:t>
      </w:r>
    </w:p>
    <w:p>
      <w:pPr>
        <w:adjustRightInd w:val="0"/>
        <w:snapToGrid w:val="0"/>
        <w:spacing w:after="156" w:afterLines="50" w:line="312"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8.3 如果</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供应商在合同规定的索赔通知期限内，未对采购人的索赔通知做出答复，则上述索赔应视为已被</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供应商接受。如</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供应商未能在采购人提出的在合同规定的期限内或采购人同意的更长时间内，按照本合同第8.2条确定的方式解决索赔事宜，采购人将从</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供应商的履约保证金或者应支付给</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供应商的合同款项中扣回索赔金额。如果这些金额不足以补偿索赔金额，采购人有权向</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供应商提出不足部分的补偿。</w:t>
      </w:r>
    </w:p>
    <w:p>
      <w:pPr>
        <w:adjustRightInd w:val="0"/>
        <w:snapToGrid w:val="0"/>
        <w:spacing w:after="156" w:afterLines="50" w:line="312"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9. </w:t>
      </w:r>
      <w:r>
        <w:rPr>
          <w:rFonts w:hint="eastAsia" w:ascii="宋体" w:hAnsi="宋体" w:eastAsia="宋体" w:cs="宋体"/>
          <w:b/>
          <w:bCs/>
          <w:color w:val="auto"/>
          <w:sz w:val="21"/>
          <w:szCs w:val="21"/>
          <w:lang w:eastAsia="zh-CN"/>
        </w:rPr>
        <w:t>成交</w:t>
      </w:r>
      <w:r>
        <w:rPr>
          <w:rFonts w:hint="eastAsia" w:ascii="宋体" w:hAnsi="宋体" w:eastAsia="宋体" w:cs="宋体"/>
          <w:b/>
          <w:bCs/>
          <w:color w:val="auto"/>
          <w:sz w:val="21"/>
          <w:szCs w:val="21"/>
        </w:rPr>
        <w:t>供应商履约延误和误期赔偿</w:t>
      </w:r>
    </w:p>
    <w:p>
      <w:pPr>
        <w:snapToGrid w:val="0"/>
        <w:spacing w:after="156" w:afterLines="50" w:line="312"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9.1 如</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供应商无正当理由而拖延提供服务，采购人有权提出误期赔偿或解除合同。</w:t>
      </w:r>
    </w:p>
    <w:p>
      <w:pPr>
        <w:snapToGrid w:val="0"/>
        <w:spacing w:after="156" w:afterLines="50" w:line="312"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9.2 在履行合同过程中，如果</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供应商遇到妨碍按时提供服务的情况时，应及时以书面形式将拖延的事实，可能拖延的期限和理由通知采购人。采购人在收到</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供应商通知后，应尽快对情况进行评价，并确定是否通过修改合同，酌情延长提供服务时间。</w:t>
      </w:r>
    </w:p>
    <w:p>
      <w:pPr>
        <w:snapToGrid w:val="0"/>
        <w:spacing w:after="156" w:afterLines="50"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9.3 </w:t>
      </w:r>
      <w:r>
        <w:rPr>
          <w:rFonts w:hint="eastAsia" w:ascii="宋体" w:hAnsi="宋体" w:eastAsia="宋体" w:cs="宋体"/>
          <w:color w:val="auto"/>
          <w:kern w:val="0"/>
          <w:sz w:val="21"/>
          <w:szCs w:val="21"/>
        </w:rPr>
        <w:t>除本合同条款第10条规定外，如果</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供应商没有按照合同规定的时间提供服务，采购人可要求</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供应商支付违约金。违约金按每周未提供服务费用的0.5%计收，但违约金的最高限额为未提供服务的合同价格的5%。一周按7天计算，不足7天按一周计算。如果达到最高限额，采购人有权解除政府采购合同。</w:t>
      </w:r>
    </w:p>
    <w:p>
      <w:pPr>
        <w:snapToGrid w:val="0"/>
        <w:spacing w:after="156" w:afterLines="50" w:line="312"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10. 不可抗力</w:t>
      </w:r>
    </w:p>
    <w:p>
      <w:pPr>
        <w:snapToGrid w:val="0"/>
        <w:spacing w:after="156" w:afterLines="50"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10.1 尽管有本合同条款第8条和第9条的规定，如果</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供应商因不可抗力而导致合同实施延误或不能履行合同义务的话，在不可抗力影响的范围内</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供应商的履约保证金或者应支付给</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供应商的合同款项不能被没收，也不应该承担违约赔偿或终止合同的责任。</w:t>
      </w:r>
    </w:p>
    <w:p>
      <w:pPr>
        <w:adjustRightInd w:val="0"/>
        <w:snapToGrid w:val="0"/>
        <w:spacing w:after="156" w:afterLines="50"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10.2 本条所述的“不可抗力”是指那些</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供应商无法控制、不可预见的事件，但不包括</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供应商的违约或疏忽。不可抗力事件包括，但不限于：战争、严重火灾、洪水、台风、地震、防疫限制和禁运及其他双方</w:t>
      </w:r>
      <w:r>
        <w:rPr>
          <w:rFonts w:hint="eastAsia" w:ascii="宋体" w:hAnsi="宋体" w:eastAsia="宋体" w:cs="宋体"/>
          <w:color w:val="auto"/>
          <w:sz w:val="21"/>
          <w:szCs w:val="21"/>
        </w:rPr>
        <w:t>商定的事件。</w:t>
      </w:r>
    </w:p>
    <w:p>
      <w:pPr>
        <w:adjustRightInd w:val="0"/>
        <w:snapToGrid w:val="0"/>
        <w:spacing w:after="156" w:afterLines="50"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10.3 在不可抗力事件发生后，</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供应商应尽快以书面形式将不可抗力的情况和原因通知采购人。除采购人书面另行要求外，</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供应商应尽可能继续履行合同义务，以及寻求采取合理的方案履行不受不可抗力影响的其他事项。如果不可抗力事件影响延续超过120天，双方应通过友好协商在合理的时间内就进一步实施合同达成协议。</w:t>
      </w:r>
    </w:p>
    <w:p>
      <w:pPr>
        <w:adjustRightInd w:val="0"/>
        <w:snapToGrid w:val="0"/>
        <w:spacing w:after="156" w:afterLines="50" w:line="312" w:lineRule="auto"/>
        <w:ind w:firstLine="420" w:firstLineChars="20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10.4 不可抗力使合同的某些内容有变更必要的，双方应通过协商达成进一步履行合同的协议，因不可抗力致使合同不能履行的，合同终止。</w:t>
      </w:r>
    </w:p>
    <w:p>
      <w:pPr>
        <w:snapToGrid w:val="0"/>
        <w:spacing w:after="50" w:line="312" w:lineRule="auto"/>
        <w:ind w:firstLine="413" w:firstLineChars="196"/>
        <w:rPr>
          <w:rFonts w:hint="eastAsia" w:ascii="宋体" w:hAnsi="宋体" w:eastAsia="宋体" w:cs="宋体"/>
          <w:b/>
          <w:bCs/>
          <w:color w:val="auto"/>
          <w:sz w:val="21"/>
          <w:szCs w:val="21"/>
        </w:rPr>
      </w:pPr>
      <w:r>
        <w:rPr>
          <w:rFonts w:hint="eastAsia" w:ascii="宋体" w:hAnsi="宋体" w:eastAsia="宋体" w:cs="宋体"/>
          <w:b/>
          <w:bCs/>
          <w:color w:val="auto"/>
          <w:sz w:val="21"/>
          <w:szCs w:val="21"/>
        </w:rPr>
        <w:t>11. 税费</w:t>
      </w:r>
    </w:p>
    <w:p>
      <w:pPr>
        <w:adjustRightInd w:val="0"/>
        <w:snapToGrid w:val="0"/>
        <w:spacing w:after="156" w:afterLines="50"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11.1中国政府根据现行税法对采购人征收的、与本合同有关的一切税费，均由采购人负担。</w:t>
      </w:r>
    </w:p>
    <w:p>
      <w:pPr>
        <w:adjustRightInd w:val="0"/>
        <w:snapToGrid w:val="0"/>
        <w:spacing w:after="156" w:afterLines="50"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11.2中国政府根据现行税法对</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供应商征收的、与本合同有关的一切税费，均由</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供应商负担。</w:t>
      </w:r>
    </w:p>
    <w:p>
      <w:pPr>
        <w:snapToGrid w:val="0"/>
        <w:spacing w:after="50" w:line="312" w:lineRule="auto"/>
        <w:ind w:firstLine="413" w:firstLineChars="196"/>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 xml:space="preserve">12. </w:t>
      </w:r>
      <w:r>
        <w:rPr>
          <w:rFonts w:hint="eastAsia" w:ascii="宋体" w:hAnsi="宋体" w:cs="宋体"/>
          <w:b/>
          <w:bCs/>
          <w:color w:val="auto"/>
          <w:sz w:val="21"/>
          <w:szCs w:val="21"/>
          <w:lang w:eastAsia="zh-CN"/>
        </w:rPr>
        <w:t>诉讼</w:t>
      </w:r>
    </w:p>
    <w:p>
      <w:pPr>
        <w:adjustRightInd w:val="0"/>
        <w:snapToGrid w:val="0"/>
        <w:spacing w:after="156" w:afterLines="50"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eastAsia="宋体" w:cs="宋体"/>
          <w:color w:val="auto"/>
          <w:sz w:val="21"/>
          <w:szCs w:val="21"/>
          <w:lang w:val="en-US" w:eastAsia="zh-CN"/>
        </w:rPr>
        <w:t>根据</w:t>
      </w:r>
      <w:r>
        <w:rPr>
          <w:rFonts w:hint="eastAsia" w:ascii="宋体" w:hAnsi="宋体" w:cs="宋体"/>
          <w:color w:val="auto"/>
          <w:sz w:val="21"/>
          <w:szCs w:val="21"/>
          <w:lang w:val="en-US" w:eastAsia="zh-CN"/>
        </w:rPr>
        <w:t>相关法律</w:t>
      </w:r>
      <w:r>
        <w:rPr>
          <w:rFonts w:hint="eastAsia" w:ascii="宋体" w:hAnsi="宋体" w:eastAsia="宋体" w:cs="宋体"/>
          <w:color w:val="auto"/>
          <w:sz w:val="21"/>
          <w:szCs w:val="21"/>
          <w:lang w:val="en-US" w:eastAsia="zh-CN"/>
        </w:rPr>
        <w:t>的规定向</w:t>
      </w:r>
      <w:r>
        <w:rPr>
          <w:rFonts w:hint="eastAsia" w:ascii="宋体" w:hAnsi="宋体" w:eastAsia="宋体" w:cs="宋体"/>
          <w:color w:val="auto"/>
          <w:sz w:val="21"/>
          <w:szCs w:val="21"/>
          <w:u w:val="single"/>
          <w:lang w:val="en-US" w:eastAsia="zh-CN"/>
        </w:rPr>
        <w:t xml:space="preserve"> 宿州市 </w:t>
      </w:r>
      <w:r>
        <w:rPr>
          <w:rFonts w:hint="eastAsia" w:ascii="宋体" w:hAnsi="宋体" w:cs="宋体"/>
          <w:color w:val="auto"/>
          <w:sz w:val="21"/>
          <w:szCs w:val="21"/>
          <w:lang w:eastAsia="zh-CN"/>
        </w:rPr>
        <w:t>法院提起诉讼</w:t>
      </w:r>
      <w:r>
        <w:rPr>
          <w:rFonts w:hint="eastAsia" w:ascii="宋体" w:hAnsi="宋体" w:eastAsia="宋体" w:cs="宋体"/>
          <w:color w:val="auto"/>
          <w:sz w:val="21"/>
          <w:szCs w:val="21"/>
        </w:rPr>
        <w:t>。</w:t>
      </w:r>
    </w:p>
    <w:p>
      <w:pPr>
        <w:adjustRightInd w:val="0"/>
        <w:snapToGrid w:val="0"/>
        <w:spacing w:after="156" w:afterLines="50"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12.2在</w:t>
      </w:r>
      <w:r>
        <w:rPr>
          <w:rFonts w:hint="eastAsia" w:ascii="宋体" w:hAnsi="宋体" w:eastAsia="宋体" w:cs="宋体"/>
          <w:color w:val="auto"/>
          <w:kern w:val="0"/>
          <w:sz w:val="21"/>
          <w:szCs w:val="21"/>
          <w:lang w:eastAsia="zh-CN"/>
        </w:rPr>
        <w:t>诉讼</w:t>
      </w:r>
      <w:r>
        <w:rPr>
          <w:rFonts w:hint="eastAsia" w:ascii="宋体" w:hAnsi="宋体" w:eastAsia="宋体" w:cs="宋体"/>
          <w:color w:val="auto"/>
          <w:kern w:val="0"/>
          <w:sz w:val="21"/>
          <w:szCs w:val="21"/>
        </w:rPr>
        <w:t>期间，合同应继续履行。</w:t>
      </w:r>
    </w:p>
    <w:p>
      <w:pPr>
        <w:adjustRightInd w:val="0"/>
        <w:snapToGrid w:val="0"/>
        <w:spacing w:after="156" w:afterLines="50" w:line="312"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13. 违约终止合同</w:t>
      </w:r>
    </w:p>
    <w:p>
      <w:pPr>
        <w:adjustRightInd w:val="0"/>
        <w:snapToGrid w:val="0"/>
        <w:spacing w:after="156" w:afterLines="50"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13.1在采购人对</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供应商违约而采取的任何补救措施不受影响的情况下，采购人可向</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供应商发出终止部分或全部合同的书面通知书。</w:t>
      </w:r>
    </w:p>
    <w:p>
      <w:pPr>
        <w:adjustRightInd w:val="0"/>
        <w:snapToGrid w:val="0"/>
        <w:spacing w:after="156" w:afterLines="50"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（1）如果</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供应商未能按合同规定的期限或采购人同意延长的限期内提供部分或全部服务;</w:t>
      </w:r>
    </w:p>
    <w:p>
      <w:pPr>
        <w:adjustRightInd w:val="0"/>
        <w:snapToGrid w:val="0"/>
        <w:spacing w:after="156" w:afterLines="50"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供应商在收到采购人发出的违约通知后20天内，或经采购人书面认可延长的时间内未能纠正其过失;</w:t>
      </w:r>
    </w:p>
    <w:p>
      <w:pPr>
        <w:adjustRightInd w:val="0"/>
        <w:snapToGrid w:val="0"/>
        <w:spacing w:after="156" w:afterLines="50"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（3）如果</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供应商未能履行合同规定的其他义务。</w:t>
      </w:r>
    </w:p>
    <w:p>
      <w:pPr>
        <w:adjustRightInd w:val="0"/>
        <w:snapToGrid w:val="0"/>
        <w:spacing w:after="156" w:afterLines="50"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13.2在采购人根据上述第13.1条规定，终止了全部或部分合同后，采购人可以依其认为适当的条件和方法购买类似未交的服务，</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供应商应对采购人购买类似服务所超出的费用部分负责，并继续执行合同中未终止部分。</w:t>
      </w:r>
    </w:p>
    <w:p>
      <w:pPr>
        <w:adjustRightInd w:val="0"/>
        <w:snapToGrid w:val="0"/>
        <w:spacing w:after="156" w:afterLines="50" w:line="312"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14. 破产终止合同</w:t>
      </w:r>
    </w:p>
    <w:p>
      <w:pPr>
        <w:adjustRightInd w:val="0"/>
        <w:snapToGrid w:val="0"/>
        <w:spacing w:after="156" w:afterLines="50"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如果</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供应商破产或无清偿能力时，采购人经报同级政府采购监督管理部门审批后，可在任何时候以书面形式通知</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供应商，提出终止合同而不给</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供应商补偿。该合同的终止将不损害或影响采购人已经采取或将要采取的任何行动或补救措施的权利。</w:t>
      </w:r>
    </w:p>
    <w:p>
      <w:pPr>
        <w:adjustRightInd w:val="0"/>
        <w:snapToGrid w:val="0"/>
        <w:spacing w:after="156" w:afterLines="50" w:line="312"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15. 转让和分包</w:t>
      </w:r>
    </w:p>
    <w:p>
      <w:pPr>
        <w:adjustRightInd w:val="0"/>
        <w:snapToGrid w:val="0"/>
        <w:spacing w:after="156" w:afterLines="50"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15.1合同不能擅自转让或分包。</w:t>
      </w:r>
    </w:p>
    <w:p>
      <w:pPr>
        <w:adjustRightInd w:val="0"/>
        <w:snapToGrid w:val="0"/>
        <w:spacing w:after="156" w:afterLines="50"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15.2 经采购人和同级政府采购监督管理部门事先书面同意，</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供应商可以将合同项下非主体、非关键性工作分包给他人完成。接受分包的人应当具备相应的资格条件，并不得再次分包。分包后不能终止</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供应商履行合同的责任和义务，接受分包的人与</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供应商共同对采购人连带承担合同的责任和义务。</w:t>
      </w:r>
    </w:p>
    <w:p>
      <w:pPr>
        <w:adjustRightInd w:val="0"/>
        <w:snapToGrid w:val="0"/>
        <w:spacing w:after="156" w:afterLines="50" w:line="312"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16. 合同修改</w:t>
      </w:r>
    </w:p>
    <w:p>
      <w:pPr>
        <w:adjustRightInd w:val="0"/>
        <w:snapToGrid w:val="0"/>
        <w:spacing w:after="156" w:afterLines="50"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采购人和</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供应商都不得擅自变更合同，但继续履行将损害国家和社会公共利益的除外。如必须对合同条款进行修改时，当事人双方须共同签署书面文件，作为合同的补充，并报同级政府采购监督管理部门备案。</w:t>
      </w:r>
    </w:p>
    <w:p>
      <w:pPr>
        <w:adjustRightInd w:val="0"/>
        <w:snapToGrid w:val="0"/>
        <w:spacing w:after="156" w:afterLines="50" w:line="312"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17. 通知</w:t>
      </w:r>
    </w:p>
    <w:p>
      <w:pPr>
        <w:adjustRightInd w:val="0"/>
        <w:snapToGrid w:val="0"/>
        <w:spacing w:after="156" w:afterLines="50"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rPr>
        <w:t>采购合</w:t>
      </w:r>
      <w:r>
        <w:rPr>
          <w:rFonts w:hint="eastAsia" w:ascii="宋体" w:hAnsi="宋体" w:eastAsia="宋体" w:cs="宋体"/>
          <w:color w:val="auto"/>
          <w:kern w:val="0"/>
          <w:sz w:val="21"/>
          <w:szCs w:val="21"/>
        </w:rPr>
        <w:t>同一方给另一方的通知都应以书面形式发送至规定的对方地址。通知以送达日期或通知书规定的生效日期为生效日期，两者中以晚的一个日期为准。</w:t>
      </w:r>
    </w:p>
    <w:p>
      <w:pPr>
        <w:snapToGrid w:val="0"/>
        <w:spacing w:after="156" w:afterLines="50" w:line="312"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18.合同生效</w:t>
      </w:r>
    </w:p>
    <w:p>
      <w:pPr>
        <w:snapToGrid w:val="0"/>
        <w:spacing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18.1合同内容的确定应以采购文件和</w:t>
      </w:r>
      <w:r>
        <w:rPr>
          <w:rFonts w:hint="eastAsia" w:ascii="宋体" w:hAnsi="宋体" w:eastAsia="宋体" w:cs="宋体"/>
          <w:color w:val="auto"/>
          <w:kern w:val="0"/>
          <w:sz w:val="21"/>
          <w:szCs w:val="21"/>
          <w:lang w:eastAsia="zh-CN"/>
        </w:rPr>
        <w:t>谈判响应</w:t>
      </w:r>
      <w:r>
        <w:rPr>
          <w:rFonts w:hint="eastAsia" w:ascii="宋体" w:hAnsi="宋体" w:eastAsia="宋体" w:cs="宋体"/>
          <w:color w:val="auto"/>
          <w:kern w:val="0"/>
          <w:sz w:val="21"/>
          <w:szCs w:val="21"/>
        </w:rPr>
        <w:t>文件为基础，不得违背其实质性内容。合同应在买卖双方和采购代理机构、交易中心签字、盖章，并在</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供应商交纳履约保证金后即开始生效。</w:t>
      </w:r>
    </w:p>
    <w:p>
      <w:pPr>
        <w:snapToGrid w:val="0"/>
        <w:spacing w:line="312"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18.2本合同一式四份，以中文书就，采购人、</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供应商、采购代理机构各执一份，送政府采购管理机构留存一份。</w:t>
      </w:r>
    </w:p>
    <w:p>
      <w:pPr>
        <w:adjustRightInd w:val="0"/>
        <w:snapToGrid w:val="0"/>
        <w:spacing w:after="156" w:afterLines="50" w:line="312"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19. 补充条款</w:t>
      </w:r>
    </w:p>
    <w:p>
      <w:pPr>
        <w:snapToGrid w:val="0"/>
        <w:spacing w:after="50" w:line="312" w:lineRule="auto"/>
        <w:ind w:firstLine="411" w:firstLineChars="196"/>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如需修改或补充合同内容，经协商，双方可签署书面修改或补充协议，该协议将作为合同的一个组成部分。</w:t>
      </w:r>
    </w:p>
    <w:p>
      <w:pPr>
        <w:jc w:val="center"/>
        <w:outlineLvl w:val="1"/>
        <w:rPr>
          <w:rFonts w:hint="eastAsia" w:ascii="宋体" w:hAnsi="宋体" w:eastAsia="宋体" w:cs="宋体"/>
          <w:b/>
          <w:bCs w:val="0"/>
          <w:color w:val="auto"/>
          <w:kern w:val="2"/>
          <w:sz w:val="32"/>
          <w:szCs w:val="32"/>
          <w:lang w:val="en-US" w:eastAsia="zh-CN" w:bidi="ar-SA"/>
        </w:rPr>
      </w:pPr>
      <w:bookmarkStart w:id="74" w:name="_Toc10097"/>
      <w:bookmarkStart w:id="75" w:name="_Toc23556"/>
      <w:bookmarkStart w:id="76" w:name="_Toc13697"/>
      <w:bookmarkStart w:id="77" w:name="_Toc10804"/>
      <w:bookmarkStart w:id="78" w:name="_Toc4471"/>
      <w:r>
        <w:rPr>
          <w:rFonts w:hint="eastAsia" w:ascii="宋体" w:hAnsi="宋体" w:eastAsia="宋体" w:cs="宋体"/>
          <w:b/>
          <w:bCs w:val="0"/>
          <w:color w:val="auto"/>
          <w:kern w:val="2"/>
          <w:sz w:val="32"/>
          <w:szCs w:val="32"/>
          <w:lang w:val="en-US" w:eastAsia="zh-CN" w:bidi="ar-SA"/>
        </w:rPr>
        <w:t>三、合同格式</w:t>
      </w:r>
      <w:bookmarkEnd w:id="74"/>
      <w:bookmarkEnd w:id="75"/>
      <w:bookmarkEnd w:id="76"/>
      <w:bookmarkEnd w:id="77"/>
      <w:bookmarkEnd w:id="78"/>
    </w:p>
    <w:p>
      <w:pPr>
        <w:spacing w:line="6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采  购  人（甲方）：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600" w:lineRule="exact"/>
        <w:ind w:left="1280" w:hanging="840" w:hangingChars="4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 xml:space="preserve">供应商（乙方）：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600" w:lineRule="exact"/>
        <w:ind w:left="1280" w:hanging="840" w:hangingChars="400"/>
        <w:rPr>
          <w:rFonts w:hint="eastAsia" w:ascii="宋体" w:hAnsi="宋体" w:eastAsia="宋体" w:cs="宋体"/>
          <w:color w:val="auto"/>
          <w:sz w:val="21"/>
          <w:szCs w:val="21"/>
          <w:u w:val="single"/>
        </w:rPr>
      </w:pP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代理机构：</w:t>
      </w:r>
      <w:r>
        <w:rPr>
          <w:rFonts w:hint="eastAsia" w:ascii="宋体" w:hAnsi="宋体" w:eastAsia="宋体" w:cs="宋体"/>
          <w:color w:val="auto"/>
          <w:sz w:val="21"/>
          <w:szCs w:val="21"/>
          <w:u w:val="single"/>
        </w:rPr>
        <w:t xml:space="preserve">                                                           </w:t>
      </w:r>
    </w:p>
    <w:p>
      <w:pPr>
        <w:spacing w:line="6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甲方通过         组织的</w:t>
      </w:r>
      <w:r>
        <w:rPr>
          <w:rFonts w:hint="eastAsia" w:ascii="宋体" w:hAnsi="宋体" w:eastAsia="宋体" w:cs="宋体"/>
          <w:color w:val="auto"/>
          <w:sz w:val="21"/>
          <w:szCs w:val="21"/>
          <w:lang w:eastAsia="zh-CN"/>
        </w:rPr>
        <w:t>政府采购</w:t>
      </w:r>
      <w:r>
        <w:rPr>
          <w:rFonts w:hint="eastAsia" w:ascii="宋体" w:hAnsi="宋体" w:eastAsia="宋体" w:cs="宋体"/>
          <w:color w:val="auto"/>
          <w:sz w:val="21"/>
          <w:szCs w:val="21"/>
        </w:rPr>
        <w:t>活动，决定将本项目采购合同授予乙方。为进一步明确双方的责任，确保合同的顺利履行，甲乙双方商定同意按如下条款和条件签订本合同：</w:t>
      </w:r>
    </w:p>
    <w:p>
      <w:pPr>
        <w:numPr>
          <w:ilvl w:val="0"/>
          <w:numId w:val="0"/>
        </w:numPr>
        <w:spacing w:line="6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合同文件</w:t>
      </w:r>
    </w:p>
    <w:p>
      <w:pPr>
        <w:spacing w:line="600" w:lineRule="exact"/>
        <w:ind w:left="643"/>
        <w:rPr>
          <w:rFonts w:hint="eastAsia" w:ascii="宋体" w:hAnsi="宋体" w:eastAsia="宋体" w:cs="宋体"/>
          <w:color w:val="auto"/>
          <w:sz w:val="21"/>
          <w:szCs w:val="21"/>
        </w:rPr>
      </w:pPr>
      <w:r>
        <w:rPr>
          <w:rFonts w:hint="eastAsia" w:ascii="宋体" w:hAnsi="宋体" w:eastAsia="宋体" w:cs="宋体"/>
          <w:color w:val="auto"/>
          <w:sz w:val="21"/>
          <w:szCs w:val="21"/>
        </w:rPr>
        <w:t>下列文件是构成本合同不可分割的部分：</w:t>
      </w:r>
    </w:p>
    <w:p>
      <w:pPr>
        <w:spacing w:line="600" w:lineRule="exact"/>
        <w:ind w:left="643"/>
        <w:rPr>
          <w:rFonts w:hint="eastAsia" w:ascii="宋体" w:hAnsi="宋体" w:eastAsia="宋体" w:cs="宋体"/>
          <w:color w:val="auto"/>
          <w:sz w:val="21"/>
          <w:szCs w:val="21"/>
        </w:rPr>
      </w:pPr>
      <w:r>
        <w:rPr>
          <w:rFonts w:hint="eastAsia" w:ascii="宋体" w:hAnsi="宋体" w:eastAsia="宋体" w:cs="宋体"/>
          <w:color w:val="auto"/>
          <w:sz w:val="21"/>
          <w:szCs w:val="21"/>
        </w:rPr>
        <w:t>（1）合同条款及前附表；</w:t>
      </w:r>
    </w:p>
    <w:p>
      <w:pPr>
        <w:spacing w:line="6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供应商提交的</w:t>
      </w:r>
      <w:r>
        <w:rPr>
          <w:rFonts w:hint="eastAsia" w:ascii="宋体" w:hAnsi="宋体" w:eastAsia="宋体" w:cs="宋体"/>
          <w:color w:val="auto"/>
          <w:sz w:val="21"/>
          <w:szCs w:val="21"/>
          <w:lang w:eastAsia="zh-CN"/>
        </w:rPr>
        <w:t>谈判响应文件</w:t>
      </w:r>
      <w:r>
        <w:rPr>
          <w:rFonts w:hint="eastAsia" w:ascii="宋体" w:hAnsi="宋体" w:eastAsia="宋体" w:cs="宋体"/>
          <w:color w:val="auto"/>
          <w:sz w:val="21"/>
          <w:szCs w:val="21"/>
        </w:rPr>
        <w:t>和</w:t>
      </w:r>
      <w:r>
        <w:rPr>
          <w:rFonts w:hint="eastAsia" w:ascii="宋体" w:hAnsi="宋体" w:eastAsia="宋体" w:cs="宋体"/>
          <w:color w:val="auto"/>
          <w:sz w:val="21"/>
          <w:szCs w:val="21"/>
          <w:lang w:eastAsia="zh-CN"/>
        </w:rPr>
        <w:t>货物服务</w:t>
      </w:r>
      <w:r>
        <w:rPr>
          <w:rFonts w:hint="eastAsia" w:ascii="宋体" w:hAnsi="宋体" w:eastAsia="宋体" w:cs="宋体"/>
          <w:color w:val="auto"/>
          <w:sz w:val="21"/>
          <w:szCs w:val="21"/>
        </w:rPr>
        <w:t>报价表；</w:t>
      </w:r>
    </w:p>
    <w:p>
      <w:pPr>
        <w:spacing w:line="6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通知书。</w:t>
      </w:r>
    </w:p>
    <w:p>
      <w:pPr>
        <w:spacing w:line="6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2.合同范围和条件</w:t>
      </w:r>
    </w:p>
    <w:p>
      <w:pPr>
        <w:spacing w:line="6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本合同的范围和条件应与上述合同文件的规定相一致。</w:t>
      </w:r>
    </w:p>
    <w:p>
      <w:pPr>
        <w:spacing w:line="6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3.合同金额</w:t>
      </w:r>
    </w:p>
    <w:p>
      <w:pPr>
        <w:spacing w:line="6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合同总金额为（人民币）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p>
    <w:p>
      <w:pPr>
        <w:spacing w:line="6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6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4.付款条件</w:t>
      </w:r>
    </w:p>
    <w:p>
      <w:pPr>
        <w:spacing w:line="6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付款条件在合同条款前附表中有明确规定。</w:t>
      </w:r>
    </w:p>
    <w:p>
      <w:pPr>
        <w:spacing w:line="6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5.交货时间</w:t>
      </w:r>
    </w:p>
    <w:p>
      <w:pPr>
        <w:spacing w:line="6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本合同服务时间在“服务报价表”中有明确规定。</w:t>
      </w:r>
    </w:p>
    <w:p>
      <w:pPr>
        <w:spacing w:line="6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6.合同生效</w:t>
      </w:r>
    </w:p>
    <w:p>
      <w:pPr>
        <w:spacing w:line="6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本合同经</w:t>
      </w:r>
      <w:r>
        <w:rPr>
          <w:rFonts w:hint="eastAsia" w:ascii="宋体" w:hAnsi="宋体" w:eastAsia="宋体" w:cs="宋体"/>
          <w:color w:val="auto"/>
          <w:sz w:val="21"/>
          <w:szCs w:val="21"/>
          <w:lang w:val="en-US" w:eastAsia="zh-CN"/>
        </w:rPr>
        <w:t>双</w:t>
      </w:r>
      <w:r>
        <w:rPr>
          <w:rFonts w:hint="eastAsia" w:ascii="宋体" w:hAnsi="宋体" w:eastAsia="宋体" w:cs="宋体"/>
          <w:color w:val="auto"/>
          <w:sz w:val="21"/>
          <w:szCs w:val="21"/>
        </w:rPr>
        <w:t>方合法代表签字、单位盖章后生效。</w:t>
      </w:r>
    </w:p>
    <w:p>
      <w:pPr>
        <w:spacing w:line="72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采购人（甲方）：              </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 xml:space="preserve">供应商（乙方）：             </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单位盖章：                   单位盖章：         </w:t>
      </w:r>
    </w:p>
    <w:p>
      <w:pPr>
        <w:rPr>
          <w:rFonts w:hint="eastAsia" w:ascii="宋体" w:hAnsi="宋体" w:eastAsia="宋体" w:cs="宋体"/>
          <w:color w:val="auto"/>
          <w:sz w:val="21"/>
          <w:szCs w:val="21"/>
        </w:rPr>
      </w:pPr>
      <w:r>
        <w:rPr>
          <w:rFonts w:hint="eastAsia" w:ascii="宋体" w:hAnsi="宋体" w:eastAsia="宋体" w:cs="宋体"/>
          <w:color w:val="auto"/>
          <w:sz w:val="21"/>
          <w:szCs w:val="21"/>
        </w:rPr>
        <w:t>法人或法人                   法人或法人</w:t>
      </w:r>
    </w:p>
    <w:p>
      <w:pPr>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授权人（签字）：              授权人（签字）：           </w:t>
      </w:r>
    </w:p>
    <w:p>
      <w:pPr>
        <w:spacing w:line="72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联系电话：                   联系电话：                  </w:t>
      </w:r>
    </w:p>
    <w:p>
      <w:pPr>
        <w:spacing w:line="72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开户银行:                    开户银行:                        </w:t>
      </w:r>
    </w:p>
    <w:p>
      <w:pPr>
        <w:spacing w:line="72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帐号:                        帐号:                             </w:t>
      </w:r>
    </w:p>
    <w:p>
      <w:pPr>
        <w:spacing w:line="720" w:lineRule="exact"/>
        <w:rPr>
          <w:rFonts w:hint="eastAsia" w:ascii="宋体" w:hAnsi="宋体" w:eastAsia="宋体" w:cs="宋体"/>
          <w:b/>
          <w:bCs w:val="0"/>
          <w:color w:val="auto"/>
          <w:kern w:val="2"/>
          <w:sz w:val="32"/>
          <w:szCs w:val="32"/>
          <w:lang w:val="en-US" w:eastAsia="zh-CN" w:bidi="ar-SA"/>
        </w:rPr>
      </w:pPr>
      <w:r>
        <w:rPr>
          <w:rFonts w:hint="eastAsia" w:ascii="宋体" w:hAnsi="宋体" w:eastAsia="宋体" w:cs="宋体"/>
          <w:color w:val="auto"/>
          <w:sz w:val="21"/>
          <w:szCs w:val="21"/>
        </w:rPr>
        <w:t xml:space="preserve">日期：    年   月   日       日期：   年    月   日             </w:t>
      </w:r>
    </w:p>
    <w:p>
      <w:pPr>
        <w:jc w:val="center"/>
        <w:rPr>
          <w:rFonts w:ascii="宋体" w:hAnsi="宋体"/>
          <w:color w:val="000000" w:themeColor="text1"/>
          <w:sz w:val="32"/>
          <w:szCs w:val="32"/>
        </w:rPr>
      </w:pPr>
    </w:p>
    <w:p>
      <w:pPr>
        <w:rPr>
          <w:rFonts w:ascii="宋体" w:hAnsi="宋体"/>
          <w:color w:val="000000" w:themeColor="text1"/>
          <w:sz w:val="32"/>
          <w:szCs w:val="32"/>
        </w:rPr>
      </w:pPr>
    </w:p>
    <w:p>
      <w:pPr>
        <w:pStyle w:val="7"/>
        <w:jc w:val="center"/>
        <w:rPr>
          <w:color w:val="000000" w:themeColor="text1"/>
        </w:rPr>
      </w:pPr>
      <w:bookmarkStart w:id="79" w:name="_Toc14436"/>
      <w:r>
        <w:rPr>
          <w:rFonts w:hint="eastAsia"/>
          <w:color w:val="000000" w:themeColor="text1"/>
        </w:rPr>
        <w:t>四、合同特殊条款</w:t>
      </w:r>
      <w:bookmarkEnd w:id="79"/>
    </w:p>
    <w:p>
      <w:pPr>
        <w:jc w:val="center"/>
        <w:rPr>
          <w:color w:val="000000" w:themeColor="text1"/>
        </w:rPr>
      </w:pPr>
      <w:r>
        <w:rPr>
          <w:rFonts w:hint="eastAsia"/>
          <w:color w:val="000000" w:themeColor="text1"/>
        </w:rPr>
        <w:t>（如有）</w:t>
      </w:r>
    </w:p>
    <w:p>
      <w:pPr>
        <w:rPr>
          <w:color w:val="000000" w:themeColor="text1"/>
        </w:rPr>
      </w:pPr>
    </w:p>
    <w:p>
      <w:pPr>
        <w:rPr>
          <w:color w:val="000000" w:themeColor="text1"/>
        </w:rPr>
      </w:pPr>
    </w:p>
    <w:p>
      <w:pPr>
        <w:rPr>
          <w:color w:val="000000" w:themeColor="text1"/>
        </w:rPr>
      </w:pPr>
      <w:r>
        <w:rPr>
          <w:rFonts w:hint="eastAsia"/>
          <w:color w:val="000000" w:themeColor="text1"/>
        </w:rPr>
        <w:br w:type="page"/>
      </w:r>
    </w:p>
    <w:p>
      <w:pPr>
        <w:pStyle w:val="5"/>
        <w:rPr>
          <w:color w:val="000000" w:themeColor="text1"/>
        </w:rPr>
      </w:pPr>
      <w:r>
        <w:rPr>
          <w:rFonts w:hint="eastAsia"/>
          <w:color w:val="000000" w:themeColor="text1"/>
        </w:rPr>
        <w:t>第八章 磋商响应文件</w:t>
      </w:r>
      <w:bookmarkEnd w:id="63"/>
      <w:bookmarkStart w:id="80" w:name="_Toc511898266"/>
      <w:bookmarkEnd w:id="80"/>
    </w:p>
    <w:p>
      <w:pPr>
        <w:ind w:firstLine="3360" w:firstLineChars="1050"/>
        <w:rPr>
          <w:rFonts w:ascii="宋体" w:hAnsi="宋体" w:cs="Arial"/>
          <w:color w:val="000000" w:themeColor="text1"/>
          <w:sz w:val="32"/>
          <w:szCs w:val="32"/>
        </w:rPr>
      </w:pPr>
    </w:p>
    <w:p>
      <w:pPr>
        <w:ind w:firstLine="3360" w:firstLineChars="1050"/>
        <w:rPr>
          <w:rFonts w:ascii="宋体" w:hAnsi="宋体" w:cs="Arial"/>
          <w:color w:val="000000" w:themeColor="text1"/>
          <w:sz w:val="32"/>
          <w:szCs w:val="32"/>
        </w:rPr>
      </w:pPr>
    </w:p>
    <w:p>
      <w:pPr>
        <w:rPr>
          <w:rFonts w:ascii="宋体" w:hAnsi="宋体" w:cs="Arial"/>
          <w:color w:val="000000" w:themeColor="text1"/>
          <w:sz w:val="32"/>
          <w:szCs w:val="32"/>
          <w:u w:val="single"/>
        </w:rPr>
      </w:pPr>
      <w:r>
        <w:rPr>
          <w:rFonts w:hint="eastAsia" w:ascii="宋体" w:hAnsi="宋体" w:cs="Arial"/>
          <w:color w:val="000000" w:themeColor="text1"/>
          <w:sz w:val="32"/>
          <w:szCs w:val="32"/>
        </w:rPr>
        <w:t>项目名称：</w:t>
      </w:r>
    </w:p>
    <w:p>
      <w:pPr>
        <w:rPr>
          <w:rFonts w:ascii="宋体" w:hAnsi="宋体" w:cs="Arial"/>
          <w:color w:val="000000" w:themeColor="text1"/>
          <w:sz w:val="32"/>
          <w:szCs w:val="32"/>
        </w:rPr>
      </w:pPr>
      <w:r>
        <w:rPr>
          <w:rFonts w:hint="eastAsia" w:ascii="宋体" w:hAnsi="宋体" w:cs="Arial"/>
          <w:color w:val="000000" w:themeColor="text1"/>
          <w:sz w:val="32"/>
          <w:szCs w:val="32"/>
        </w:rPr>
        <w:t>项目编号：</w:t>
      </w:r>
    </w:p>
    <w:p>
      <w:pPr>
        <w:jc w:val="center"/>
        <w:rPr>
          <w:rFonts w:ascii="宋体" w:hAnsi="宋体" w:cs="Arial"/>
          <w:color w:val="000000" w:themeColor="text1"/>
        </w:rPr>
      </w:pPr>
    </w:p>
    <w:p>
      <w:pPr>
        <w:jc w:val="center"/>
        <w:rPr>
          <w:rFonts w:ascii="黑体" w:eastAsia="黑体" w:cs="Arial"/>
          <w:color w:val="000000" w:themeColor="text1"/>
          <w:sz w:val="52"/>
          <w:szCs w:val="52"/>
        </w:rPr>
      </w:pPr>
      <w:r>
        <w:rPr>
          <w:rFonts w:hint="eastAsia" w:ascii="黑体" w:eastAsia="黑体" w:cs="Arial"/>
          <w:color w:val="000000" w:themeColor="text1"/>
          <w:sz w:val="52"/>
          <w:szCs w:val="52"/>
        </w:rPr>
        <w:t>磋</w:t>
      </w:r>
    </w:p>
    <w:p>
      <w:pPr>
        <w:jc w:val="center"/>
        <w:rPr>
          <w:rFonts w:ascii="黑体" w:eastAsia="黑体" w:cs="Arial"/>
          <w:color w:val="000000" w:themeColor="text1"/>
          <w:sz w:val="52"/>
          <w:szCs w:val="52"/>
        </w:rPr>
      </w:pPr>
      <w:r>
        <w:rPr>
          <w:rFonts w:hint="eastAsia" w:ascii="黑体" w:eastAsia="黑体" w:cs="Arial"/>
          <w:color w:val="000000" w:themeColor="text1"/>
          <w:sz w:val="52"/>
          <w:szCs w:val="52"/>
        </w:rPr>
        <w:t>商</w:t>
      </w:r>
    </w:p>
    <w:p>
      <w:pPr>
        <w:jc w:val="center"/>
        <w:rPr>
          <w:rFonts w:ascii="黑体" w:eastAsia="黑体" w:cs="Arial"/>
          <w:color w:val="000000" w:themeColor="text1"/>
          <w:sz w:val="52"/>
          <w:szCs w:val="52"/>
        </w:rPr>
      </w:pPr>
      <w:r>
        <w:rPr>
          <w:rFonts w:hint="eastAsia" w:ascii="黑体" w:eastAsia="黑体" w:cs="Arial"/>
          <w:color w:val="000000" w:themeColor="text1"/>
          <w:sz w:val="52"/>
          <w:szCs w:val="52"/>
        </w:rPr>
        <w:t>响</w:t>
      </w:r>
    </w:p>
    <w:p>
      <w:pPr>
        <w:jc w:val="center"/>
        <w:rPr>
          <w:rFonts w:ascii="黑体" w:eastAsia="黑体" w:cs="Arial"/>
          <w:color w:val="000000" w:themeColor="text1"/>
          <w:sz w:val="52"/>
          <w:szCs w:val="52"/>
        </w:rPr>
      </w:pPr>
      <w:r>
        <w:rPr>
          <w:rFonts w:hint="eastAsia" w:ascii="黑体" w:eastAsia="黑体" w:cs="Arial"/>
          <w:color w:val="000000" w:themeColor="text1"/>
          <w:sz w:val="52"/>
          <w:szCs w:val="52"/>
        </w:rPr>
        <w:t>应</w:t>
      </w:r>
    </w:p>
    <w:p>
      <w:pPr>
        <w:jc w:val="center"/>
        <w:rPr>
          <w:rFonts w:ascii="黑体" w:eastAsia="黑体" w:cs="Arial"/>
          <w:color w:val="000000" w:themeColor="text1"/>
          <w:sz w:val="52"/>
          <w:szCs w:val="52"/>
        </w:rPr>
      </w:pPr>
      <w:r>
        <w:rPr>
          <w:rFonts w:hint="eastAsia" w:ascii="黑体" w:eastAsia="黑体" w:cs="Arial"/>
          <w:color w:val="000000" w:themeColor="text1"/>
          <w:sz w:val="52"/>
          <w:szCs w:val="52"/>
        </w:rPr>
        <w:t>文</w:t>
      </w:r>
    </w:p>
    <w:p>
      <w:pPr>
        <w:jc w:val="center"/>
        <w:rPr>
          <w:rFonts w:ascii="黑体" w:eastAsia="黑体" w:cs="Arial"/>
          <w:color w:val="000000" w:themeColor="text1"/>
          <w:sz w:val="52"/>
          <w:szCs w:val="52"/>
        </w:rPr>
      </w:pPr>
      <w:r>
        <w:rPr>
          <w:rFonts w:hint="eastAsia" w:ascii="黑体" w:eastAsia="黑体" w:cs="Arial"/>
          <w:color w:val="000000" w:themeColor="text1"/>
          <w:sz w:val="52"/>
          <w:szCs w:val="52"/>
        </w:rPr>
        <w:t>件</w:t>
      </w:r>
    </w:p>
    <w:p>
      <w:pPr>
        <w:jc w:val="center"/>
        <w:rPr>
          <w:rFonts w:ascii="宋体" w:hAnsi="宋体" w:cs="Arial"/>
          <w:color w:val="000000" w:themeColor="text1"/>
        </w:rPr>
      </w:pPr>
    </w:p>
    <w:p>
      <w:pPr>
        <w:jc w:val="center"/>
        <w:rPr>
          <w:rFonts w:ascii="宋体" w:hAnsi="宋体" w:cs="Arial"/>
          <w:b/>
          <w:bCs/>
          <w:color w:val="000000" w:themeColor="text1"/>
          <w:sz w:val="28"/>
          <w:szCs w:val="28"/>
        </w:rPr>
      </w:pPr>
    </w:p>
    <w:p>
      <w:pPr>
        <w:jc w:val="center"/>
        <w:rPr>
          <w:rFonts w:ascii="宋体" w:hAnsi="宋体" w:cs="Arial"/>
          <w:color w:val="000000" w:themeColor="text1"/>
        </w:rPr>
      </w:pPr>
    </w:p>
    <w:p>
      <w:pPr>
        <w:jc w:val="center"/>
        <w:rPr>
          <w:rFonts w:ascii="宋体" w:hAnsi="宋体" w:cs="Arial"/>
          <w:color w:val="000000" w:themeColor="text1"/>
        </w:rPr>
      </w:pPr>
    </w:p>
    <w:p>
      <w:pPr>
        <w:ind w:firstLine="640" w:firstLineChars="200"/>
        <w:jc w:val="center"/>
        <w:rPr>
          <w:rFonts w:ascii="宋体" w:hAnsi="宋体" w:cs="Arial"/>
          <w:color w:val="000000" w:themeColor="text1"/>
          <w:sz w:val="32"/>
          <w:szCs w:val="32"/>
        </w:rPr>
      </w:pPr>
      <w:r>
        <w:rPr>
          <w:rFonts w:hint="eastAsia" w:ascii="宋体" w:hAnsi="宋体" w:cs="Arial"/>
          <w:color w:val="000000" w:themeColor="text1"/>
          <w:sz w:val="32"/>
          <w:szCs w:val="32"/>
        </w:rPr>
        <w:t>供应商：                  （盖章）</w:t>
      </w:r>
    </w:p>
    <w:p>
      <w:pPr>
        <w:ind w:firstLine="2880" w:firstLineChars="900"/>
        <w:rPr>
          <w:rFonts w:ascii="宋体" w:hAnsi="宋体" w:cs="Arial"/>
          <w:color w:val="000000" w:themeColor="text1"/>
          <w:sz w:val="32"/>
          <w:szCs w:val="32"/>
        </w:rPr>
      </w:pPr>
      <w:r>
        <w:rPr>
          <w:rFonts w:hint="eastAsia" w:ascii="宋体" w:hAnsi="宋体" w:cs="Arial"/>
          <w:color w:val="000000" w:themeColor="text1"/>
          <w:sz w:val="32"/>
          <w:szCs w:val="32"/>
        </w:rPr>
        <w:t>年      月      日</w:t>
      </w:r>
    </w:p>
    <w:p>
      <w:pPr>
        <w:pStyle w:val="31"/>
        <w:rPr>
          <w:color w:val="000000" w:themeColor="text1"/>
        </w:rPr>
      </w:pPr>
      <w:bookmarkStart w:id="81" w:name="_Toc293560330"/>
      <w:bookmarkEnd w:id="81"/>
      <w:bookmarkStart w:id="82" w:name="_Hlk450146465"/>
      <w:bookmarkEnd w:id="82"/>
      <w:bookmarkStart w:id="83" w:name="_Toc272141473"/>
      <w:bookmarkEnd w:id="83"/>
      <w:bookmarkStart w:id="84" w:name="_Toc19920"/>
      <w:r>
        <w:rPr>
          <w:rFonts w:hint="eastAsia"/>
          <w:color w:val="000000" w:themeColor="text1"/>
        </w:rPr>
        <w:br w:type="page"/>
      </w:r>
      <w:bookmarkEnd w:id="84"/>
      <w:bookmarkStart w:id="85" w:name="_Toc511899315"/>
      <w:bookmarkEnd w:id="85"/>
      <w:bookmarkStart w:id="86" w:name="_Toc8736"/>
      <w:bookmarkStart w:id="87" w:name="_Toc28461"/>
      <w:r>
        <w:rPr>
          <w:rFonts w:hint="eastAsia"/>
          <w:color w:val="000000" w:themeColor="text1"/>
        </w:rPr>
        <w:t>一、磋商响应函</w:t>
      </w:r>
      <w:bookmarkEnd w:id="86"/>
      <w:bookmarkEnd w:id="87"/>
    </w:p>
    <w:p>
      <w:pPr>
        <w:spacing w:line="440" w:lineRule="exact"/>
        <w:jc w:val="left"/>
        <w:rPr>
          <w:rFonts w:ascii="宋体" w:hAnsi="宋体" w:cs="Arial"/>
          <w:b/>
          <w:bCs/>
          <w:color w:val="000000" w:themeColor="text1"/>
        </w:rPr>
      </w:pPr>
      <w:r>
        <w:rPr>
          <w:rFonts w:hint="eastAsia" w:ascii="宋体" w:hAnsi="宋体" w:cs="Arial"/>
          <w:b/>
          <w:bCs/>
          <w:color w:val="000000" w:themeColor="text1"/>
        </w:rPr>
        <w:t>（采购人名称）：</w:t>
      </w:r>
    </w:p>
    <w:p>
      <w:pPr>
        <w:spacing w:line="360" w:lineRule="auto"/>
        <w:ind w:firstLine="420" w:firstLineChars="200"/>
        <w:rPr>
          <w:rFonts w:ascii="宋体" w:hAnsi="宋体" w:cs="Arial"/>
          <w:color w:val="000000" w:themeColor="text1"/>
        </w:rPr>
      </w:pPr>
      <w:r>
        <w:rPr>
          <w:rFonts w:hint="eastAsia" w:ascii="宋体" w:hAnsi="宋体" w:cs="Arial"/>
          <w:color w:val="000000" w:themeColor="text1"/>
        </w:rPr>
        <w:t>1、根据贵方</w:t>
      </w:r>
      <w:r>
        <w:rPr>
          <w:rFonts w:hint="eastAsia" w:ascii="宋体" w:hAnsi="宋体" w:cs="Arial"/>
          <w:color w:val="000000" w:themeColor="text1"/>
          <w:u w:val="single"/>
        </w:rPr>
        <w:t xml:space="preserve"> （项目编号） </w:t>
      </w:r>
      <w:r>
        <w:rPr>
          <w:rFonts w:hint="eastAsia" w:ascii="宋体" w:hAnsi="宋体" w:cs="Arial"/>
          <w:color w:val="000000" w:themeColor="text1"/>
        </w:rPr>
        <w:t>竞争性磋商公告，我们决定参加贵方组织的</w:t>
      </w:r>
      <w:r>
        <w:rPr>
          <w:rFonts w:hint="eastAsia" w:ascii="宋体" w:hAnsi="宋体" w:cs="Arial"/>
          <w:color w:val="000000" w:themeColor="text1"/>
          <w:u w:val="single"/>
        </w:rPr>
        <w:t xml:space="preserve"> （项目名称）   </w:t>
      </w:r>
      <w:r>
        <w:rPr>
          <w:rFonts w:hint="eastAsia" w:ascii="宋体" w:hAnsi="宋体" w:cs="Arial"/>
          <w:color w:val="000000" w:themeColor="text1"/>
        </w:rPr>
        <w:t>的采购活动。我方授权</w:t>
      </w:r>
      <w:r>
        <w:rPr>
          <w:rFonts w:hint="eastAsia" w:ascii="宋体" w:hAnsi="宋体" w:cs="Arial"/>
          <w:color w:val="000000" w:themeColor="text1"/>
          <w:u w:val="single"/>
        </w:rPr>
        <w:t xml:space="preserve">  (姓名和职务)   </w:t>
      </w:r>
      <w:r>
        <w:rPr>
          <w:rFonts w:hint="eastAsia" w:ascii="宋体" w:hAnsi="宋体" w:cs="Arial"/>
          <w:color w:val="000000" w:themeColor="text1"/>
        </w:rPr>
        <w:t>代表我方</w:t>
      </w:r>
      <w:r>
        <w:rPr>
          <w:rFonts w:hint="eastAsia" w:ascii="宋体" w:hAnsi="宋体" w:cs="Arial"/>
          <w:color w:val="000000" w:themeColor="text1"/>
          <w:u w:val="single"/>
        </w:rPr>
        <w:t xml:space="preserve">  （供应商全称）   </w:t>
      </w:r>
      <w:r>
        <w:rPr>
          <w:rFonts w:hint="eastAsia" w:ascii="宋体" w:hAnsi="宋体" w:cs="Arial"/>
          <w:color w:val="000000" w:themeColor="text1"/>
        </w:rPr>
        <w:t>全权处理本项目磋商的有关事宜。</w:t>
      </w:r>
    </w:p>
    <w:p>
      <w:pPr>
        <w:spacing w:line="360" w:lineRule="auto"/>
        <w:ind w:firstLine="420" w:firstLineChars="200"/>
        <w:rPr>
          <w:rFonts w:ascii="宋体" w:hAnsi="宋体" w:cs="Arial"/>
          <w:color w:val="000000" w:themeColor="text1"/>
        </w:rPr>
      </w:pPr>
      <w:r>
        <w:rPr>
          <w:rFonts w:hint="eastAsia" w:ascii="宋体" w:hAnsi="宋体" w:cs="Arial"/>
          <w:color w:val="000000" w:themeColor="text1"/>
        </w:rPr>
        <w:t>2、我方愿意按照竞争性磋商文件规定的各项要求，向采购人提供所需的货物、服务或工程，总报价为人民币（大写）。（￥</w:t>
      </w:r>
      <w:r>
        <w:rPr>
          <w:rFonts w:hint="eastAsia" w:ascii="宋体" w:hAnsi="宋体" w:cs="Arial"/>
          <w:color w:val="000000" w:themeColor="text1"/>
          <w:u w:val="single"/>
        </w:rPr>
        <w:t>       </w:t>
      </w:r>
      <w:r>
        <w:rPr>
          <w:rFonts w:hint="eastAsia" w:ascii="宋体" w:hAnsi="宋体" w:cs="Arial"/>
          <w:color w:val="000000" w:themeColor="text1"/>
        </w:rPr>
        <w:t>元）</w:t>
      </w:r>
    </w:p>
    <w:p>
      <w:pPr>
        <w:spacing w:line="360" w:lineRule="auto"/>
        <w:ind w:firstLine="420" w:firstLineChars="200"/>
        <w:rPr>
          <w:rFonts w:ascii="宋体" w:hAnsi="宋体" w:cs="Arial"/>
          <w:color w:val="000000" w:themeColor="text1"/>
        </w:rPr>
      </w:pPr>
      <w:r>
        <w:rPr>
          <w:rFonts w:hint="eastAsia" w:ascii="宋体" w:hAnsi="宋体" w:cs="Arial"/>
          <w:color w:val="000000" w:themeColor="text1"/>
        </w:rPr>
        <w:t>3、一旦我方中标，我方将严格履行合同规定的责任和义务，服务期：日历天。</w:t>
      </w:r>
    </w:p>
    <w:p>
      <w:pPr>
        <w:spacing w:line="360" w:lineRule="auto"/>
        <w:ind w:firstLine="420" w:firstLineChars="200"/>
        <w:rPr>
          <w:rFonts w:ascii="宋体" w:hAnsi="宋体" w:cs="Arial"/>
          <w:color w:val="000000" w:themeColor="text1"/>
        </w:rPr>
      </w:pPr>
      <w:r>
        <w:rPr>
          <w:rFonts w:hint="eastAsia" w:ascii="宋体" w:hAnsi="宋体" w:cs="Arial"/>
          <w:color w:val="000000" w:themeColor="text1"/>
        </w:rPr>
        <w:t>4、我方承诺，在磋商有效期内如果我方撤回磋商响应文件或成交后拒绝签订合同，我方将放弃要求贵方退还磋商保证金的权利。</w:t>
      </w:r>
    </w:p>
    <w:p>
      <w:pPr>
        <w:spacing w:line="360" w:lineRule="auto"/>
        <w:ind w:firstLine="420" w:firstLineChars="200"/>
        <w:rPr>
          <w:rFonts w:ascii="宋体" w:hAnsi="宋体" w:cs="Arial"/>
          <w:color w:val="000000" w:themeColor="text1"/>
        </w:rPr>
      </w:pPr>
      <w:r>
        <w:rPr>
          <w:rFonts w:hint="eastAsia" w:ascii="宋体" w:hAnsi="宋体" w:cs="Arial"/>
          <w:color w:val="000000" w:themeColor="text1"/>
        </w:rPr>
        <w:t>5、我方愿意提供贵方可能另外要求的、与磋商有关的文件资料，并保证我方已提供和将要提供的文件是真实的、准确的。</w:t>
      </w:r>
    </w:p>
    <w:p>
      <w:pPr>
        <w:spacing w:line="360" w:lineRule="auto"/>
        <w:ind w:firstLine="420" w:firstLineChars="200"/>
        <w:rPr>
          <w:rFonts w:ascii="宋体" w:hAnsi="宋体" w:cs="Arial"/>
          <w:color w:val="000000" w:themeColor="text1"/>
        </w:rPr>
      </w:pPr>
      <w:r>
        <w:rPr>
          <w:rFonts w:hint="eastAsia" w:ascii="宋体" w:hAnsi="宋体" w:cs="Arial"/>
          <w:color w:val="000000" w:themeColor="text1"/>
        </w:rPr>
        <w:t>6、我方提供以下开户行、账号，供结算货款（如果成交）：</w:t>
      </w:r>
    </w:p>
    <w:p>
      <w:pPr>
        <w:spacing w:line="360" w:lineRule="auto"/>
        <w:ind w:firstLine="420" w:firstLineChars="200"/>
        <w:rPr>
          <w:rFonts w:ascii="宋体" w:hAnsi="宋体" w:cs="Arial"/>
          <w:color w:val="000000" w:themeColor="text1"/>
        </w:rPr>
      </w:pPr>
      <w:r>
        <w:rPr>
          <w:rFonts w:hint="eastAsia" w:ascii="宋体" w:hAnsi="宋体" w:cs="Arial"/>
          <w:color w:val="000000" w:themeColor="text1"/>
        </w:rPr>
        <w:t xml:space="preserve">户名（全称）：    </w:t>
      </w:r>
    </w:p>
    <w:p>
      <w:pPr>
        <w:spacing w:line="360" w:lineRule="auto"/>
        <w:ind w:firstLine="420" w:firstLineChars="200"/>
        <w:rPr>
          <w:rFonts w:ascii="宋体" w:hAnsi="宋体" w:cs="Arial"/>
          <w:color w:val="000000" w:themeColor="text1"/>
        </w:rPr>
      </w:pPr>
      <w:r>
        <w:rPr>
          <w:rFonts w:hint="eastAsia" w:ascii="宋体" w:hAnsi="宋体" w:cs="Arial"/>
          <w:color w:val="000000" w:themeColor="text1"/>
        </w:rPr>
        <w:t xml:space="preserve">开户行：       </w:t>
      </w:r>
    </w:p>
    <w:p>
      <w:pPr>
        <w:spacing w:line="440" w:lineRule="exact"/>
        <w:ind w:firstLine="482" w:firstLineChars="230"/>
        <w:jc w:val="left"/>
        <w:rPr>
          <w:rFonts w:ascii="宋体" w:hAnsi="宋体"/>
          <w:color w:val="000000" w:themeColor="text1"/>
        </w:rPr>
      </w:pPr>
      <w:r>
        <w:rPr>
          <w:rFonts w:hint="eastAsia" w:ascii="宋体" w:hAnsi="宋体" w:cs="Arial"/>
          <w:color w:val="000000" w:themeColor="text1"/>
        </w:rPr>
        <w:t>账号（请填写完整）：</w:t>
      </w:r>
      <w:bookmarkStart w:id="88" w:name="_Hlk450185103"/>
      <w:bookmarkEnd w:id="88"/>
      <w:bookmarkStart w:id="89" w:name="_Toc272141474"/>
      <w:bookmarkEnd w:id="89"/>
    </w:p>
    <w:p>
      <w:pPr>
        <w:pStyle w:val="33"/>
        <w:widowControl w:val="0"/>
        <w:spacing w:line="440" w:lineRule="atLeast"/>
        <w:ind w:firstLine="3675"/>
        <w:rPr>
          <w:color w:val="000000" w:themeColor="text1"/>
        </w:rPr>
      </w:pPr>
      <w:r>
        <w:rPr>
          <w:rFonts w:hint="eastAsia" w:ascii="宋体" w:hAnsi="宋体"/>
          <w:color w:val="000000" w:themeColor="text1"/>
        </w:rPr>
        <w:t>供应商</w:t>
      </w:r>
      <w:r>
        <w:rPr>
          <w:rFonts w:ascii="宋体" w:hAnsi="宋体"/>
          <w:color w:val="000000" w:themeColor="text1"/>
        </w:rPr>
        <w:t>：（</w:t>
      </w:r>
      <w:r>
        <w:rPr>
          <w:rFonts w:hint="eastAsia" w:ascii="宋体" w:hAnsi="宋体"/>
          <w:color w:val="000000" w:themeColor="text1"/>
        </w:rPr>
        <w:t>盖</w:t>
      </w:r>
      <w:r>
        <w:rPr>
          <w:rFonts w:ascii="宋体" w:hAnsi="宋体"/>
          <w:color w:val="000000" w:themeColor="text1"/>
        </w:rPr>
        <w:t>章）</w:t>
      </w:r>
    </w:p>
    <w:p>
      <w:pPr>
        <w:pStyle w:val="33"/>
        <w:widowControl w:val="0"/>
        <w:spacing w:line="440" w:lineRule="atLeast"/>
        <w:ind w:firstLine="3570" w:firstLineChars="1700"/>
        <w:rPr>
          <w:color w:val="000000" w:themeColor="text1"/>
        </w:rPr>
      </w:pPr>
      <w:r>
        <w:rPr>
          <w:rFonts w:ascii="宋体" w:hAnsi="宋体"/>
          <w:color w:val="000000" w:themeColor="text1"/>
        </w:rPr>
        <w:t>法定代表人</w:t>
      </w:r>
      <w:r>
        <w:rPr>
          <w:rFonts w:hint="eastAsia" w:ascii="宋体" w:hAnsi="宋体"/>
          <w:color w:val="000000" w:themeColor="text1"/>
        </w:rPr>
        <w:t>（签字或盖章）或代理人签字</w:t>
      </w:r>
      <w:r>
        <w:rPr>
          <w:rFonts w:ascii="宋体" w:hAnsi="宋体"/>
          <w:color w:val="000000" w:themeColor="text1"/>
        </w:rPr>
        <w:t>：</w:t>
      </w:r>
    </w:p>
    <w:p>
      <w:pPr>
        <w:pStyle w:val="33"/>
        <w:widowControl w:val="0"/>
        <w:spacing w:line="440" w:lineRule="atLeast"/>
        <w:ind w:firstLine="3675"/>
        <w:rPr>
          <w:rFonts w:ascii="宋体" w:hAnsi="宋体"/>
          <w:color w:val="000000" w:themeColor="text1"/>
        </w:rPr>
      </w:pPr>
      <w:r>
        <w:rPr>
          <w:rFonts w:ascii="宋体" w:hAnsi="宋体"/>
          <w:color w:val="000000" w:themeColor="text1"/>
        </w:rPr>
        <w:t>地址：</w:t>
      </w:r>
    </w:p>
    <w:p>
      <w:pPr>
        <w:pStyle w:val="33"/>
        <w:widowControl w:val="0"/>
        <w:spacing w:line="440" w:lineRule="atLeast"/>
        <w:ind w:firstLine="3675"/>
        <w:rPr>
          <w:rFonts w:ascii="宋体" w:hAnsi="宋体"/>
          <w:color w:val="000000" w:themeColor="text1"/>
        </w:rPr>
      </w:pPr>
      <w:r>
        <w:rPr>
          <w:rFonts w:ascii="宋体" w:hAnsi="宋体"/>
          <w:color w:val="000000" w:themeColor="text1"/>
        </w:rPr>
        <w:t>网址：</w:t>
      </w:r>
    </w:p>
    <w:p>
      <w:pPr>
        <w:pStyle w:val="33"/>
        <w:widowControl w:val="0"/>
        <w:spacing w:line="440" w:lineRule="atLeast"/>
        <w:ind w:firstLine="3675"/>
        <w:rPr>
          <w:rFonts w:ascii="宋体" w:hAnsi="宋体"/>
          <w:color w:val="000000" w:themeColor="text1"/>
        </w:rPr>
      </w:pPr>
      <w:r>
        <w:rPr>
          <w:rFonts w:ascii="宋体" w:hAnsi="宋体"/>
          <w:color w:val="000000" w:themeColor="text1"/>
        </w:rPr>
        <w:t>电话：</w:t>
      </w:r>
    </w:p>
    <w:p>
      <w:pPr>
        <w:pStyle w:val="33"/>
        <w:widowControl w:val="0"/>
        <w:spacing w:line="440" w:lineRule="atLeast"/>
        <w:ind w:firstLine="3675"/>
        <w:rPr>
          <w:rFonts w:ascii="宋体" w:hAnsi="宋体"/>
          <w:color w:val="000000" w:themeColor="text1"/>
        </w:rPr>
      </w:pPr>
      <w:r>
        <w:rPr>
          <w:rFonts w:ascii="宋体" w:hAnsi="宋体"/>
          <w:color w:val="000000" w:themeColor="text1"/>
        </w:rPr>
        <w:t>传真：</w:t>
      </w:r>
    </w:p>
    <w:p>
      <w:pPr>
        <w:pStyle w:val="33"/>
        <w:widowControl w:val="0"/>
        <w:spacing w:line="440" w:lineRule="atLeast"/>
        <w:ind w:firstLine="3675"/>
        <w:rPr>
          <w:rFonts w:ascii="宋体" w:hAnsi="宋体"/>
          <w:color w:val="000000" w:themeColor="text1"/>
        </w:rPr>
      </w:pPr>
      <w:r>
        <w:rPr>
          <w:rFonts w:ascii="宋体" w:hAnsi="宋体"/>
          <w:color w:val="000000" w:themeColor="text1"/>
        </w:rPr>
        <w:t>邮政编码：</w:t>
      </w:r>
    </w:p>
    <w:p>
      <w:pPr>
        <w:spacing w:line="440" w:lineRule="exact"/>
        <w:ind w:firstLine="2100" w:firstLineChars="1000"/>
        <w:jc w:val="left"/>
        <w:rPr>
          <w:rFonts w:ascii="宋体" w:hAnsi="宋体"/>
          <w:color w:val="000000" w:themeColor="text1"/>
          <w:u w:val="single"/>
        </w:rPr>
      </w:pPr>
      <w:r>
        <w:rPr>
          <w:rFonts w:hint="eastAsia" w:ascii="宋体" w:hAnsi="宋体"/>
          <w:color w:val="000000" w:themeColor="text1"/>
        </w:rPr>
        <w:t xml:space="preserve">               日期：</w:t>
      </w:r>
    </w:p>
    <w:p>
      <w:pPr>
        <w:pStyle w:val="31"/>
        <w:ind w:firstLine="422" w:firstLineChars="200"/>
        <w:rPr>
          <w:color w:val="000000" w:themeColor="text1"/>
        </w:rPr>
      </w:pPr>
      <w:bookmarkStart w:id="90" w:name="_Toc511899316"/>
      <w:bookmarkEnd w:id="90"/>
      <w:bookmarkStart w:id="91" w:name="_Toc293560334"/>
      <w:bookmarkEnd w:id="91"/>
      <w:bookmarkStart w:id="92" w:name="_Toc272141478"/>
      <w:bookmarkEnd w:id="92"/>
      <w:bookmarkStart w:id="93" w:name="_Toc511899317"/>
      <w:bookmarkEnd w:id="93"/>
      <w:bookmarkStart w:id="94" w:name="_Toc17842"/>
      <w:r>
        <w:rPr>
          <w:rFonts w:hint="eastAsia"/>
          <w:color w:val="000000" w:themeColor="text1"/>
        </w:rPr>
        <w:br w:type="page"/>
      </w:r>
      <w:bookmarkEnd w:id="94"/>
      <w:bookmarkStart w:id="95" w:name="_Toc4648"/>
      <w:permStart w:id="0" w:edGrp="everyone"/>
      <w:r>
        <w:rPr>
          <w:rFonts w:hint="eastAsia"/>
          <w:color w:val="000000" w:themeColor="text1"/>
        </w:rPr>
        <w:t>二、项目要求响应情况表（服务类项目适用）</w:t>
      </w:r>
      <w:bookmarkEnd w:id="95"/>
    </w:p>
    <w:p>
      <w:pPr>
        <w:rPr>
          <w:rFonts w:ascii="宋体" w:hAnsi="宋体"/>
          <w:color w:val="000000" w:themeColor="text1"/>
        </w:rPr>
      </w:pPr>
    </w:p>
    <w:tbl>
      <w:tblPr>
        <w:tblStyle w:val="22"/>
        <w:tblW w:w="8700"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38"/>
        <w:gridCol w:w="2176"/>
        <w:gridCol w:w="1435"/>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r>
              <w:rPr>
                <w:rFonts w:hint="eastAsia" w:ascii="宋体" w:hAnsi="宋体" w:cs="Arial"/>
                <w:color w:val="000000" w:themeColor="text1"/>
              </w:rPr>
              <w:t>序号</w:t>
            </w:r>
          </w:p>
        </w:tc>
        <w:tc>
          <w:tcPr>
            <w:tcW w:w="3138"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r>
              <w:rPr>
                <w:rFonts w:hint="eastAsia" w:ascii="宋体" w:hAnsi="宋体" w:cs="Arial"/>
                <w:color w:val="000000" w:themeColor="text1"/>
              </w:rPr>
              <w:t>磋商文件要求</w:t>
            </w:r>
          </w:p>
        </w:tc>
        <w:tc>
          <w:tcPr>
            <w:tcW w:w="2176"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color w:val="000000" w:themeColor="text1"/>
              </w:rPr>
            </w:pPr>
            <w:r>
              <w:rPr>
                <w:rFonts w:hint="eastAsia" w:ascii="宋体" w:hAnsi="宋体" w:cs="Arial"/>
                <w:color w:val="000000" w:themeColor="text1"/>
              </w:rPr>
              <w:t>供应商填写</w:t>
            </w:r>
          </w:p>
        </w:tc>
        <w:tc>
          <w:tcPr>
            <w:tcW w:w="1435"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color w:val="000000" w:themeColor="text1"/>
              </w:rPr>
            </w:pPr>
            <w:r>
              <w:rPr>
                <w:rFonts w:hint="eastAsia" w:ascii="宋体" w:hAnsi="宋体" w:cs="Arial"/>
                <w:color w:val="000000" w:themeColor="text1"/>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color w:val="000000" w:themeColor="text1"/>
              </w:rPr>
            </w:pPr>
          </w:p>
        </w:tc>
        <w:tc>
          <w:tcPr>
            <w:tcW w:w="3138"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rPr>
            </w:pPr>
          </w:p>
        </w:tc>
        <w:tc>
          <w:tcPr>
            <w:tcW w:w="2176"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rPr>
            </w:pPr>
          </w:p>
        </w:tc>
        <w:tc>
          <w:tcPr>
            <w:tcW w:w="1435" w:type="dxa"/>
            <w:tcBorders>
              <w:top w:val="single" w:color="auto" w:sz="4" w:space="0"/>
              <w:left w:val="single" w:color="auto" w:sz="4" w:space="0"/>
              <w:bottom w:val="double" w:color="auto" w:sz="2" w:space="0"/>
              <w:right w:val="double" w:color="auto" w:sz="2" w:space="0"/>
            </w:tcBorders>
          </w:tcPr>
          <w:p>
            <w:pPr>
              <w:rPr>
                <w:rFonts w:ascii="宋体" w:hAnsi="宋体" w:cs="Arial"/>
                <w:color w:val="000000" w:themeColor="text1"/>
              </w:rPr>
            </w:pPr>
          </w:p>
        </w:tc>
      </w:tr>
    </w:tbl>
    <w:p>
      <w:pPr>
        <w:rPr>
          <w:rFonts w:ascii="宋体" w:hAnsi="宋体" w:cs="Arial"/>
          <w:b/>
          <w:bCs/>
          <w:color w:val="000000" w:themeColor="text1"/>
        </w:rPr>
      </w:pPr>
    </w:p>
    <w:p>
      <w:pPr>
        <w:rPr>
          <w:rFonts w:ascii="宋体" w:hAnsi="宋体" w:cs="Arial"/>
          <w:color w:val="000000" w:themeColor="text1"/>
        </w:rPr>
      </w:pPr>
      <w:r>
        <w:rPr>
          <w:rFonts w:hint="eastAsia" w:ascii="宋体" w:hAnsi="宋体" w:cs="Arial"/>
          <w:color w:val="000000" w:themeColor="text1"/>
        </w:rPr>
        <w:t>注意：</w:t>
      </w:r>
    </w:p>
    <w:p>
      <w:pPr>
        <w:ind w:firstLine="420" w:firstLineChars="200"/>
        <w:rPr>
          <w:rFonts w:ascii="宋体" w:hAnsi="宋体" w:cs="Arial"/>
          <w:b/>
          <w:bCs/>
          <w:color w:val="000000" w:themeColor="text1"/>
        </w:rPr>
      </w:pPr>
      <w:r>
        <w:rPr>
          <w:rFonts w:hint="eastAsia" w:ascii="宋体" w:hAnsi="宋体" w:cs="Arial"/>
          <w:color w:val="000000" w:themeColor="text1"/>
        </w:rPr>
        <w:t>1、供应商必须将自己的服务真实、准确地填入“供应商响应情况”中，</w:t>
      </w:r>
      <w:r>
        <w:rPr>
          <w:rFonts w:hint="eastAsia" w:ascii="宋体" w:hAnsi="宋体"/>
          <w:color w:val="000000" w:themeColor="text1"/>
        </w:rPr>
        <w:t>不得以“同左”或“同上”形式填写。</w:t>
      </w:r>
    </w:p>
    <w:p>
      <w:pPr>
        <w:spacing w:line="360" w:lineRule="exact"/>
        <w:ind w:firstLine="420" w:firstLineChars="200"/>
        <w:rPr>
          <w:rFonts w:ascii="宋体" w:hAnsi="宋体" w:cs="Arial"/>
          <w:color w:val="000000" w:themeColor="text1"/>
        </w:rPr>
      </w:pPr>
      <w:r>
        <w:rPr>
          <w:rFonts w:hint="eastAsia" w:ascii="宋体" w:hAnsi="宋体" w:cs="Arial"/>
          <w:color w:val="000000" w:themeColor="text1"/>
        </w:rPr>
        <w:t>2、供应商必须根据自己所提供的施工或者服务与“磋商文件要求”的差异情况，实事求是地填写“响应情况”（优于、满足、不满足），并将这些差异内容用加粗的字体显示出来，不得出现</w:t>
      </w:r>
      <w:r>
        <w:rPr>
          <w:rFonts w:hint="eastAsia" w:ascii="宋体" w:hAnsi="宋体"/>
          <w:color w:val="000000" w:themeColor="text1"/>
        </w:rPr>
        <w:t>通过改动磋商文件要求而使自已满足要求的情况。</w:t>
      </w:r>
    </w:p>
    <w:p>
      <w:pPr>
        <w:spacing w:line="360" w:lineRule="exact"/>
        <w:ind w:firstLine="420" w:firstLineChars="200"/>
        <w:rPr>
          <w:rFonts w:ascii="宋体" w:hAnsi="宋体" w:cs="Arial"/>
          <w:color w:val="000000" w:themeColor="text1"/>
        </w:rPr>
      </w:pPr>
      <w:r>
        <w:rPr>
          <w:rFonts w:hint="eastAsia" w:ascii="宋体" w:hAnsi="宋体" w:cs="Arial"/>
          <w:color w:val="000000" w:themeColor="text1"/>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ascii="宋体" w:hAnsi="宋体"/>
          <w:color w:val="000000" w:themeColor="text1"/>
        </w:rPr>
      </w:pPr>
      <w:r>
        <w:rPr>
          <w:rFonts w:hint="eastAsia" w:ascii="宋体" w:hAnsi="宋体"/>
          <w:color w:val="000000" w:themeColor="text1"/>
        </w:rPr>
        <w:t>4、本表填报顺序需按磋商文件“第三章第一大项”中的顺序填写。</w:t>
      </w:r>
      <w:bookmarkStart w:id="96" w:name="_Toc18510"/>
      <w:bookmarkEnd w:id="96"/>
      <w:bookmarkStart w:id="97" w:name="_Toc272141479"/>
      <w:bookmarkEnd w:id="97"/>
      <w:bookmarkStart w:id="98" w:name="_Toc293560335"/>
      <w:bookmarkEnd w:id="98"/>
    </w:p>
    <w:p>
      <w:pPr>
        <w:pStyle w:val="31"/>
        <w:rPr>
          <w:color w:val="000000" w:themeColor="text1"/>
        </w:rPr>
      </w:pPr>
      <w:r>
        <w:rPr>
          <w:rFonts w:hint="eastAsia"/>
          <w:color w:val="000000" w:themeColor="text1"/>
        </w:rPr>
        <w:br w:type="page"/>
      </w:r>
      <w:permEnd w:id="0"/>
      <w:bookmarkStart w:id="99" w:name="_Toc511899318"/>
      <w:bookmarkEnd w:id="99"/>
      <w:bookmarkStart w:id="100" w:name="_Toc23789"/>
      <w:r>
        <w:rPr>
          <w:rFonts w:hint="eastAsia"/>
          <w:color w:val="000000" w:themeColor="text1"/>
        </w:rPr>
        <w:t>三、商务要求响应情况表（通用）</w:t>
      </w:r>
      <w:bookmarkEnd w:id="100"/>
    </w:p>
    <w:p>
      <w:pPr>
        <w:rPr>
          <w:rFonts w:ascii="宋体" w:hAnsi="宋体"/>
          <w:color w:val="000000" w:themeColor="text1"/>
        </w:rPr>
      </w:pPr>
    </w:p>
    <w:tbl>
      <w:tblPr>
        <w:tblStyle w:val="22"/>
        <w:tblW w:w="8791"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2531"/>
        <w:gridCol w:w="1474"/>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r>
              <w:rPr>
                <w:rFonts w:hint="eastAsia" w:ascii="宋体" w:hAnsi="宋体" w:cs="Arial"/>
                <w:color w:val="000000" w:themeColor="text1"/>
              </w:rPr>
              <w:t>序号</w:t>
            </w:r>
          </w:p>
        </w:tc>
        <w:tc>
          <w:tcPr>
            <w:tcW w:w="3544"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r>
              <w:rPr>
                <w:rFonts w:hint="eastAsia" w:ascii="宋体" w:hAnsi="宋体" w:cs="Arial"/>
                <w:color w:val="000000" w:themeColor="text1"/>
              </w:rPr>
              <w:t>磋商文件要求</w:t>
            </w:r>
          </w:p>
        </w:tc>
        <w:tc>
          <w:tcPr>
            <w:tcW w:w="2531"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color w:val="000000" w:themeColor="text1"/>
              </w:rPr>
            </w:pPr>
            <w:r>
              <w:rPr>
                <w:rFonts w:hint="eastAsia" w:ascii="宋体" w:hAnsi="宋体" w:cs="Arial"/>
                <w:color w:val="000000" w:themeColor="text1"/>
              </w:rPr>
              <w:t>供应商填写</w:t>
            </w:r>
          </w:p>
        </w:tc>
        <w:tc>
          <w:tcPr>
            <w:tcW w:w="1474"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color w:val="000000" w:themeColor="text1"/>
              </w:rPr>
            </w:pPr>
            <w:r>
              <w:rPr>
                <w:rFonts w:hint="eastAsia" w:ascii="宋体" w:hAnsi="宋体" w:cs="Arial"/>
                <w:color w:val="000000" w:themeColor="text1"/>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color w:val="000000" w:themeColor="text1"/>
              </w:rPr>
            </w:pPr>
          </w:p>
        </w:tc>
        <w:tc>
          <w:tcPr>
            <w:tcW w:w="3544"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rPr>
            </w:pPr>
          </w:p>
        </w:tc>
        <w:tc>
          <w:tcPr>
            <w:tcW w:w="2531"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rPr>
            </w:pPr>
          </w:p>
        </w:tc>
        <w:tc>
          <w:tcPr>
            <w:tcW w:w="1474" w:type="dxa"/>
            <w:tcBorders>
              <w:top w:val="single" w:color="auto" w:sz="4" w:space="0"/>
              <w:left w:val="single" w:color="auto" w:sz="4" w:space="0"/>
              <w:bottom w:val="double" w:color="auto" w:sz="2" w:space="0"/>
              <w:right w:val="double" w:color="auto" w:sz="2" w:space="0"/>
            </w:tcBorders>
          </w:tcPr>
          <w:p>
            <w:pPr>
              <w:rPr>
                <w:rFonts w:ascii="宋体" w:hAnsi="宋体" w:cs="Arial"/>
                <w:color w:val="000000" w:themeColor="text1"/>
              </w:rPr>
            </w:pPr>
          </w:p>
        </w:tc>
      </w:tr>
    </w:tbl>
    <w:p>
      <w:pPr>
        <w:rPr>
          <w:rFonts w:ascii="宋体" w:hAnsi="宋体" w:cs="Arial"/>
          <w:b/>
          <w:bCs/>
          <w:color w:val="000000" w:themeColor="text1"/>
        </w:rPr>
      </w:pPr>
    </w:p>
    <w:p>
      <w:pPr>
        <w:rPr>
          <w:rFonts w:ascii="宋体" w:hAnsi="宋体" w:cs="Arial"/>
          <w:color w:val="000000" w:themeColor="text1"/>
        </w:rPr>
      </w:pPr>
      <w:r>
        <w:rPr>
          <w:rFonts w:hint="eastAsia" w:ascii="宋体" w:hAnsi="宋体" w:cs="Arial"/>
          <w:color w:val="000000" w:themeColor="text1"/>
        </w:rPr>
        <w:t>注意：</w:t>
      </w:r>
    </w:p>
    <w:p>
      <w:pPr>
        <w:ind w:firstLine="420" w:firstLineChars="200"/>
        <w:rPr>
          <w:rFonts w:ascii="宋体" w:hAnsi="宋体" w:cs="Arial"/>
          <w:b/>
          <w:bCs/>
          <w:color w:val="000000" w:themeColor="text1"/>
        </w:rPr>
      </w:pPr>
      <w:r>
        <w:rPr>
          <w:rFonts w:hint="eastAsia" w:ascii="宋体" w:hAnsi="宋体" w:cs="Arial"/>
          <w:color w:val="000000" w:themeColor="text1"/>
        </w:rPr>
        <w:t>1、供应商必须将自己的服务真实、准确地填入“供应商响应情况”中，</w:t>
      </w:r>
      <w:r>
        <w:rPr>
          <w:rFonts w:hint="eastAsia" w:ascii="宋体" w:hAnsi="宋体"/>
          <w:color w:val="000000" w:themeColor="text1"/>
        </w:rPr>
        <w:t>不得以“同左”或“同上”形式填写。</w:t>
      </w:r>
    </w:p>
    <w:p>
      <w:pPr>
        <w:spacing w:line="360" w:lineRule="exact"/>
        <w:ind w:firstLine="420" w:firstLineChars="200"/>
        <w:rPr>
          <w:rFonts w:ascii="宋体" w:hAnsi="宋体" w:cs="Arial"/>
          <w:color w:val="000000" w:themeColor="text1"/>
        </w:rPr>
      </w:pPr>
      <w:r>
        <w:rPr>
          <w:rFonts w:hint="eastAsia" w:ascii="宋体" w:hAnsi="宋体" w:cs="Arial"/>
          <w:color w:val="000000" w:themeColor="text1"/>
        </w:rPr>
        <w:t>2、供应商必须根据自己所投服务与“磋商文件要求”的差异情况，实事求是地填写“响应情况”（优于、满足、不满足），并将这些差异内容用加粗的字体显示出来，不得出现</w:t>
      </w:r>
      <w:r>
        <w:rPr>
          <w:rFonts w:hint="eastAsia" w:ascii="宋体" w:hAnsi="宋体"/>
          <w:color w:val="000000" w:themeColor="text1"/>
        </w:rPr>
        <w:t>通过改动磋商文件要求而使自已的产品满足要求的情况。</w:t>
      </w:r>
    </w:p>
    <w:p>
      <w:pPr>
        <w:spacing w:line="360" w:lineRule="exact"/>
        <w:ind w:firstLine="420" w:firstLineChars="200"/>
        <w:rPr>
          <w:rFonts w:ascii="宋体" w:hAnsi="宋体" w:cs="Arial"/>
          <w:color w:val="000000" w:themeColor="text1"/>
        </w:rPr>
      </w:pPr>
      <w:r>
        <w:rPr>
          <w:rFonts w:hint="eastAsia" w:ascii="宋体" w:hAnsi="宋体" w:cs="Arial"/>
          <w:color w:val="000000" w:themeColor="text1"/>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ascii="宋体" w:hAnsi="宋体" w:cs="Arial"/>
          <w:color w:val="000000" w:themeColor="text1"/>
        </w:rPr>
      </w:pPr>
      <w:r>
        <w:rPr>
          <w:rFonts w:hint="eastAsia" w:ascii="宋体" w:hAnsi="宋体" w:cs="Arial"/>
          <w:color w:val="000000" w:themeColor="text1"/>
        </w:rPr>
        <w:t>4、本表填报顺序需按磋商文件“第三章第二大项”中的顺序填写。</w:t>
      </w:r>
    </w:p>
    <w:p>
      <w:pPr>
        <w:spacing w:line="360" w:lineRule="exact"/>
        <w:ind w:firstLine="420" w:firstLineChars="200"/>
        <w:rPr>
          <w:rFonts w:ascii="宋体" w:hAnsi="宋体"/>
          <w:color w:val="000000" w:themeColor="text1"/>
        </w:rPr>
      </w:pPr>
    </w:p>
    <w:p>
      <w:pPr>
        <w:spacing w:line="360" w:lineRule="exact"/>
        <w:ind w:firstLine="420" w:firstLineChars="200"/>
        <w:rPr>
          <w:rFonts w:ascii="宋体" w:hAnsi="宋体"/>
          <w:color w:val="000000" w:themeColor="text1"/>
        </w:rPr>
      </w:pPr>
    </w:p>
    <w:p>
      <w:pPr>
        <w:spacing w:line="360" w:lineRule="exact"/>
        <w:ind w:firstLine="420" w:firstLineChars="200"/>
        <w:rPr>
          <w:rFonts w:ascii="宋体" w:hAnsi="宋体"/>
          <w:color w:val="000000" w:themeColor="text1"/>
        </w:rPr>
      </w:pPr>
    </w:p>
    <w:p>
      <w:pPr>
        <w:spacing w:line="360" w:lineRule="exact"/>
        <w:ind w:firstLine="420" w:firstLineChars="200"/>
        <w:rPr>
          <w:rFonts w:ascii="宋体" w:hAnsi="宋体"/>
          <w:color w:val="000000" w:themeColor="text1"/>
        </w:rPr>
      </w:pPr>
    </w:p>
    <w:p>
      <w:pPr>
        <w:spacing w:line="360" w:lineRule="exact"/>
        <w:ind w:firstLine="420" w:firstLineChars="200"/>
        <w:rPr>
          <w:rFonts w:ascii="宋体" w:hAnsi="宋体"/>
          <w:color w:val="000000" w:themeColor="text1"/>
        </w:rPr>
      </w:pPr>
    </w:p>
    <w:p>
      <w:pPr>
        <w:pStyle w:val="31"/>
        <w:rPr>
          <w:color w:val="000000" w:themeColor="text1"/>
        </w:rPr>
      </w:pPr>
      <w:r>
        <w:rPr>
          <w:rFonts w:hint="eastAsia"/>
          <w:color w:val="000000" w:themeColor="text1"/>
        </w:rPr>
        <w:br w:type="page"/>
      </w:r>
      <w:bookmarkStart w:id="101" w:name="_Toc511899319"/>
      <w:bookmarkEnd w:id="101"/>
      <w:bookmarkStart w:id="102" w:name="_Toc14379"/>
      <w:r>
        <w:rPr>
          <w:rFonts w:hint="eastAsia"/>
          <w:color w:val="000000" w:themeColor="text1"/>
        </w:rPr>
        <w:t>四、本项目实施方案</w:t>
      </w:r>
      <w:bookmarkEnd w:id="102"/>
    </w:p>
    <w:p>
      <w:pPr>
        <w:spacing w:line="440" w:lineRule="exact"/>
        <w:jc w:val="left"/>
        <w:rPr>
          <w:rFonts w:ascii="宋体" w:hAnsi="宋体"/>
          <w:b/>
          <w:bCs/>
          <w:color w:val="000000" w:themeColor="text1"/>
        </w:rPr>
      </w:pPr>
      <w:r>
        <w:rPr>
          <w:rFonts w:hint="eastAsia" w:ascii="宋体" w:hAnsi="宋体"/>
          <w:b/>
          <w:bCs/>
          <w:color w:val="000000" w:themeColor="text1"/>
        </w:rPr>
        <w:t>（一）供应商或生产企业简介</w:t>
      </w:r>
    </w:p>
    <w:p>
      <w:pPr>
        <w:spacing w:line="440" w:lineRule="exact"/>
        <w:jc w:val="left"/>
        <w:rPr>
          <w:rFonts w:ascii="宋体" w:hAnsi="宋体"/>
          <w:color w:val="000000" w:themeColor="text1"/>
        </w:rPr>
      </w:pPr>
      <w:r>
        <w:rPr>
          <w:rFonts w:hint="eastAsia" w:ascii="宋体" w:hAnsi="宋体"/>
          <w:color w:val="000000" w:themeColor="text1"/>
        </w:rPr>
        <w:t>（不超过1000字）</w:t>
      </w:r>
    </w:p>
    <w:p>
      <w:pPr>
        <w:spacing w:line="440" w:lineRule="exact"/>
        <w:jc w:val="left"/>
        <w:rPr>
          <w:rFonts w:ascii="宋体" w:hAnsi="宋体"/>
          <w:b/>
          <w:bCs/>
          <w:color w:val="000000" w:themeColor="text1"/>
        </w:rPr>
      </w:pPr>
      <w:r>
        <w:rPr>
          <w:rFonts w:hint="eastAsia" w:ascii="宋体" w:hAnsi="宋体"/>
          <w:b/>
          <w:bCs/>
          <w:color w:val="000000" w:themeColor="text1"/>
        </w:rPr>
        <w:t>（二）本项目详细实施方案、售后方案等</w:t>
      </w:r>
    </w:p>
    <w:p>
      <w:pPr>
        <w:spacing w:line="440" w:lineRule="exact"/>
        <w:jc w:val="left"/>
        <w:rPr>
          <w:rFonts w:ascii="宋体" w:hAnsi="宋体"/>
          <w:color w:val="000000" w:themeColor="text1"/>
        </w:rPr>
      </w:pPr>
      <w:r>
        <w:rPr>
          <w:rFonts w:hint="eastAsia" w:ascii="宋体" w:hAnsi="宋体"/>
          <w:color w:val="000000" w:themeColor="text1"/>
        </w:rPr>
        <w:t>（详细说明）</w:t>
      </w:r>
    </w:p>
    <w:p>
      <w:pPr>
        <w:spacing w:line="440" w:lineRule="exact"/>
        <w:ind w:firstLine="2368" w:firstLineChars="1123"/>
        <w:jc w:val="left"/>
        <w:rPr>
          <w:rFonts w:ascii="宋体" w:hAnsi="宋体"/>
          <w:b/>
          <w:bCs/>
          <w:color w:val="000000" w:themeColor="text1"/>
        </w:rPr>
      </w:pPr>
    </w:p>
    <w:p>
      <w:pPr>
        <w:pStyle w:val="31"/>
        <w:rPr>
          <w:color w:val="000000" w:themeColor="text1"/>
        </w:rPr>
      </w:pPr>
      <w:bookmarkStart w:id="103" w:name="_Toc14703"/>
      <w:bookmarkEnd w:id="103"/>
      <w:bookmarkStart w:id="104" w:name="_Toc272141480"/>
      <w:bookmarkEnd w:id="104"/>
      <w:bookmarkStart w:id="105" w:name="_Hlk450185939"/>
      <w:bookmarkEnd w:id="105"/>
      <w:bookmarkStart w:id="106" w:name="_Toc293560336"/>
      <w:bookmarkEnd w:id="106"/>
      <w:bookmarkStart w:id="107" w:name="_Toc511899320"/>
      <w:bookmarkStart w:id="108" w:name="_Toc31502"/>
      <w:r>
        <w:rPr>
          <w:rFonts w:hint="eastAsia"/>
          <w:color w:val="000000" w:themeColor="text1"/>
        </w:rPr>
        <w:t>五、资格证明文件</w:t>
      </w:r>
      <w:bookmarkEnd w:id="107"/>
      <w:r>
        <w:rPr>
          <w:rFonts w:hint="eastAsia"/>
          <w:color w:val="000000" w:themeColor="text1"/>
        </w:rPr>
        <w:t>及其他重要资料</w:t>
      </w:r>
      <w:bookmarkEnd w:id="108"/>
    </w:p>
    <w:p>
      <w:pPr>
        <w:spacing w:line="440" w:lineRule="exact"/>
        <w:ind w:firstLine="316" w:firstLineChars="150"/>
        <w:jc w:val="left"/>
        <w:rPr>
          <w:rFonts w:ascii="宋体" w:hAnsi="宋体" w:cs="Arial"/>
          <w:b/>
          <w:bCs/>
          <w:color w:val="000000" w:themeColor="text1"/>
        </w:rPr>
      </w:pPr>
      <w:r>
        <w:rPr>
          <w:rFonts w:hint="eastAsia" w:ascii="宋体" w:hAnsi="宋体" w:cs="Arial"/>
          <w:b/>
          <w:bCs/>
          <w:color w:val="000000" w:themeColor="text1"/>
        </w:rPr>
        <w:t>供应商必须提供下列文件：</w:t>
      </w:r>
    </w:p>
    <w:p>
      <w:pPr>
        <w:numPr>
          <w:ilvl w:val="0"/>
          <w:numId w:val="9"/>
        </w:numPr>
        <w:spacing w:line="440" w:lineRule="exact"/>
        <w:jc w:val="left"/>
        <w:rPr>
          <w:rFonts w:ascii="宋体" w:hAnsi="宋体" w:cs="Arial"/>
          <w:b/>
          <w:bCs/>
          <w:color w:val="000000" w:themeColor="text1"/>
        </w:rPr>
      </w:pPr>
      <w:r>
        <w:rPr>
          <w:rFonts w:hint="eastAsia" w:ascii="宋体" w:hAnsi="宋体" w:cs="Arial"/>
          <w:b/>
          <w:bCs/>
          <w:color w:val="000000" w:themeColor="text1"/>
        </w:rPr>
        <w:t>营业执照、税务登记证</w:t>
      </w:r>
    </w:p>
    <w:p>
      <w:pPr>
        <w:rPr>
          <w:rFonts w:ascii="宋体" w:hAnsi="宋体" w:cs="Arial"/>
          <w:color w:val="000000" w:themeColor="text1"/>
        </w:rPr>
      </w:pPr>
      <w:r>
        <w:rPr>
          <w:rFonts w:hint="eastAsia" w:ascii="宋体" w:hAnsi="宋体" w:cs="Arial"/>
          <w:color w:val="000000" w:themeColor="text1"/>
        </w:rPr>
        <w:br w:type="page"/>
      </w:r>
    </w:p>
    <w:p>
      <w:pPr>
        <w:spacing w:line="440" w:lineRule="exact"/>
        <w:ind w:firstLine="210" w:firstLineChars="100"/>
        <w:jc w:val="left"/>
        <w:rPr>
          <w:rFonts w:ascii="宋体" w:hAnsi="宋体" w:cs="Arial"/>
          <w:b/>
          <w:bCs/>
          <w:color w:val="000000" w:themeColor="text1"/>
        </w:rPr>
      </w:pPr>
      <w:r>
        <w:rPr>
          <w:rFonts w:hint="eastAsia" w:ascii="宋体" w:hAnsi="宋体" w:cs="Arial"/>
          <w:color w:val="000000" w:themeColor="text1"/>
        </w:rPr>
        <w:t>（</w:t>
      </w:r>
      <w:r>
        <w:rPr>
          <w:rFonts w:hint="eastAsia" w:ascii="宋体" w:hAnsi="宋体" w:cs="Arial"/>
          <w:b/>
          <w:bCs/>
          <w:color w:val="000000" w:themeColor="text1"/>
        </w:rPr>
        <w:t>三）法定代表人授权委托书（原件）</w:t>
      </w:r>
    </w:p>
    <w:p>
      <w:pPr>
        <w:spacing w:line="440" w:lineRule="exact"/>
        <w:jc w:val="left"/>
        <w:rPr>
          <w:rFonts w:ascii="宋体" w:hAnsi="宋体" w:cs="Arial"/>
          <w:b/>
          <w:bCs/>
          <w:color w:val="000000" w:themeColor="text1"/>
        </w:rPr>
      </w:pPr>
      <w:r>
        <w:rPr>
          <w:rFonts w:hint="eastAsia" w:ascii="宋体" w:hAnsi="宋体" w:cs="Arial"/>
          <w:b/>
          <w:bCs/>
          <w:color w:val="000000" w:themeColor="text1"/>
        </w:rPr>
        <w:t>（采购人名称）：</w:t>
      </w:r>
    </w:p>
    <w:p>
      <w:pPr>
        <w:pStyle w:val="33"/>
        <w:widowControl w:val="0"/>
        <w:topLinePunct/>
        <w:spacing w:line="440" w:lineRule="atLeast"/>
        <w:ind w:firstLine="630" w:firstLineChars="300"/>
        <w:rPr>
          <w:color w:val="000000" w:themeColor="text1"/>
        </w:rPr>
      </w:pPr>
      <w:r>
        <w:rPr>
          <w:rFonts w:ascii="宋体" w:hAnsi="宋体"/>
          <w:color w:val="000000" w:themeColor="text1"/>
        </w:rPr>
        <w:t>本人</w:t>
      </w:r>
      <w:r>
        <w:rPr>
          <w:rFonts w:ascii="宋体" w:hAnsi="宋体"/>
          <w:color w:val="000000" w:themeColor="text1"/>
          <w:u w:val="single"/>
        </w:rPr>
        <w:t>（姓名）</w:t>
      </w:r>
      <w:r>
        <w:rPr>
          <w:rFonts w:ascii="宋体" w:hAnsi="宋体"/>
          <w:color w:val="000000" w:themeColor="text1"/>
        </w:rPr>
        <w:t>系</w:t>
      </w:r>
      <w:r>
        <w:rPr>
          <w:rFonts w:ascii="宋体" w:hAnsi="宋体"/>
          <w:color w:val="000000" w:themeColor="text1"/>
          <w:u w:val="single"/>
        </w:rPr>
        <w:t>（</w:t>
      </w:r>
      <w:r>
        <w:rPr>
          <w:rFonts w:hint="eastAsia" w:ascii="宋体" w:hAnsi="宋体"/>
          <w:color w:val="000000" w:themeColor="text1"/>
          <w:u w:val="single"/>
        </w:rPr>
        <w:t>供应商</w:t>
      </w:r>
      <w:r>
        <w:rPr>
          <w:rFonts w:ascii="宋体" w:hAnsi="宋体"/>
          <w:color w:val="000000" w:themeColor="text1"/>
          <w:u w:val="single"/>
        </w:rPr>
        <w:t>名称）</w:t>
      </w:r>
      <w:r>
        <w:rPr>
          <w:rFonts w:ascii="宋体" w:hAnsi="宋体"/>
          <w:color w:val="000000" w:themeColor="text1"/>
        </w:rPr>
        <w:t>的法定代表人，现委托</w:t>
      </w:r>
      <w:r>
        <w:rPr>
          <w:rFonts w:ascii="宋体" w:hAnsi="宋体"/>
          <w:color w:val="000000" w:themeColor="text1"/>
          <w:u w:val="single"/>
        </w:rPr>
        <w:t>（姓名</w:t>
      </w:r>
      <w:r>
        <w:rPr>
          <w:rFonts w:hint="eastAsia" w:ascii="宋体" w:hAnsi="宋体"/>
          <w:color w:val="000000" w:themeColor="text1"/>
          <w:u w:val="single"/>
        </w:rPr>
        <w:t>、职务</w:t>
      </w:r>
      <w:r>
        <w:rPr>
          <w:rFonts w:ascii="宋体" w:hAnsi="宋体"/>
          <w:color w:val="000000" w:themeColor="text1"/>
          <w:u w:val="single"/>
        </w:rPr>
        <w:t>）</w:t>
      </w:r>
      <w:r>
        <w:rPr>
          <w:rFonts w:ascii="宋体" w:hAnsi="宋体"/>
          <w:color w:val="000000" w:themeColor="text1"/>
        </w:rPr>
        <w:t>为我方代理人。代理人根据授权，以我方名义签署、澄清</w:t>
      </w:r>
      <w:r>
        <w:rPr>
          <w:rFonts w:hint="eastAsia" w:ascii="宋体" w:hAnsi="宋体"/>
          <w:color w:val="000000" w:themeColor="text1"/>
        </w:rPr>
        <w:t>、说明、补正</w:t>
      </w:r>
      <w:r>
        <w:rPr>
          <w:rFonts w:ascii="宋体" w:hAnsi="宋体"/>
          <w:color w:val="000000" w:themeColor="text1"/>
        </w:rPr>
        <w:t>、</w:t>
      </w:r>
      <w:r>
        <w:rPr>
          <w:rFonts w:hint="eastAsia" w:ascii="宋体" w:hAnsi="宋体"/>
          <w:color w:val="000000" w:themeColor="text1"/>
        </w:rPr>
        <w:t>提交</w:t>
      </w:r>
      <w:r>
        <w:rPr>
          <w:rFonts w:ascii="宋体" w:hAnsi="宋体"/>
          <w:color w:val="000000" w:themeColor="text1"/>
        </w:rPr>
        <w:t>、撤回、修改</w:t>
      </w:r>
      <w:r>
        <w:rPr>
          <w:rFonts w:ascii="宋体" w:hAnsi="宋体"/>
          <w:color w:val="000000" w:themeColor="text1"/>
          <w:u w:val="single"/>
        </w:rPr>
        <w:t>（项目名称</w:t>
      </w:r>
      <w:r>
        <w:rPr>
          <w:rFonts w:hint="eastAsia" w:ascii="宋体" w:hAnsi="宋体"/>
          <w:color w:val="000000" w:themeColor="text1"/>
          <w:u w:val="single"/>
        </w:rPr>
        <w:t>、项目编号</w:t>
      </w:r>
      <w:r>
        <w:rPr>
          <w:rFonts w:ascii="宋体" w:hAnsi="宋体"/>
          <w:color w:val="000000" w:themeColor="text1"/>
          <w:u w:val="single"/>
        </w:rPr>
        <w:t>）</w:t>
      </w:r>
      <w:r>
        <w:rPr>
          <w:rFonts w:hint="eastAsia" w:ascii="宋体" w:hAnsi="宋体"/>
          <w:color w:val="000000" w:themeColor="text1"/>
        </w:rPr>
        <w:t>磋商响应</w:t>
      </w:r>
      <w:r>
        <w:rPr>
          <w:rFonts w:ascii="宋体" w:hAnsi="宋体"/>
          <w:color w:val="000000" w:themeColor="text1"/>
        </w:rPr>
        <w:t>文件、签订合同和处理有关事宜，其法律后果由我方承担。</w:t>
      </w:r>
    </w:p>
    <w:p>
      <w:pPr>
        <w:pStyle w:val="33"/>
        <w:widowControl w:val="0"/>
        <w:spacing w:line="440" w:lineRule="atLeast"/>
        <w:rPr>
          <w:color w:val="000000" w:themeColor="text1"/>
        </w:rPr>
      </w:pPr>
      <w:r>
        <w:rPr>
          <w:rFonts w:ascii="宋体" w:hAnsi="宋体"/>
          <w:color w:val="000000" w:themeColor="text1"/>
        </w:rPr>
        <w:t>委托期限：</w:t>
      </w:r>
      <w:r>
        <w:rPr>
          <w:rFonts w:hint="eastAsia" w:ascii="宋体" w:hAnsi="宋体"/>
          <w:color w:val="000000" w:themeColor="text1"/>
        </w:rPr>
        <w:t>。</w:t>
      </w:r>
    </w:p>
    <w:p>
      <w:pPr>
        <w:spacing w:line="440" w:lineRule="exact"/>
        <w:ind w:firstLine="420" w:firstLineChars="200"/>
        <w:jc w:val="left"/>
        <w:rPr>
          <w:rFonts w:ascii="宋体" w:hAnsi="宋体" w:cs="Arial"/>
          <w:b/>
          <w:bCs/>
          <w:color w:val="000000" w:themeColor="text1"/>
        </w:rPr>
      </w:pPr>
      <w:r>
        <w:rPr>
          <w:rFonts w:ascii="宋体" w:hAnsi="宋体"/>
          <w:color w:val="000000" w:themeColor="text1"/>
        </w:rPr>
        <w:t>代理人无转委托权。</w:t>
      </w:r>
    </w:p>
    <w:p>
      <w:pPr>
        <w:spacing w:line="440" w:lineRule="exact"/>
        <w:jc w:val="left"/>
        <w:rPr>
          <w:rFonts w:ascii="宋体" w:hAnsi="宋体" w:cs="Arial"/>
          <w:color w:val="000000" w:themeColor="text1"/>
        </w:rPr>
      </w:pPr>
    </w:p>
    <w:p>
      <w:pPr>
        <w:spacing w:line="440" w:lineRule="exact"/>
        <w:ind w:firstLine="2520" w:firstLineChars="1200"/>
        <w:jc w:val="left"/>
        <w:rPr>
          <w:rFonts w:ascii="宋体" w:hAnsi="宋体" w:cs="Arial"/>
          <w:color w:val="000000" w:themeColor="text1"/>
          <w:u w:val="single"/>
        </w:rPr>
      </w:pPr>
      <w:r>
        <w:rPr>
          <w:rFonts w:hint="eastAsia" w:ascii="宋体" w:hAnsi="宋体" w:cs="Arial"/>
          <w:color w:val="000000" w:themeColor="text1"/>
        </w:rPr>
        <w:t>法定代表人签字或盖章：</w:t>
      </w:r>
    </w:p>
    <w:p>
      <w:pPr>
        <w:spacing w:line="440" w:lineRule="exact"/>
        <w:jc w:val="left"/>
        <w:rPr>
          <w:rFonts w:ascii="宋体" w:hAnsi="宋体" w:cs="Arial"/>
          <w:color w:val="000000" w:themeColor="text1"/>
          <w:u w:val="single"/>
        </w:rPr>
      </w:pPr>
      <w:r>
        <w:rPr>
          <w:rFonts w:hint="eastAsia" w:ascii="宋体" w:hAnsi="宋体" w:cs="Arial"/>
          <w:color w:val="000000" w:themeColor="text1"/>
        </w:rPr>
        <w:t xml:space="preserve">                            身份证号码：</w:t>
      </w:r>
    </w:p>
    <w:p>
      <w:pPr>
        <w:spacing w:line="440" w:lineRule="exact"/>
        <w:ind w:firstLine="2205" w:firstLineChars="1050"/>
        <w:jc w:val="left"/>
        <w:rPr>
          <w:rFonts w:ascii="宋体" w:hAnsi="宋体" w:cs="Arial"/>
          <w:color w:val="000000" w:themeColor="text1"/>
        </w:rPr>
      </w:pPr>
      <w:r>
        <w:rPr>
          <w:rFonts w:hint="eastAsia" w:ascii="宋体" w:hAnsi="宋体" w:cs="Arial"/>
          <w:color w:val="000000" w:themeColor="text1"/>
        </w:rPr>
        <w:t>代理人（被授权人）签字：</w:t>
      </w:r>
    </w:p>
    <w:p>
      <w:pPr>
        <w:spacing w:line="440" w:lineRule="exact"/>
        <w:jc w:val="left"/>
        <w:rPr>
          <w:rFonts w:ascii="宋体" w:hAnsi="宋体" w:cs="Arial"/>
          <w:color w:val="000000" w:themeColor="text1"/>
        </w:rPr>
      </w:pPr>
      <w:r>
        <w:rPr>
          <w:rFonts w:hint="eastAsia" w:ascii="宋体" w:hAnsi="宋体" w:cs="Arial"/>
          <w:color w:val="000000" w:themeColor="text1"/>
        </w:rPr>
        <w:t xml:space="preserve">                            身份证号码：</w:t>
      </w:r>
    </w:p>
    <w:p>
      <w:pPr>
        <w:spacing w:line="440" w:lineRule="exact"/>
        <w:jc w:val="left"/>
        <w:rPr>
          <w:rFonts w:ascii="宋体" w:hAnsi="宋体" w:cs="Arial"/>
          <w:color w:val="000000" w:themeColor="text1"/>
        </w:rPr>
      </w:pPr>
      <w:r>
        <w:rPr>
          <w:rFonts w:hint="eastAsia" w:ascii="宋体" w:hAnsi="宋体" w:cs="Arial"/>
          <w:color w:val="000000" w:themeColor="text1"/>
        </w:rPr>
        <w:t xml:space="preserve">                            供应商名称：（</w:t>
      </w:r>
      <w:r>
        <w:rPr>
          <w:rFonts w:hint="eastAsia" w:ascii="宋体" w:hAnsi="宋体"/>
          <w:color w:val="000000" w:themeColor="text1"/>
        </w:rPr>
        <w:t>盖</w:t>
      </w:r>
      <w:r>
        <w:rPr>
          <w:rFonts w:ascii="宋体" w:hAnsi="宋体"/>
          <w:color w:val="000000" w:themeColor="text1"/>
        </w:rPr>
        <w:t>章</w:t>
      </w:r>
      <w:r>
        <w:rPr>
          <w:rFonts w:hint="eastAsia" w:ascii="宋体" w:hAnsi="宋体" w:cs="Arial"/>
          <w:color w:val="000000" w:themeColor="text1"/>
        </w:rPr>
        <w:t>）</w:t>
      </w:r>
    </w:p>
    <w:p>
      <w:pPr>
        <w:spacing w:line="440" w:lineRule="exact"/>
        <w:jc w:val="left"/>
        <w:rPr>
          <w:rFonts w:ascii="宋体" w:hAnsi="宋体" w:cs="Arial"/>
          <w:color w:val="000000" w:themeColor="text1"/>
          <w:u w:val="single"/>
        </w:rPr>
      </w:pPr>
      <w:r>
        <w:rPr>
          <w:rFonts w:hint="eastAsia" w:ascii="宋体" w:hAnsi="宋体" w:cs="Arial"/>
          <w:color w:val="000000" w:themeColor="text1"/>
        </w:rPr>
        <w:t xml:space="preserve">                            日      期：</w:t>
      </w:r>
    </w:p>
    <w:p>
      <w:pPr>
        <w:spacing w:line="440" w:lineRule="exact"/>
        <w:jc w:val="left"/>
        <w:rPr>
          <w:rFonts w:ascii="宋体" w:hAnsi="宋体" w:cs="Arial"/>
          <w:color w:val="000000" w:themeColor="text1"/>
        </w:rPr>
      </w:pPr>
    </w:p>
    <w:p>
      <w:pPr>
        <w:spacing w:line="440" w:lineRule="exact"/>
        <w:jc w:val="left"/>
        <w:rPr>
          <w:rFonts w:ascii="宋体" w:hAnsi="宋体" w:cs="Arial"/>
          <w:color w:val="000000" w:themeColor="text1"/>
        </w:rPr>
      </w:pPr>
    </w:p>
    <w:p>
      <w:pPr>
        <w:spacing w:line="440" w:lineRule="exact"/>
        <w:jc w:val="left"/>
        <w:rPr>
          <w:rFonts w:ascii="宋体" w:hAnsi="宋体" w:cs="Arial"/>
          <w:color w:val="000000" w:themeColor="text1"/>
        </w:rPr>
      </w:pPr>
    </w:p>
    <w:p>
      <w:pPr>
        <w:spacing w:line="440" w:lineRule="exact"/>
        <w:jc w:val="left"/>
        <w:rPr>
          <w:rFonts w:ascii="宋体" w:hAnsi="宋体" w:cs="Arial"/>
          <w:b/>
          <w:bCs/>
          <w:color w:val="000000" w:themeColor="text1"/>
        </w:rPr>
      </w:pPr>
      <w:r>
        <w:rPr>
          <w:rFonts w:hint="eastAsia" w:ascii="宋体" w:hAnsi="宋体" w:cs="Arial"/>
          <w:b/>
          <w:bCs/>
          <w:color w:val="000000" w:themeColor="text1"/>
        </w:rPr>
        <w:t>（需附供应商法定代表人、被授权代表人身份证正反面扫描件）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color w:val="000000" w:themeColor="text1"/>
              </w:rPr>
            </w:pPr>
            <w:r>
              <w:rPr>
                <w:rFonts w:hint="eastAsia" w:ascii="宋体" w:hAnsi="宋体" w:cs="Arial"/>
                <w:b/>
                <w:bCs/>
                <w:color w:val="000000" w:themeColor="text1"/>
              </w:rPr>
              <w:t>被授权人</w:t>
            </w:r>
            <w:r>
              <w:rPr>
                <w:rFonts w:hint="eastAsia" w:ascii="宋体" w:hAnsi="宋体"/>
                <w:b/>
                <w:bCs/>
                <w:color w:val="000000" w:themeColor="text1"/>
                <w:kern w:val="0"/>
              </w:rPr>
              <w:t>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color w:val="000000" w:themeColor="text1"/>
              </w:rPr>
            </w:pPr>
            <w:r>
              <w:rPr>
                <w:rFonts w:hint="eastAsia" w:ascii="宋体" w:hAnsi="宋体" w:cs="Arial"/>
                <w:b/>
                <w:bCs/>
                <w:color w:val="000000" w:themeColor="text1"/>
              </w:rPr>
              <w:t>被授权人</w:t>
            </w:r>
            <w:r>
              <w:rPr>
                <w:rFonts w:hint="eastAsia" w:ascii="宋体" w:hAnsi="宋体"/>
                <w:b/>
                <w:bCs/>
                <w:color w:val="000000" w:themeColor="text1"/>
                <w:kern w:val="0"/>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kern w:val="0"/>
              </w:rPr>
            </w:pPr>
            <w:r>
              <w:rPr>
                <w:rFonts w:hint="eastAsia" w:ascii="宋体" w:hAnsi="宋体"/>
                <w:b/>
                <w:bCs/>
                <w:color w:val="000000" w:themeColor="text1"/>
                <w:kern w:val="0"/>
              </w:rPr>
              <w:t>法定代表人身份证正面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kern w:val="0"/>
              </w:rPr>
            </w:pPr>
            <w:r>
              <w:rPr>
                <w:rFonts w:hint="eastAsia" w:ascii="宋体" w:hAnsi="宋体"/>
                <w:b/>
                <w:bCs/>
                <w:color w:val="000000" w:themeColor="text1"/>
                <w:kern w:val="0"/>
              </w:rPr>
              <w:t>法定代表人身份证反面</w:t>
            </w:r>
          </w:p>
        </w:tc>
      </w:tr>
    </w:tbl>
    <w:p>
      <w:pPr>
        <w:spacing w:line="440" w:lineRule="exact"/>
        <w:ind w:firstLine="211" w:firstLineChars="100"/>
        <w:jc w:val="left"/>
        <w:rPr>
          <w:rFonts w:ascii="宋体" w:hAnsi="宋体" w:cs="Arial"/>
          <w:b/>
          <w:bCs/>
          <w:color w:val="000000" w:themeColor="text1"/>
        </w:rPr>
      </w:pPr>
    </w:p>
    <w:p>
      <w:pPr>
        <w:spacing w:line="440" w:lineRule="exact"/>
        <w:ind w:firstLine="211" w:firstLineChars="100"/>
        <w:jc w:val="left"/>
        <w:rPr>
          <w:rFonts w:ascii="宋体" w:hAnsi="宋体" w:cs="Arial"/>
          <w:b/>
          <w:bCs/>
          <w:color w:val="000000" w:themeColor="text1"/>
        </w:rPr>
      </w:pPr>
      <w:r>
        <w:rPr>
          <w:rFonts w:hint="eastAsia" w:ascii="宋体" w:hAnsi="宋体" w:cs="Arial"/>
          <w:b/>
          <w:bCs/>
          <w:color w:val="000000" w:themeColor="text1"/>
        </w:rPr>
        <w:t>（四）法定代表人身份证明书</w:t>
      </w:r>
    </w:p>
    <w:p>
      <w:pPr>
        <w:spacing w:line="360" w:lineRule="auto"/>
        <w:ind w:firstLine="420" w:firstLineChars="200"/>
        <w:rPr>
          <w:rFonts w:ascii="宋体" w:hAnsi="宋体"/>
          <w:color w:val="000000" w:themeColor="text1"/>
        </w:rPr>
      </w:pPr>
      <w:r>
        <w:rPr>
          <w:rFonts w:hint="eastAsia" w:ascii="宋体" w:hAnsi="宋体"/>
          <w:color w:val="000000" w:themeColor="text1"/>
        </w:rPr>
        <w:t>供应商名称：</w:t>
      </w:r>
    </w:p>
    <w:p>
      <w:pPr>
        <w:spacing w:line="360" w:lineRule="auto"/>
        <w:ind w:firstLine="420" w:firstLineChars="200"/>
        <w:rPr>
          <w:rFonts w:ascii="宋体" w:hAnsi="宋体"/>
          <w:color w:val="000000" w:themeColor="text1"/>
        </w:rPr>
      </w:pPr>
      <w:r>
        <w:rPr>
          <w:rFonts w:hint="eastAsia" w:ascii="宋体" w:hAnsi="宋体"/>
          <w:color w:val="000000" w:themeColor="text1"/>
        </w:rPr>
        <w:t xml:space="preserve">单位性质： </w:t>
      </w:r>
    </w:p>
    <w:p>
      <w:pPr>
        <w:spacing w:line="360" w:lineRule="auto"/>
        <w:ind w:firstLine="420" w:firstLineChars="200"/>
        <w:rPr>
          <w:rFonts w:ascii="宋体" w:hAnsi="宋体"/>
          <w:color w:val="000000" w:themeColor="text1"/>
          <w:u w:val="single"/>
        </w:rPr>
      </w:pPr>
      <w:r>
        <w:rPr>
          <w:rFonts w:hint="eastAsia" w:ascii="宋体" w:hAnsi="宋体"/>
          <w:color w:val="000000" w:themeColor="text1"/>
        </w:rPr>
        <w:t>地    址：</w:t>
      </w:r>
    </w:p>
    <w:p>
      <w:pPr>
        <w:spacing w:line="360" w:lineRule="auto"/>
        <w:ind w:firstLine="420" w:firstLineChars="200"/>
        <w:rPr>
          <w:rFonts w:ascii="宋体" w:hAnsi="宋体"/>
          <w:color w:val="000000" w:themeColor="text1"/>
        </w:rPr>
      </w:pPr>
      <w:r>
        <w:rPr>
          <w:rFonts w:hint="eastAsia" w:ascii="宋体" w:hAnsi="宋体"/>
          <w:color w:val="000000" w:themeColor="text1"/>
        </w:rPr>
        <w:t>成立时间：年月日</w:t>
      </w:r>
    </w:p>
    <w:p>
      <w:pPr>
        <w:spacing w:line="360" w:lineRule="auto"/>
        <w:ind w:firstLine="420" w:firstLineChars="200"/>
        <w:rPr>
          <w:rFonts w:ascii="宋体" w:hAnsi="宋体"/>
          <w:color w:val="000000" w:themeColor="text1"/>
        </w:rPr>
      </w:pPr>
      <w:r>
        <w:rPr>
          <w:rFonts w:hint="eastAsia" w:ascii="宋体" w:hAnsi="宋体"/>
          <w:color w:val="000000" w:themeColor="text1"/>
        </w:rPr>
        <w:t>经营期限：</w:t>
      </w:r>
    </w:p>
    <w:p>
      <w:pPr>
        <w:spacing w:line="360" w:lineRule="auto"/>
        <w:ind w:firstLine="420" w:firstLineChars="200"/>
        <w:rPr>
          <w:rFonts w:ascii="宋体" w:hAnsi="宋体"/>
          <w:color w:val="000000" w:themeColor="text1"/>
        </w:rPr>
      </w:pPr>
      <w:r>
        <w:rPr>
          <w:rFonts w:hint="eastAsia" w:ascii="宋体" w:hAnsi="宋体"/>
          <w:color w:val="000000" w:themeColor="text1"/>
        </w:rPr>
        <w:t>供应商纳税人识别号：</w:t>
      </w:r>
    </w:p>
    <w:p>
      <w:pPr>
        <w:spacing w:line="360" w:lineRule="auto"/>
        <w:ind w:firstLine="420" w:firstLineChars="200"/>
        <w:rPr>
          <w:rFonts w:ascii="宋体" w:hAnsi="宋体"/>
          <w:color w:val="000000" w:themeColor="text1"/>
        </w:rPr>
      </w:pPr>
      <w:r>
        <w:rPr>
          <w:rFonts w:hint="eastAsia" w:ascii="宋体" w:hAnsi="宋体"/>
          <w:color w:val="000000" w:themeColor="text1"/>
        </w:rPr>
        <w:t>姓名：性别：年龄：职务：_</w:t>
      </w:r>
    </w:p>
    <w:p>
      <w:pPr>
        <w:spacing w:line="360" w:lineRule="auto"/>
        <w:ind w:firstLine="420" w:firstLineChars="200"/>
        <w:rPr>
          <w:rFonts w:ascii="宋体" w:hAnsi="宋体"/>
          <w:color w:val="000000" w:themeColor="text1"/>
        </w:rPr>
      </w:pPr>
      <w:r>
        <w:rPr>
          <w:rFonts w:hint="eastAsia" w:ascii="宋体" w:hAnsi="宋体"/>
          <w:color w:val="000000" w:themeColor="text1"/>
        </w:rPr>
        <w:t>身份证号码：</w:t>
      </w:r>
    </w:p>
    <w:p>
      <w:pPr>
        <w:spacing w:line="360" w:lineRule="auto"/>
        <w:ind w:firstLine="420" w:firstLineChars="200"/>
        <w:rPr>
          <w:rFonts w:ascii="宋体" w:hAnsi="宋体"/>
          <w:color w:val="000000" w:themeColor="text1"/>
        </w:rPr>
      </w:pPr>
      <w:r>
        <w:rPr>
          <w:rFonts w:hint="eastAsia" w:ascii="宋体" w:hAnsi="宋体"/>
          <w:color w:val="000000" w:themeColor="text1"/>
        </w:rPr>
        <w:t>系（供应商名称）的法定代表人。</w:t>
      </w:r>
    </w:p>
    <w:p>
      <w:pPr>
        <w:spacing w:line="360" w:lineRule="auto"/>
        <w:ind w:firstLine="840" w:firstLineChars="400"/>
        <w:rPr>
          <w:rFonts w:ascii="宋体" w:hAnsi="宋体"/>
          <w:color w:val="000000" w:themeColor="text1"/>
        </w:rPr>
      </w:pPr>
      <w:r>
        <w:rPr>
          <w:rFonts w:hint="eastAsia" w:ascii="宋体" w:hAnsi="宋体"/>
          <w:color w:val="000000" w:themeColor="text1"/>
        </w:rPr>
        <w:t>特此证明。</w:t>
      </w:r>
    </w:p>
    <w:p>
      <w:pPr>
        <w:spacing w:line="360" w:lineRule="auto"/>
        <w:rPr>
          <w:rFonts w:ascii="宋体" w:hAnsi="宋体"/>
          <w:color w:val="000000" w:themeColor="text1"/>
        </w:rPr>
      </w:pPr>
      <w:r>
        <w:rPr>
          <w:rFonts w:hint="eastAsia" w:ascii="宋体" w:hAnsi="宋体"/>
          <w:color w:val="000000" w:themeColor="text1"/>
        </w:rPr>
        <w:t xml:space="preserve">                            供应商：（盖</w:t>
      </w:r>
      <w:r>
        <w:rPr>
          <w:rFonts w:ascii="宋体" w:hAnsi="宋体"/>
          <w:color w:val="000000" w:themeColor="text1"/>
        </w:rPr>
        <w:t>章</w:t>
      </w:r>
      <w:r>
        <w:rPr>
          <w:rFonts w:hint="eastAsia" w:ascii="宋体" w:hAnsi="宋体"/>
          <w:color w:val="000000" w:themeColor="text1"/>
        </w:rPr>
        <w:t>）</w:t>
      </w:r>
    </w:p>
    <w:p>
      <w:pPr>
        <w:spacing w:line="360" w:lineRule="auto"/>
        <w:rPr>
          <w:rFonts w:ascii="宋体" w:hAnsi="宋体"/>
          <w:color w:val="000000" w:themeColor="text1"/>
        </w:rPr>
      </w:pPr>
      <w:r>
        <w:rPr>
          <w:rFonts w:hint="eastAsia" w:ascii="宋体" w:hAnsi="宋体"/>
          <w:color w:val="000000" w:themeColor="text1"/>
        </w:rPr>
        <w:t xml:space="preserve">                                      年    月    日</w:t>
      </w:r>
    </w:p>
    <w:p>
      <w:pPr>
        <w:spacing w:line="360" w:lineRule="auto"/>
        <w:rPr>
          <w:rFonts w:ascii="宋体" w:hAnsi="宋体"/>
          <w:color w:val="000000" w:themeColor="text1"/>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kern w:val="0"/>
              </w:rPr>
            </w:pPr>
            <w:r>
              <w:rPr>
                <w:rFonts w:hint="eastAsia" w:ascii="宋体" w:hAnsi="宋体"/>
                <w:b/>
                <w:bCs/>
                <w:color w:val="000000" w:themeColor="text1"/>
                <w:kern w:val="0"/>
              </w:rPr>
              <w:t>法定代表人身份证正面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kern w:val="0"/>
              </w:rPr>
            </w:pPr>
            <w:r>
              <w:rPr>
                <w:rFonts w:hint="eastAsia" w:ascii="宋体" w:hAnsi="宋体"/>
                <w:b/>
                <w:bCs/>
                <w:color w:val="000000" w:themeColor="text1"/>
                <w:kern w:val="0"/>
              </w:rPr>
              <w:t>法定代表人身份证反面</w:t>
            </w:r>
          </w:p>
        </w:tc>
      </w:tr>
    </w:tbl>
    <w:p>
      <w:pPr>
        <w:spacing w:line="360" w:lineRule="auto"/>
        <w:rPr>
          <w:rFonts w:ascii="宋体" w:hAnsi="宋体"/>
          <w:color w:val="000000" w:themeColor="text1"/>
          <w:sz w:val="24"/>
          <w:szCs w:val="24"/>
        </w:rPr>
      </w:pPr>
      <w:r>
        <w:rPr>
          <w:rFonts w:hint="eastAsia" w:ascii="宋体" w:hAnsi="宋体" w:cs="Arial"/>
          <w:b/>
          <w:bCs/>
          <w:color w:val="000000" w:themeColor="text1"/>
          <w:sz w:val="28"/>
          <w:szCs w:val="28"/>
        </w:rPr>
        <w:br w:type="page"/>
      </w:r>
      <w:r>
        <w:rPr>
          <w:rFonts w:hint="eastAsia" w:ascii="宋体" w:hAnsi="宋体" w:cs="Arial"/>
          <w:b/>
          <w:bCs/>
          <w:color w:val="000000" w:themeColor="text1"/>
          <w:sz w:val="28"/>
          <w:szCs w:val="28"/>
        </w:rPr>
        <w:t>（五）磋商文件规定的其他材料</w:t>
      </w:r>
    </w:p>
    <w:p>
      <w:pPr>
        <w:jc w:val="center"/>
        <w:rPr>
          <w:color w:val="000000" w:themeColor="text1"/>
        </w:rPr>
      </w:pPr>
      <w:r>
        <w:rPr>
          <w:color w:val="000000" w:themeColor="text1"/>
        </w:rPr>
        <w:br w:type="page"/>
      </w:r>
      <w:bookmarkStart w:id="109" w:name="_Toc511898267"/>
      <w:bookmarkEnd w:id="109"/>
      <w:bookmarkStart w:id="110" w:name="_Toc511899322"/>
      <w:bookmarkEnd w:id="110"/>
      <w:r>
        <w:rPr>
          <w:rFonts w:hint="eastAsia"/>
          <w:b/>
          <w:bCs/>
          <w:color w:val="000000" w:themeColor="text1"/>
        </w:rPr>
        <w:t>一、开标一览表</w:t>
      </w:r>
    </w:p>
    <w:p>
      <w:pPr>
        <w:rPr>
          <w:rFonts w:ascii="宋体" w:hAnsi="宋体" w:cs="Arial"/>
          <w:b/>
          <w:bCs/>
          <w:color w:val="000000" w:themeColor="text1"/>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rPr>
            </w:pPr>
            <w:bookmarkStart w:id="111" w:name="_Hlk450185766"/>
            <w:r>
              <w:rPr>
                <w:rFonts w:hint="eastAsia" w:ascii="宋体" w:hAnsi="宋体" w:cs="Arial"/>
                <w:color w:val="000000" w:themeColor="text1"/>
              </w:rPr>
              <w:t>标题</w:t>
            </w:r>
            <w:bookmarkEnd w:id="111"/>
          </w:p>
        </w:tc>
        <w:tc>
          <w:tcPr>
            <w:tcW w:w="5202" w:type="dxa"/>
            <w:tcBorders>
              <w:top w:val="double" w:color="auto" w:sz="2" w:space="0"/>
              <w:left w:val="nil"/>
              <w:bottom w:val="single" w:color="auto" w:sz="4" w:space="0"/>
              <w:right w:val="double" w:color="auto" w:sz="2" w:space="0"/>
            </w:tcBorders>
            <w:vAlign w:val="center"/>
          </w:tcPr>
          <w:p>
            <w:pPr>
              <w:spacing w:line="500" w:lineRule="exact"/>
              <w:jc w:val="center"/>
              <w:rPr>
                <w:rFonts w:ascii="宋体" w:hAnsi="宋体" w:cs="Arial"/>
                <w:color w:val="000000" w:themeColor="text1"/>
              </w:rPr>
            </w:pPr>
            <w:r>
              <w:rPr>
                <w:rFonts w:hint="eastAsia" w:ascii="宋体" w:hAnsi="宋体" w:cs="Arial"/>
                <w:color w:val="000000" w:themeColor="text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rPr>
            </w:pPr>
            <w:r>
              <w:rPr>
                <w:rFonts w:hint="eastAsia" w:ascii="宋体" w:hAnsi="宋体" w:cs="Arial"/>
                <w:color w:val="000000" w:themeColor="text1"/>
              </w:rPr>
              <w:t>项目名称</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rPr>
            </w:pPr>
            <w:r>
              <w:rPr>
                <w:rFonts w:hint="eastAsia" w:ascii="宋体" w:hAnsi="宋体" w:cs="Arial"/>
                <w:color w:val="000000" w:themeColor="text1"/>
              </w:rPr>
              <w:t>项目编号</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rPr>
            </w:pPr>
            <w:r>
              <w:rPr>
                <w:rFonts w:hint="eastAsia" w:ascii="宋体" w:hAnsi="宋体" w:cs="Arial"/>
                <w:color w:val="000000" w:themeColor="text1"/>
              </w:rPr>
              <w:t>供应商（盖章）</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rPr>
            </w:pPr>
            <w:r>
              <w:rPr>
                <w:rFonts w:hint="eastAsia" w:ascii="宋体" w:hAnsi="宋体" w:cs="Arial"/>
                <w:color w:val="000000" w:themeColor="text1"/>
              </w:rPr>
              <w:t>法定代表人（签字或盖章）或</w:t>
            </w:r>
          </w:p>
          <w:p>
            <w:pPr>
              <w:spacing w:line="500" w:lineRule="exact"/>
              <w:jc w:val="center"/>
              <w:rPr>
                <w:rFonts w:ascii="宋体" w:hAnsi="宋体" w:cs="Arial"/>
                <w:color w:val="000000" w:themeColor="text1"/>
              </w:rPr>
            </w:pPr>
            <w:r>
              <w:rPr>
                <w:rFonts w:hint="eastAsia" w:ascii="宋体" w:hAnsi="宋体" w:cs="Arial"/>
                <w:color w:val="000000" w:themeColor="text1"/>
              </w:rPr>
              <w:t>被授权人（签字）</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rPr>
            </w:pPr>
            <w:r>
              <w:rPr>
                <w:rFonts w:hint="eastAsia" w:ascii="宋体" w:hAnsi="宋体" w:cs="Arial"/>
                <w:color w:val="000000" w:themeColor="text1"/>
              </w:rPr>
              <w:t>投标总报价（人民币大写）</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ascii="宋体" w:hAnsi="宋体" w:cs="Arial"/>
                <w:color w:val="000000" w:themeColor="text1"/>
              </w:rPr>
            </w:pPr>
            <w:r>
              <w:rPr>
                <w:rFonts w:hint="eastAsia" w:ascii="宋体" w:hAnsi="宋体" w:cs="Arial"/>
                <w:color w:val="000000" w:themeColor="text1"/>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rPr>
            </w:pPr>
            <w:r>
              <w:rPr>
                <w:rFonts w:hint="eastAsia" w:ascii="宋体" w:hAnsi="宋体" w:cs="Arial"/>
                <w:color w:val="000000" w:themeColor="text1"/>
              </w:rPr>
              <w:t>投标总报价（人民币小写）</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ascii="宋体" w:hAnsi="宋体" w:cs="Arial"/>
                <w:color w:val="000000" w:themeColor="text1"/>
              </w:rPr>
            </w:pPr>
            <w:r>
              <w:rPr>
                <w:rFonts w:hint="eastAsia" w:ascii="宋体" w:hAnsi="宋体" w:cs="Arial"/>
                <w:color w:val="000000" w:themeColor="text1"/>
              </w:rPr>
              <w:t xml:space="preserve">                                    元</w:t>
            </w:r>
          </w:p>
        </w:tc>
      </w:tr>
    </w:tbl>
    <w:p>
      <w:pPr>
        <w:ind w:left="7280" w:hanging="7280" w:hangingChars="2600"/>
        <w:rPr>
          <w:rFonts w:ascii="宋体" w:hAnsi="宋体"/>
          <w:color w:val="000000" w:themeColor="text1"/>
          <w:sz w:val="28"/>
          <w:szCs w:val="28"/>
        </w:rPr>
      </w:pPr>
    </w:p>
    <w:p>
      <w:pPr>
        <w:ind w:left="7280" w:hanging="7280" w:hangingChars="2600"/>
        <w:rPr>
          <w:rFonts w:ascii="宋体" w:hAnsi="宋体"/>
          <w:color w:val="000000" w:themeColor="text1"/>
          <w:sz w:val="28"/>
          <w:szCs w:val="28"/>
        </w:rPr>
      </w:pPr>
    </w:p>
    <w:p>
      <w:pPr>
        <w:ind w:left="7280" w:hanging="7280" w:hangingChars="2600"/>
        <w:rPr>
          <w:rFonts w:ascii="宋体" w:hAnsi="宋体"/>
          <w:color w:val="000000" w:themeColor="text1"/>
          <w:sz w:val="28"/>
          <w:szCs w:val="28"/>
        </w:rPr>
      </w:pPr>
    </w:p>
    <w:p>
      <w:pPr>
        <w:ind w:left="7280" w:hanging="7280" w:hangingChars="2600"/>
        <w:rPr>
          <w:rFonts w:ascii="宋体" w:hAnsi="宋体"/>
          <w:color w:val="000000" w:themeColor="text1"/>
          <w:sz w:val="28"/>
          <w:szCs w:val="28"/>
        </w:rPr>
      </w:pPr>
    </w:p>
    <w:p>
      <w:pPr>
        <w:jc w:val="center"/>
        <w:rPr>
          <w:b/>
          <w:bCs/>
          <w:color w:val="000000" w:themeColor="text1"/>
          <w:sz w:val="30"/>
          <w:szCs w:val="30"/>
        </w:rPr>
      </w:pPr>
      <w:bookmarkStart w:id="112" w:name="_Toc3760"/>
      <w:bookmarkEnd w:id="112"/>
      <w:r>
        <w:rPr>
          <w:rFonts w:hint="eastAsia"/>
          <w:color w:val="000000" w:themeColor="text1"/>
        </w:rPr>
        <w:br w:type="page"/>
      </w:r>
      <w:bookmarkStart w:id="113" w:name="_Toc511899324"/>
      <w:bookmarkEnd w:id="113"/>
      <w:bookmarkStart w:id="114" w:name="_Toc511899323"/>
      <w:bookmarkEnd w:id="114"/>
      <w:permStart w:id="1" w:edGrp="everyone"/>
      <w:r>
        <w:rPr>
          <w:rFonts w:hint="eastAsia"/>
          <w:b/>
          <w:bCs/>
          <w:color w:val="000000" w:themeColor="text1"/>
        </w:rPr>
        <w:t>二、服务分项报价表（服务类、工程类项目适用）</w:t>
      </w:r>
    </w:p>
    <w:p>
      <w:pPr>
        <w:rPr>
          <w:color w:val="000000" w:themeColor="text1"/>
        </w:rPr>
      </w:pPr>
    </w:p>
    <w:tbl>
      <w:tblPr>
        <w:tblStyle w:val="22"/>
        <w:tblW w:w="0" w:type="auto"/>
        <w:tblInd w:w="108"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r>
              <w:rPr>
                <w:rFonts w:hint="eastAsia" w:ascii="宋体" w:hAnsi="宋体" w:cs="Arial"/>
                <w:color w:val="000000" w:themeColor="text1"/>
              </w:rPr>
              <w:t>序号</w:t>
            </w:r>
          </w:p>
        </w:tc>
        <w:tc>
          <w:tcPr>
            <w:tcW w:w="5234"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r>
              <w:rPr>
                <w:rFonts w:hint="eastAsia" w:ascii="宋体" w:hAnsi="宋体" w:cs="Arial"/>
                <w:color w:val="000000" w:themeColor="text1"/>
              </w:rPr>
              <w:t>内容</w:t>
            </w:r>
          </w:p>
        </w:tc>
        <w:tc>
          <w:tcPr>
            <w:tcW w:w="1559"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r>
              <w:rPr>
                <w:rFonts w:hint="eastAsia" w:ascii="宋体" w:hAnsi="宋体" w:cs="Arial"/>
                <w:color w:val="000000" w:themeColor="text1"/>
              </w:rPr>
              <w:t>总价</w:t>
            </w:r>
          </w:p>
          <w:p>
            <w:pPr>
              <w:jc w:val="center"/>
              <w:rPr>
                <w:rFonts w:ascii="宋体" w:hAnsi="宋体" w:cs="Arial"/>
                <w:color w:val="000000" w:themeColor="text1"/>
              </w:rPr>
            </w:pPr>
            <w:r>
              <w:rPr>
                <w:rFonts w:hint="eastAsia" w:ascii="宋体" w:hAnsi="宋体" w:cs="Arial"/>
                <w:color w:val="000000" w:themeColor="text1"/>
              </w:rPr>
              <w:t>（元）</w:t>
            </w:r>
          </w:p>
        </w:tc>
        <w:tc>
          <w:tcPr>
            <w:tcW w:w="1276" w:type="dxa"/>
            <w:tcBorders>
              <w:top w:val="double" w:color="auto" w:sz="2" w:space="0"/>
              <w:left w:val="single" w:color="auto" w:sz="4" w:space="0"/>
              <w:bottom w:val="single" w:color="auto" w:sz="4" w:space="0"/>
              <w:right w:val="double" w:color="auto" w:sz="2" w:space="0"/>
            </w:tcBorders>
            <w:vAlign w:val="center"/>
          </w:tcPr>
          <w:p>
            <w:pPr>
              <w:jc w:val="center"/>
              <w:rPr>
                <w:rFonts w:ascii="宋体" w:hAnsi="宋体" w:cs="Arial"/>
                <w:color w:val="000000" w:themeColor="text1"/>
              </w:rPr>
            </w:pPr>
            <w:r>
              <w:rPr>
                <w:rFonts w:hint="eastAsia" w:ascii="宋体" w:hAnsi="宋体" w:cs="Arial"/>
                <w:color w:val="000000" w:themeColor="text1"/>
              </w:rPr>
              <w:t>备注</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r>
              <w:rPr>
                <w:rFonts w:hint="eastAsia" w:ascii="宋体" w:hAnsi="宋体" w:cs="Arial"/>
                <w:color w:val="000000" w:themeColor="text1"/>
              </w:rPr>
              <w:t>拟提供的服务或工程费用</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restar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rPr>
            </w:pP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b/>
                <w:bCs/>
                <w:color w:val="000000" w:themeColor="text1"/>
              </w:rPr>
            </w:pPr>
            <w:r>
              <w:rPr>
                <w:rFonts w:hint="eastAsia" w:ascii="宋体" w:hAnsi="宋体" w:cs="Arial"/>
                <w:b/>
                <w:bCs/>
                <w:color w:val="000000" w:themeColor="text1"/>
              </w:rPr>
              <w:t>合计</w:t>
            </w:r>
          </w:p>
        </w:tc>
        <w:tc>
          <w:tcPr>
            <w:tcW w:w="5234" w:type="dxa"/>
            <w:tcBorders>
              <w:top w:val="single" w:color="auto" w:sz="4" w:space="0"/>
              <w:left w:val="single" w:color="auto" w:sz="4" w:space="0"/>
              <w:bottom w:val="double" w:color="auto" w:sz="2" w:space="0"/>
              <w:right w:val="single" w:color="auto" w:sz="4" w:space="0"/>
            </w:tcBorders>
            <w:vAlign w:val="center"/>
          </w:tcPr>
          <w:p>
            <w:pPr>
              <w:jc w:val="center"/>
              <w:rPr>
                <w:rFonts w:ascii="宋体" w:hAnsi="宋体" w:cs="Arial"/>
                <w:b/>
                <w:bCs/>
                <w:color w:val="000000" w:themeColor="text1"/>
              </w:rPr>
            </w:pPr>
          </w:p>
        </w:tc>
        <w:tc>
          <w:tcPr>
            <w:tcW w:w="1559" w:type="dxa"/>
            <w:tcBorders>
              <w:top w:val="single" w:color="auto" w:sz="4" w:space="0"/>
              <w:left w:val="single" w:color="auto" w:sz="4" w:space="0"/>
              <w:bottom w:val="double" w:color="auto" w:sz="2" w:space="0"/>
              <w:right w:val="single" w:color="auto" w:sz="4" w:space="0"/>
            </w:tcBorders>
            <w:vAlign w:val="center"/>
          </w:tcPr>
          <w:p>
            <w:pPr>
              <w:jc w:val="center"/>
              <w:rPr>
                <w:rFonts w:ascii="宋体" w:hAnsi="宋体" w:cs="Arial"/>
                <w:b/>
                <w:bCs/>
                <w:color w:val="000000" w:themeColor="text1"/>
              </w:rPr>
            </w:pPr>
          </w:p>
        </w:tc>
        <w:tc>
          <w:tcPr>
            <w:tcW w:w="1276" w:type="dxa"/>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rPr>
            </w:pPr>
          </w:p>
        </w:tc>
      </w:tr>
    </w:tbl>
    <w:p>
      <w:pPr>
        <w:rPr>
          <w:rFonts w:ascii="宋体" w:hAnsi="宋体" w:cs="Arial"/>
          <w:color w:val="000000" w:themeColor="text1"/>
        </w:rPr>
      </w:pPr>
    </w:p>
    <w:p>
      <w:pPr>
        <w:spacing w:line="520" w:lineRule="exact"/>
        <w:rPr>
          <w:rFonts w:ascii="宋体" w:hAnsi="宋体" w:cs="Arial"/>
          <w:color w:val="000000" w:themeColor="text1"/>
        </w:rPr>
      </w:pPr>
      <w:r>
        <w:rPr>
          <w:rFonts w:hint="eastAsia" w:ascii="宋体" w:hAnsi="宋体" w:cs="Arial"/>
          <w:color w:val="000000" w:themeColor="text1"/>
        </w:rPr>
        <w:t xml:space="preserve"> 注：本表应清楚地标明供应商拟提供的服务或工程费用等内容，其合计价格应与开标一览表中的总报价保持一致。</w:t>
      </w:r>
    </w:p>
    <w:p>
      <w:pPr>
        <w:spacing w:line="520" w:lineRule="exact"/>
        <w:rPr>
          <w:rFonts w:ascii="宋体" w:hAnsi="宋体" w:cs="Arial"/>
          <w:color w:val="000000" w:themeColor="text1"/>
        </w:rPr>
      </w:pPr>
    </w:p>
    <w:p>
      <w:pPr>
        <w:spacing w:line="520" w:lineRule="exact"/>
        <w:rPr>
          <w:rFonts w:ascii="宋体" w:hAnsi="宋体" w:cs="Arial"/>
          <w:color w:val="000000" w:themeColor="text1"/>
        </w:rPr>
      </w:pPr>
    </w:p>
    <w:p>
      <w:pPr>
        <w:spacing w:line="520" w:lineRule="exact"/>
        <w:rPr>
          <w:rFonts w:ascii="宋体" w:hAnsi="宋体" w:cs="Arial"/>
          <w:color w:val="000000" w:themeColor="text1"/>
        </w:rPr>
      </w:pPr>
    </w:p>
    <w:p>
      <w:pPr>
        <w:spacing w:line="520" w:lineRule="exact"/>
        <w:rPr>
          <w:rFonts w:ascii="宋体" w:hAnsi="宋体" w:cs="Arial"/>
          <w:color w:val="000000" w:themeColor="text1"/>
        </w:rPr>
      </w:pPr>
    </w:p>
    <w:p>
      <w:pPr>
        <w:spacing w:line="520" w:lineRule="exact"/>
        <w:rPr>
          <w:rFonts w:ascii="宋体" w:hAnsi="宋体" w:cs="Arial"/>
          <w:color w:val="000000" w:themeColor="text1"/>
        </w:rPr>
      </w:pPr>
    </w:p>
    <w:p>
      <w:pPr>
        <w:spacing w:line="520" w:lineRule="exact"/>
        <w:rPr>
          <w:rFonts w:ascii="宋体" w:hAnsi="宋体" w:cs="Arial"/>
          <w:color w:val="000000" w:themeColor="text1"/>
        </w:rPr>
      </w:pPr>
    </w:p>
    <w:p>
      <w:pPr>
        <w:spacing w:line="520" w:lineRule="exact"/>
        <w:rPr>
          <w:rFonts w:ascii="宋体" w:hAnsi="宋体" w:cs="Arial"/>
          <w:color w:val="000000" w:themeColor="text1"/>
        </w:rPr>
      </w:pPr>
    </w:p>
    <w:p>
      <w:pPr>
        <w:pStyle w:val="31"/>
        <w:rPr>
          <w:color w:val="000000" w:themeColor="text1"/>
        </w:rPr>
      </w:pPr>
    </w:p>
    <w:permEnd w:id="1"/>
    <w:p>
      <w:pPr>
        <w:pStyle w:val="34"/>
        <w:ind w:firstLine="843" w:firstLineChars="400"/>
        <w:jc w:val="left"/>
        <w:rPr>
          <w:rFonts w:ascii="Times New Roman"/>
          <w:b/>
          <w:bCs/>
          <w:color w:val="000000" w:themeColor="text1"/>
        </w:rPr>
      </w:pPr>
      <w:r>
        <w:rPr>
          <w:rFonts w:hint="eastAsia" w:ascii="Times New Roman"/>
          <w:b/>
          <w:bCs/>
          <w:color w:val="000000" w:themeColor="text1"/>
        </w:rPr>
        <w:t>磋商承诺函</w:t>
      </w:r>
    </w:p>
    <w:p>
      <w:pPr>
        <w:pStyle w:val="34"/>
        <w:spacing w:line="360" w:lineRule="auto"/>
        <w:ind w:left="0"/>
        <w:rPr>
          <w:color w:val="000000" w:themeColor="text1"/>
          <w:u w:val="single"/>
        </w:rPr>
      </w:pPr>
      <w:r>
        <w:rPr>
          <w:rFonts w:hint="eastAsia"/>
          <w:color w:val="000000" w:themeColor="text1"/>
        </w:rPr>
        <w:t>（采购人名称）：</w:t>
      </w:r>
    </w:p>
    <w:p>
      <w:pPr>
        <w:pStyle w:val="34"/>
        <w:spacing w:line="360" w:lineRule="auto"/>
        <w:ind w:left="0" w:firstLine="630" w:firstLineChars="300"/>
        <w:rPr>
          <w:color w:val="000000" w:themeColor="text1"/>
        </w:rPr>
      </w:pPr>
      <w:r>
        <w:rPr>
          <w:rFonts w:hint="eastAsia"/>
          <w:color w:val="000000" w:themeColor="text1"/>
        </w:rPr>
        <w:t>根据贵方发布的竞争性磋商公告，我们决定参加贵方组织的</w:t>
      </w:r>
      <w:r>
        <w:rPr>
          <w:rFonts w:hint="eastAsia"/>
          <w:color w:val="000000" w:themeColor="text1"/>
          <w:u w:val="single"/>
        </w:rPr>
        <w:t xml:space="preserve"> （项目名称、项目编号） </w:t>
      </w:r>
      <w:r>
        <w:rPr>
          <w:rFonts w:hint="eastAsia"/>
          <w:color w:val="000000" w:themeColor="text1"/>
        </w:rPr>
        <w:t>的采购活动。</w:t>
      </w:r>
    </w:p>
    <w:p>
      <w:pPr>
        <w:pStyle w:val="34"/>
        <w:spacing w:line="360" w:lineRule="auto"/>
        <w:ind w:left="0" w:firstLine="420" w:firstLineChars="200"/>
        <w:rPr>
          <w:color w:val="000000" w:themeColor="text1"/>
        </w:rPr>
      </w:pPr>
      <w:r>
        <w:rPr>
          <w:rFonts w:hint="eastAsia"/>
          <w:color w:val="000000" w:themeColor="text1"/>
        </w:rPr>
        <w:t>我公司郑重承诺如在政府采购活动中存在“有效期内撤销文件、无故放弃中标、弄虚作假、串通投标、不交履约保证金、不签订合同”等违反政府采购相关规定，以及在采购文件中规定磋商保证金不予退还的其他情形，我方愿承担利益受损方的赔偿责任。</w:t>
      </w:r>
    </w:p>
    <w:p>
      <w:pPr>
        <w:pStyle w:val="34"/>
        <w:spacing w:line="360" w:lineRule="auto"/>
        <w:ind w:left="0" w:firstLine="420" w:firstLineChars="200"/>
        <w:rPr>
          <w:color w:val="000000" w:themeColor="text1"/>
        </w:rPr>
      </w:pPr>
      <w:r>
        <w:rPr>
          <w:rFonts w:hint="eastAsia"/>
          <w:color w:val="000000" w:themeColor="text1"/>
        </w:rPr>
        <w:t>我单位将全面、真实、有效的履行本承诺，如不履行失信行为将被纳入诚信记录，并依法承担相应责任。</w:t>
      </w:r>
    </w:p>
    <w:p>
      <w:pPr>
        <w:pStyle w:val="34"/>
        <w:spacing w:line="360" w:lineRule="auto"/>
        <w:ind w:firstLine="420" w:firstLineChars="200"/>
        <w:rPr>
          <w:color w:val="000000" w:themeColor="text1"/>
        </w:rPr>
      </w:pPr>
    </w:p>
    <w:p>
      <w:pPr>
        <w:pStyle w:val="34"/>
        <w:spacing w:line="360" w:lineRule="auto"/>
        <w:ind w:firstLine="420" w:firstLineChars="200"/>
        <w:rPr>
          <w:color w:val="000000" w:themeColor="text1"/>
        </w:rPr>
      </w:pPr>
    </w:p>
    <w:p>
      <w:pPr>
        <w:pStyle w:val="34"/>
        <w:spacing w:line="360" w:lineRule="auto"/>
        <w:ind w:firstLine="420" w:firstLineChars="200"/>
        <w:rPr>
          <w:color w:val="000000" w:themeColor="text1"/>
        </w:rPr>
      </w:pPr>
    </w:p>
    <w:p>
      <w:pPr>
        <w:pStyle w:val="34"/>
        <w:spacing w:line="360" w:lineRule="auto"/>
        <w:ind w:firstLine="420" w:firstLineChars="200"/>
        <w:rPr>
          <w:color w:val="000000" w:themeColor="text1"/>
        </w:rPr>
      </w:pPr>
    </w:p>
    <w:p>
      <w:pPr>
        <w:pStyle w:val="34"/>
        <w:spacing w:line="360" w:lineRule="auto"/>
        <w:ind w:firstLine="420" w:firstLineChars="200"/>
        <w:rPr>
          <w:color w:val="000000" w:themeColor="text1"/>
        </w:rPr>
      </w:pPr>
      <w:r>
        <w:rPr>
          <w:rFonts w:hint="eastAsia"/>
          <w:color w:val="000000" w:themeColor="text1"/>
        </w:rPr>
        <w:t>供应商：（盖章）</w:t>
      </w:r>
    </w:p>
    <w:p>
      <w:pPr>
        <w:pStyle w:val="34"/>
        <w:spacing w:line="360" w:lineRule="auto"/>
        <w:ind w:firstLine="420" w:firstLineChars="200"/>
        <w:rPr>
          <w:color w:val="000000" w:themeColor="text1"/>
          <w:u w:val="single"/>
        </w:rPr>
      </w:pPr>
      <w:r>
        <w:rPr>
          <w:rFonts w:hint="eastAsia"/>
          <w:color w:val="000000" w:themeColor="text1"/>
        </w:rPr>
        <w:t>法定代表人或代理人（签字或盖章）：</w:t>
      </w:r>
    </w:p>
    <w:p>
      <w:pPr>
        <w:pStyle w:val="34"/>
        <w:spacing w:line="360" w:lineRule="auto"/>
        <w:ind w:firstLine="420" w:firstLineChars="200"/>
        <w:rPr>
          <w:color w:val="000000" w:themeColor="text1"/>
          <w:u w:val="single"/>
        </w:rPr>
      </w:pPr>
      <w:r>
        <w:rPr>
          <w:rFonts w:hint="eastAsia"/>
          <w:color w:val="000000" w:themeColor="text1"/>
        </w:rPr>
        <w:t>日期：</w:t>
      </w:r>
    </w:p>
    <w:p>
      <w:pPr>
        <w:spacing w:line="360" w:lineRule="auto"/>
        <w:rPr>
          <w:rFonts w:ascii="仿宋_GB2312" w:hAnsi="仿宋" w:eastAsia="仿宋_GB2312"/>
          <w:b/>
          <w:bCs/>
          <w:color w:val="000000" w:themeColor="text1"/>
          <w:szCs w:val="28"/>
        </w:rPr>
      </w:pPr>
    </w:p>
    <w:p>
      <w:pPr>
        <w:pStyle w:val="2"/>
        <w:ind w:firstLine="560"/>
        <w:rPr>
          <w:b/>
          <w:bCs/>
          <w:color w:val="000000" w:themeColor="text1"/>
        </w:rPr>
      </w:pPr>
    </w:p>
    <w:p>
      <w:pPr>
        <w:rPr>
          <w:color w:val="000000" w:themeColor="text1"/>
        </w:rPr>
      </w:pPr>
    </w:p>
    <w:p>
      <w:pPr>
        <w:rPr>
          <w:color w:val="000000" w:themeColor="text1"/>
        </w:rPr>
      </w:pPr>
    </w:p>
    <w:p>
      <w:pPr>
        <w:pStyle w:val="2"/>
        <w:ind w:firstLine="560"/>
        <w:rPr>
          <w:color w:val="000000" w:themeColor="text1"/>
        </w:rPr>
      </w:pPr>
    </w:p>
    <w:p>
      <w:pPr>
        <w:pStyle w:val="2"/>
        <w:ind w:firstLine="560"/>
        <w:rPr>
          <w:color w:val="000000" w:themeColor="text1"/>
        </w:rPr>
      </w:pPr>
    </w:p>
    <w:p>
      <w:pPr>
        <w:jc w:val="center"/>
        <w:rPr>
          <w:rFonts w:ascii="宋体" w:hAnsi="宋体" w:cs="Arial"/>
          <w:color w:val="000000" w:themeColor="text1"/>
          <w:sz w:val="32"/>
          <w:szCs w:val="22"/>
        </w:rPr>
      </w:pPr>
    </w:p>
    <w:p>
      <w:pPr>
        <w:rPr>
          <w:rFonts w:ascii="宋体" w:hAnsi="宋体" w:cs="Arial"/>
          <w:color w:val="000000" w:themeColor="text1"/>
          <w:sz w:val="32"/>
          <w:szCs w:val="22"/>
          <w:u w:val="single"/>
        </w:rPr>
      </w:pPr>
      <w:r>
        <w:rPr>
          <w:rFonts w:hint="eastAsia" w:ascii="宋体" w:hAnsi="宋体" w:cs="Arial"/>
          <w:color w:val="000000" w:themeColor="text1"/>
          <w:sz w:val="32"/>
          <w:szCs w:val="22"/>
          <w:u w:val="single"/>
        </w:rPr>
        <w:br w:type="page"/>
      </w:r>
    </w:p>
    <w:p>
      <w:pPr>
        <w:jc w:val="center"/>
        <w:rPr>
          <w:rFonts w:ascii="宋体" w:hAnsi="宋体" w:cs="Arial"/>
          <w:color w:val="000000" w:themeColor="text1"/>
          <w:sz w:val="32"/>
          <w:szCs w:val="22"/>
        </w:rPr>
      </w:pPr>
      <w:r>
        <w:rPr>
          <w:rFonts w:hint="eastAsia" w:ascii="宋体" w:hAnsi="宋体" w:cs="Arial"/>
          <w:color w:val="000000" w:themeColor="text1"/>
          <w:sz w:val="32"/>
          <w:szCs w:val="22"/>
          <w:u w:val="single"/>
          <w:lang w:val="en-US" w:eastAsia="zh-CN"/>
        </w:rPr>
        <w:t xml:space="preserve">      </w:t>
      </w:r>
      <w:r>
        <w:rPr>
          <w:rFonts w:hint="eastAsia" w:ascii="宋体" w:hAnsi="宋体" w:cs="Arial"/>
          <w:color w:val="000000" w:themeColor="text1"/>
          <w:sz w:val="32"/>
          <w:szCs w:val="22"/>
        </w:rPr>
        <w:t>次报价表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项 目 名 称</w:t>
            </w:r>
          </w:p>
        </w:tc>
        <w:tc>
          <w:tcPr>
            <w:tcW w:w="6825"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供应商全称</w:t>
            </w:r>
          </w:p>
        </w:tc>
        <w:tc>
          <w:tcPr>
            <w:tcW w:w="6825" w:type="dxa"/>
            <w:tcBorders>
              <w:top w:val="nil"/>
            </w:tcBorders>
            <w:vAlign w:val="center"/>
          </w:tcPr>
          <w:p>
            <w:pPr>
              <w:rPr>
                <w:rFonts w:ascii="宋体" w:hAnsi="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磋商范围</w:t>
            </w:r>
          </w:p>
        </w:tc>
        <w:tc>
          <w:tcPr>
            <w:tcW w:w="6825" w:type="dxa"/>
            <w:vAlign w:val="center"/>
          </w:tcPr>
          <w:p>
            <w:pPr>
              <w:rPr>
                <w:rFonts w:ascii="宋体" w:hAnsi="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磋商报价（人民币）</w:t>
            </w:r>
          </w:p>
        </w:tc>
        <w:tc>
          <w:tcPr>
            <w:tcW w:w="6825"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总价（大写）：</w:t>
            </w:r>
          </w:p>
          <w:p>
            <w:pPr>
              <w:rPr>
                <w:rFonts w:ascii="宋体" w:hAnsi="宋体" w:cs="Arial"/>
                <w:color w:val="000000" w:themeColor="text1"/>
                <w:sz w:val="24"/>
                <w:szCs w:val="24"/>
              </w:rPr>
            </w:pPr>
          </w:p>
          <w:p>
            <w:pPr>
              <w:rPr>
                <w:rFonts w:ascii="宋体" w:hAnsi="宋体" w:cs="Arial"/>
                <w:color w:val="000000" w:themeColor="text1"/>
                <w:sz w:val="24"/>
                <w:szCs w:val="24"/>
              </w:rPr>
            </w:pPr>
            <w:r>
              <w:rPr>
                <w:rFonts w:hint="eastAsia" w:ascii="宋体" w:hAnsi="宋体" w:cs="Arial"/>
                <w:color w:val="000000" w:themeColor="text1"/>
                <w:sz w:val="24"/>
                <w:szCs w:val="24"/>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是否响应磋商文件的要求</w:t>
            </w:r>
          </w:p>
        </w:tc>
        <w:tc>
          <w:tcPr>
            <w:tcW w:w="6825"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备注</w:t>
            </w:r>
          </w:p>
        </w:tc>
        <w:tc>
          <w:tcPr>
            <w:tcW w:w="6825" w:type="dxa"/>
            <w:vAlign w:val="center"/>
          </w:tcPr>
          <w:p>
            <w:pPr>
              <w:rPr>
                <w:rFonts w:ascii="宋体" w:hAnsi="宋体" w:cs="Arial"/>
                <w:color w:val="000000" w:themeColor="text1"/>
                <w:sz w:val="24"/>
                <w:szCs w:val="24"/>
              </w:rPr>
            </w:pPr>
          </w:p>
        </w:tc>
      </w:tr>
    </w:tbl>
    <w:p>
      <w:pPr>
        <w:spacing w:line="360" w:lineRule="auto"/>
        <w:rPr>
          <w:rFonts w:ascii="宋体" w:hAnsi="宋体" w:cs="Arial"/>
          <w:color w:val="000000" w:themeColor="text1"/>
          <w:sz w:val="24"/>
          <w:szCs w:val="24"/>
        </w:rPr>
      </w:pPr>
    </w:p>
    <w:p>
      <w:pPr>
        <w:spacing w:line="360" w:lineRule="auto"/>
        <w:rPr>
          <w:rFonts w:ascii="宋体" w:hAnsi="宋体" w:cs="Arial"/>
          <w:color w:val="000000" w:themeColor="text1"/>
          <w:sz w:val="24"/>
          <w:szCs w:val="24"/>
        </w:rPr>
      </w:pPr>
      <w:r>
        <w:rPr>
          <w:rFonts w:hint="eastAsia" w:ascii="宋体" w:hAnsi="宋体" w:cs="Arial"/>
          <w:color w:val="000000" w:themeColor="text1"/>
          <w:sz w:val="24"/>
          <w:szCs w:val="24"/>
        </w:rPr>
        <w:t>供应商：（盖章）</w:t>
      </w:r>
    </w:p>
    <w:p>
      <w:pPr>
        <w:spacing w:line="360" w:lineRule="auto"/>
        <w:rPr>
          <w:rFonts w:ascii="宋体" w:hAnsi="宋体" w:cs="Arial"/>
          <w:color w:val="000000" w:themeColor="text1"/>
          <w:sz w:val="24"/>
          <w:szCs w:val="24"/>
        </w:rPr>
      </w:pPr>
      <w:r>
        <w:rPr>
          <w:rFonts w:hint="eastAsia" w:ascii="宋体" w:hAnsi="宋体" w:cs="Arial"/>
          <w:color w:val="000000" w:themeColor="text1"/>
          <w:sz w:val="24"/>
          <w:szCs w:val="24"/>
        </w:rPr>
        <w:t>法定代表人或授权委托人：（签字或盖章）</w:t>
      </w:r>
    </w:p>
    <w:p>
      <w:pPr>
        <w:spacing w:line="360" w:lineRule="auto"/>
        <w:rPr>
          <w:rFonts w:ascii="宋体" w:hAnsi="宋体" w:cs="Arial"/>
          <w:color w:val="000000" w:themeColor="text1"/>
          <w:sz w:val="24"/>
          <w:szCs w:val="24"/>
        </w:rPr>
      </w:pPr>
      <w:r>
        <w:rPr>
          <w:rFonts w:hint="eastAsia" w:ascii="宋体" w:hAnsi="宋体" w:cs="Arial"/>
          <w:color w:val="000000" w:themeColor="text1"/>
          <w:sz w:val="24"/>
          <w:szCs w:val="24"/>
        </w:rPr>
        <w:t>日期：年月日</w:t>
      </w:r>
    </w:p>
    <w:p>
      <w:pPr>
        <w:spacing w:line="360" w:lineRule="auto"/>
        <w:rPr>
          <w:rFonts w:ascii="宋体" w:hAnsi="宋体" w:cs="Arial"/>
          <w:color w:val="000000" w:themeColor="text1"/>
          <w:sz w:val="24"/>
          <w:szCs w:val="24"/>
        </w:rPr>
      </w:pPr>
    </w:p>
    <w:p>
      <w:pPr>
        <w:spacing w:line="360" w:lineRule="auto"/>
        <w:rPr>
          <w:rFonts w:ascii="仿宋" w:hAnsi="仿宋"/>
          <w:color w:val="000000" w:themeColor="text1"/>
          <w:szCs w:val="28"/>
        </w:rPr>
      </w:pPr>
    </w:p>
    <w:p>
      <w:pPr>
        <w:rPr>
          <w:color w:val="000000" w:themeColor="text1"/>
        </w:rPr>
      </w:pPr>
    </w:p>
    <w:p>
      <w:pPr>
        <w:pStyle w:val="2"/>
        <w:ind w:firstLine="560"/>
        <w:rPr>
          <w:color w:val="000000" w:themeColor="text1"/>
        </w:rPr>
      </w:pPr>
    </w:p>
    <w:p>
      <w:pPr>
        <w:pStyle w:val="2"/>
        <w:ind w:left="0" w:leftChars="0" w:firstLine="0" w:firstLineChars="0"/>
        <w:rPr>
          <w:color w:val="000000" w:themeColor="text1"/>
        </w:rPr>
      </w:pPr>
    </w:p>
    <w:p>
      <w:pPr>
        <w:pStyle w:val="2"/>
        <w:ind w:firstLine="560"/>
        <w:rPr>
          <w:color w:val="000000" w:themeColor="text1"/>
        </w:rPr>
      </w:pPr>
    </w:p>
    <w:p>
      <w:pPr>
        <w:pStyle w:val="2"/>
        <w:ind w:firstLine="560"/>
        <w:rPr>
          <w:color w:val="000000" w:themeColor="text1"/>
        </w:rPr>
      </w:pPr>
    </w:p>
    <w:p>
      <w:pPr>
        <w:jc w:val="center"/>
        <w:rPr>
          <w:rFonts w:ascii="宋体" w:hAnsi="宋体" w:cs="Arial"/>
          <w:color w:val="000000" w:themeColor="text1"/>
          <w:sz w:val="32"/>
          <w:szCs w:val="22"/>
        </w:rPr>
      </w:pPr>
    </w:p>
    <w:p>
      <w:pPr>
        <w:jc w:val="center"/>
        <w:rPr>
          <w:rFonts w:ascii="宋体" w:hAnsi="宋体" w:cs="Arial"/>
          <w:color w:val="000000" w:themeColor="text1"/>
          <w:sz w:val="32"/>
          <w:szCs w:val="22"/>
        </w:rPr>
      </w:pPr>
    </w:p>
    <w:p>
      <w:pPr>
        <w:jc w:val="center"/>
        <w:rPr>
          <w:rFonts w:hint="eastAsia" w:ascii="宋体" w:hAnsi="宋体" w:cs="Arial"/>
          <w:color w:val="000000" w:themeColor="text1"/>
          <w:sz w:val="32"/>
          <w:szCs w:val="22"/>
        </w:rPr>
      </w:pPr>
    </w:p>
    <w:p>
      <w:pPr>
        <w:jc w:val="center"/>
        <w:rPr>
          <w:rFonts w:hint="eastAsia" w:ascii="宋体" w:hAnsi="宋体" w:cs="Arial"/>
          <w:color w:val="000000" w:themeColor="text1"/>
          <w:sz w:val="32"/>
          <w:szCs w:val="22"/>
        </w:rPr>
      </w:pPr>
    </w:p>
    <w:p>
      <w:pPr>
        <w:jc w:val="center"/>
        <w:rPr>
          <w:rFonts w:ascii="宋体" w:hAnsi="宋体" w:cs="Arial"/>
          <w:color w:val="000000" w:themeColor="text1"/>
          <w:sz w:val="32"/>
          <w:szCs w:val="22"/>
        </w:rPr>
      </w:pPr>
      <w:r>
        <w:rPr>
          <w:rFonts w:hint="eastAsia" w:ascii="宋体" w:hAnsi="宋体" w:cs="Arial"/>
          <w:color w:val="000000" w:themeColor="text1"/>
          <w:sz w:val="32"/>
          <w:szCs w:val="22"/>
        </w:rPr>
        <w:t>最终报价表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项 目 名 称</w:t>
            </w:r>
          </w:p>
        </w:tc>
        <w:tc>
          <w:tcPr>
            <w:tcW w:w="6825"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供应商全称</w:t>
            </w:r>
          </w:p>
        </w:tc>
        <w:tc>
          <w:tcPr>
            <w:tcW w:w="6825" w:type="dxa"/>
            <w:tcBorders>
              <w:top w:val="nil"/>
            </w:tcBorders>
            <w:vAlign w:val="center"/>
          </w:tcPr>
          <w:p>
            <w:pPr>
              <w:rPr>
                <w:rFonts w:ascii="宋体" w:hAnsi="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磋商范围</w:t>
            </w:r>
          </w:p>
        </w:tc>
        <w:tc>
          <w:tcPr>
            <w:tcW w:w="6825" w:type="dxa"/>
            <w:vAlign w:val="center"/>
          </w:tcPr>
          <w:p>
            <w:pPr>
              <w:rPr>
                <w:rFonts w:ascii="宋体" w:hAnsi="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磋商报价（人民币）</w:t>
            </w:r>
          </w:p>
        </w:tc>
        <w:tc>
          <w:tcPr>
            <w:tcW w:w="6825"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总价（大写）：</w:t>
            </w:r>
          </w:p>
          <w:p>
            <w:pPr>
              <w:rPr>
                <w:rFonts w:ascii="宋体" w:hAnsi="宋体" w:cs="Arial"/>
                <w:color w:val="000000" w:themeColor="text1"/>
                <w:sz w:val="24"/>
                <w:szCs w:val="24"/>
              </w:rPr>
            </w:pPr>
          </w:p>
          <w:p>
            <w:pPr>
              <w:rPr>
                <w:rFonts w:ascii="宋体" w:hAnsi="宋体" w:cs="Arial"/>
                <w:color w:val="000000" w:themeColor="text1"/>
                <w:sz w:val="24"/>
                <w:szCs w:val="24"/>
              </w:rPr>
            </w:pPr>
            <w:r>
              <w:rPr>
                <w:rFonts w:hint="eastAsia" w:ascii="宋体" w:hAnsi="宋体" w:cs="Arial"/>
                <w:color w:val="000000" w:themeColor="text1"/>
                <w:sz w:val="24"/>
                <w:szCs w:val="24"/>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是否响应磋商文件的要求</w:t>
            </w:r>
          </w:p>
        </w:tc>
        <w:tc>
          <w:tcPr>
            <w:tcW w:w="6825"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ascii="宋体" w:hAnsi="宋体" w:cs="Arial"/>
                <w:color w:val="000000" w:themeColor="text1"/>
                <w:sz w:val="24"/>
                <w:szCs w:val="24"/>
              </w:rPr>
            </w:pPr>
            <w:r>
              <w:rPr>
                <w:rFonts w:hint="eastAsia" w:ascii="宋体" w:hAnsi="宋体" w:cs="Arial"/>
                <w:color w:val="000000" w:themeColor="text1"/>
                <w:sz w:val="24"/>
                <w:szCs w:val="24"/>
              </w:rPr>
              <w:t>备注</w:t>
            </w:r>
          </w:p>
        </w:tc>
        <w:tc>
          <w:tcPr>
            <w:tcW w:w="6825" w:type="dxa"/>
            <w:vAlign w:val="center"/>
          </w:tcPr>
          <w:p>
            <w:pPr>
              <w:rPr>
                <w:rFonts w:ascii="宋体" w:hAnsi="宋体" w:cs="Arial"/>
                <w:color w:val="000000" w:themeColor="text1"/>
                <w:sz w:val="24"/>
                <w:szCs w:val="24"/>
              </w:rPr>
            </w:pPr>
          </w:p>
        </w:tc>
      </w:tr>
    </w:tbl>
    <w:p>
      <w:pPr>
        <w:spacing w:line="360" w:lineRule="auto"/>
        <w:rPr>
          <w:rFonts w:ascii="宋体" w:hAnsi="宋体" w:cs="Arial"/>
          <w:color w:val="000000" w:themeColor="text1"/>
          <w:sz w:val="24"/>
          <w:szCs w:val="24"/>
        </w:rPr>
      </w:pPr>
    </w:p>
    <w:p>
      <w:pPr>
        <w:spacing w:line="360" w:lineRule="auto"/>
        <w:rPr>
          <w:rFonts w:ascii="宋体" w:hAnsi="宋体" w:cs="Arial"/>
          <w:color w:val="000000" w:themeColor="text1"/>
          <w:sz w:val="24"/>
          <w:szCs w:val="24"/>
        </w:rPr>
      </w:pPr>
      <w:r>
        <w:rPr>
          <w:rFonts w:hint="eastAsia" w:ascii="宋体" w:hAnsi="宋体" w:cs="Arial"/>
          <w:color w:val="000000" w:themeColor="text1"/>
          <w:sz w:val="24"/>
          <w:szCs w:val="24"/>
        </w:rPr>
        <w:t>供应商：（盖章）</w:t>
      </w:r>
    </w:p>
    <w:p>
      <w:pPr>
        <w:spacing w:line="360" w:lineRule="auto"/>
        <w:rPr>
          <w:rFonts w:ascii="宋体" w:hAnsi="宋体" w:cs="Arial"/>
          <w:color w:val="000000" w:themeColor="text1"/>
          <w:sz w:val="24"/>
          <w:szCs w:val="24"/>
        </w:rPr>
      </w:pPr>
      <w:r>
        <w:rPr>
          <w:rFonts w:hint="eastAsia" w:ascii="宋体" w:hAnsi="宋体" w:cs="Arial"/>
          <w:color w:val="000000" w:themeColor="text1"/>
          <w:sz w:val="24"/>
          <w:szCs w:val="24"/>
        </w:rPr>
        <w:t>法定代表人或授权委托人：（签字或盖章）</w:t>
      </w:r>
    </w:p>
    <w:p>
      <w:pPr>
        <w:spacing w:line="360" w:lineRule="auto"/>
        <w:rPr>
          <w:rFonts w:ascii="宋体" w:hAnsi="宋体" w:cs="Arial"/>
          <w:color w:val="000000" w:themeColor="text1"/>
          <w:sz w:val="24"/>
          <w:szCs w:val="24"/>
        </w:rPr>
      </w:pPr>
      <w:r>
        <w:rPr>
          <w:rFonts w:hint="eastAsia" w:ascii="宋体" w:hAnsi="宋体" w:cs="Arial"/>
          <w:color w:val="000000" w:themeColor="text1"/>
          <w:sz w:val="24"/>
          <w:szCs w:val="24"/>
        </w:rPr>
        <w:t>日期：年月日</w:t>
      </w:r>
    </w:p>
    <w:p>
      <w:pPr>
        <w:spacing w:line="360" w:lineRule="auto"/>
        <w:rPr>
          <w:rFonts w:ascii="宋体" w:hAnsi="宋体" w:cs="Arial"/>
          <w:b/>
          <w:bCs/>
          <w:color w:val="000000" w:themeColor="text1"/>
          <w:sz w:val="24"/>
          <w:szCs w:val="24"/>
        </w:rPr>
      </w:pPr>
    </w:p>
    <w:p>
      <w:pPr>
        <w:pStyle w:val="2"/>
        <w:ind w:left="0" w:leftChars="0" w:firstLine="0" w:firstLineChars="0"/>
        <w:rPr>
          <w:color w:val="000000" w:themeColor="text1"/>
        </w:rPr>
      </w:pPr>
    </w:p>
    <w:p>
      <w:pPr>
        <w:pStyle w:val="2"/>
        <w:ind w:left="0" w:leftChars="0" w:firstLine="0" w:firstLineChars="0"/>
      </w:pPr>
    </w:p>
    <w:sectPr>
      <w:footerReference r:id="rId5" w:type="default"/>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s>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15"/>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s>
      <w:jc w:val="center"/>
    </w:pPr>
  </w:p>
  <w:p>
    <w:pPr>
      <w:pStyle w:val="15"/>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none"/>
      <w:pStyle w:val="5"/>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F6E4B3"/>
    <w:multiLevelType w:val="singleLevel"/>
    <w:tmpl w:val="00F6E4B3"/>
    <w:lvl w:ilvl="0" w:tentative="0">
      <w:start w:val="5"/>
      <w:numFmt w:val="chineseCounting"/>
      <w:suff w:val="space"/>
      <w:lvlText w:val="第%1章"/>
      <w:lvlJc w:val="left"/>
      <w:rPr>
        <w:rFonts w:hint="eastAsia"/>
      </w:rPr>
    </w:lvl>
  </w:abstractNum>
  <w:abstractNum w:abstractNumId="2">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39581245"/>
    <w:multiLevelType w:val="multilevel"/>
    <w:tmpl w:val="39581245"/>
    <w:lvl w:ilvl="0" w:tentative="0">
      <w:start w:val="27"/>
      <w:numFmt w:val="decimal"/>
      <w:lvlText w:val="%1、"/>
      <w:lvlJc w:val="left"/>
      <w:pPr>
        <w:ind w:left="1088" w:hanging="456"/>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4">
    <w:nsid w:val="3EC437A2"/>
    <w:multiLevelType w:val="multilevel"/>
    <w:tmpl w:val="3EC437A2"/>
    <w:lvl w:ilvl="0" w:tentative="0">
      <w:start w:val="1"/>
      <w:numFmt w:val="japaneseCounting"/>
      <w:lvlText w:val="（%1）"/>
      <w:lvlJc w:val="left"/>
      <w:pPr>
        <w:ind w:left="915" w:hanging="720"/>
      </w:pPr>
      <w:rPr>
        <w:rFonts w:hint="default" w:ascii="Times New Roman" w:hAnsi="Times New Roman" w:cs="Times New Roman"/>
        <w:b w:val="0"/>
        <w:bCs w:val="0"/>
      </w:rPr>
    </w:lvl>
    <w:lvl w:ilvl="1" w:tentative="0">
      <w:start w:val="1"/>
      <w:numFmt w:val="lowerLetter"/>
      <w:lvlText w:val="%2)"/>
      <w:lvlJc w:val="left"/>
      <w:pPr>
        <w:ind w:left="1035" w:hanging="420"/>
      </w:pPr>
      <w:rPr>
        <w:rFonts w:hint="default" w:ascii="Times New Roman" w:hAnsi="Times New Roman" w:cs="Times New Roman"/>
      </w:rPr>
    </w:lvl>
    <w:lvl w:ilvl="2" w:tentative="0">
      <w:start w:val="1"/>
      <w:numFmt w:val="lowerRoman"/>
      <w:lvlText w:val="%3."/>
      <w:lvlJc w:val="right"/>
      <w:pPr>
        <w:ind w:left="1455" w:hanging="420"/>
      </w:pPr>
      <w:rPr>
        <w:rFonts w:hint="default" w:ascii="Times New Roman" w:hAnsi="Times New Roman" w:cs="Times New Roman"/>
      </w:rPr>
    </w:lvl>
    <w:lvl w:ilvl="3" w:tentative="0">
      <w:start w:val="1"/>
      <w:numFmt w:val="decimal"/>
      <w:lvlText w:val="%4."/>
      <w:lvlJc w:val="left"/>
      <w:pPr>
        <w:ind w:left="1875" w:hanging="420"/>
      </w:pPr>
      <w:rPr>
        <w:rFonts w:hint="default" w:ascii="Times New Roman" w:hAnsi="Times New Roman" w:cs="Times New Roman"/>
      </w:rPr>
    </w:lvl>
    <w:lvl w:ilvl="4" w:tentative="0">
      <w:start w:val="1"/>
      <w:numFmt w:val="lowerLetter"/>
      <w:lvlText w:val="%5)"/>
      <w:lvlJc w:val="left"/>
      <w:pPr>
        <w:ind w:left="2295" w:hanging="420"/>
      </w:pPr>
      <w:rPr>
        <w:rFonts w:hint="default" w:ascii="Times New Roman" w:hAnsi="Times New Roman" w:cs="Times New Roman"/>
      </w:rPr>
    </w:lvl>
    <w:lvl w:ilvl="5" w:tentative="0">
      <w:start w:val="1"/>
      <w:numFmt w:val="lowerRoman"/>
      <w:lvlText w:val="%6."/>
      <w:lvlJc w:val="right"/>
      <w:pPr>
        <w:ind w:left="2715" w:hanging="420"/>
      </w:pPr>
      <w:rPr>
        <w:rFonts w:hint="default" w:ascii="Times New Roman" w:hAnsi="Times New Roman" w:cs="Times New Roman"/>
      </w:rPr>
    </w:lvl>
    <w:lvl w:ilvl="6" w:tentative="0">
      <w:start w:val="1"/>
      <w:numFmt w:val="decimal"/>
      <w:lvlText w:val="%7."/>
      <w:lvlJc w:val="left"/>
      <w:pPr>
        <w:ind w:left="3135" w:hanging="420"/>
      </w:pPr>
      <w:rPr>
        <w:rFonts w:hint="default" w:ascii="Times New Roman" w:hAnsi="Times New Roman" w:cs="Times New Roman"/>
      </w:rPr>
    </w:lvl>
    <w:lvl w:ilvl="7" w:tentative="0">
      <w:start w:val="1"/>
      <w:numFmt w:val="lowerLetter"/>
      <w:lvlText w:val="%8)"/>
      <w:lvlJc w:val="left"/>
      <w:pPr>
        <w:ind w:left="3555" w:hanging="420"/>
      </w:pPr>
      <w:rPr>
        <w:rFonts w:hint="default" w:ascii="Times New Roman" w:hAnsi="Times New Roman" w:cs="Times New Roman"/>
      </w:rPr>
    </w:lvl>
    <w:lvl w:ilvl="8" w:tentative="0">
      <w:start w:val="1"/>
      <w:numFmt w:val="lowerRoman"/>
      <w:lvlText w:val="%9."/>
      <w:lvlJc w:val="right"/>
      <w:pPr>
        <w:ind w:left="3975" w:hanging="420"/>
      </w:pPr>
      <w:rPr>
        <w:rFonts w:hint="default" w:ascii="Times New Roman" w:hAnsi="Times New Roman" w:cs="Times New Roman"/>
      </w:rPr>
    </w:lvl>
  </w:abstractNum>
  <w:abstractNum w:abstractNumId="5">
    <w:nsid w:val="46A600C6"/>
    <w:multiLevelType w:val="multilevel"/>
    <w:tmpl w:val="46A600C6"/>
    <w:lvl w:ilvl="0" w:tentative="0">
      <w:start w:val="1"/>
      <w:numFmt w:val="decimal"/>
      <w:lvlText w:val="%1、"/>
      <w:lvlJc w:val="left"/>
      <w:pPr>
        <w:ind w:left="773" w:hanging="360"/>
      </w:pPr>
      <w:rPr>
        <w:rFonts w:hint="default" w:ascii="Times New Roman" w:hAnsi="Times New Roman" w:cs="Times New Roman"/>
      </w:rPr>
    </w:lvl>
    <w:lvl w:ilvl="1" w:tentative="0">
      <w:start w:val="1"/>
      <w:numFmt w:val="lowerLetter"/>
      <w:lvlText w:val="%2)"/>
      <w:lvlJc w:val="left"/>
      <w:pPr>
        <w:ind w:left="1253" w:hanging="420"/>
      </w:pPr>
      <w:rPr>
        <w:rFonts w:hint="default" w:ascii="Times New Roman" w:hAnsi="Times New Roman" w:cs="Times New Roman"/>
      </w:rPr>
    </w:lvl>
    <w:lvl w:ilvl="2" w:tentative="0">
      <w:start w:val="1"/>
      <w:numFmt w:val="lowerRoman"/>
      <w:lvlText w:val="%3."/>
      <w:lvlJc w:val="right"/>
      <w:pPr>
        <w:ind w:left="1673" w:hanging="420"/>
      </w:pPr>
      <w:rPr>
        <w:rFonts w:hint="default" w:ascii="Times New Roman" w:hAnsi="Times New Roman" w:cs="Times New Roman"/>
      </w:rPr>
    </w:lvl>
    <w:lvl w:ilvl="3" w:tentative="0">
      <w:start w:val="1"/>
      <w:numFmt w:val="decimal"/>
      <w:lvlText w:val="%4."/>
      <w:lvlJc w:val="left"/>
      <w:pPr>
        <w:ind w:left="2093" w:hanging="420"/>
      </w:pPr>
      <w:rPr>
        <w:rFonts w:hint="default" w:ascii="Times New Roman" w:hAnsi="Times New Roman" w:cs="Times New Roman"/>
      </w:rPr>
    </w:lvl>
    <w:lvl w:ilvl="4" w:tentative="0">
      <w:start w:val="1"/>
      <w:numFmt w:val="lowerLetter"/>
      <w:lvlText w:val="%5)"/>
      <w:lvlJc w:val="left"/>
      <w:pPr>
        <w:ind w:left="2513" w:hanging="420"/>
      </w:pPr>
      <w:rPr>
        <w:rFonts w:hint="default" w:ascii="Times New Roman" w:hAnsi="Times New Roman" w:cs="Times New Roman"/>
      </w:rPr>
    </w:lvl>
    <w:lvl w:ilvl="5" w:tentative="0">
      <w:start w:val="1"/>
      <w:numFmt w:val="lowerRoman"/>
      <w:lvlText w:val="%6."/>
      <w:lvlJc w:val="right"/>
      <w:pPr>
        <w:ind w:left="2933" w:hanging="420"/>
      </w:pPr>
      <w:rPr>
        <w:rFonts w:hint="default" w:ascii="Times New Roman" w:hAnsi="Times New Roman" w:cs="Times New Roman"/>
      </w:rPr>
    </w:lvl>
    <w:lvl w:ilvl="6" w:tentative="0">
      <w:start w:val="1"/>
      <w:numFmt w:val="decimal"/>
      <w:lvlText w:val="%7."/>
      <w:lvlJc w:val="left"/>
      <w:pPr>
        <w:ind w:left="3353" w:hanging="420"/>
      </w:pPr>
      <w:rPr>
        <w:rFonts w:hint="default" w:ascii="Times New Roman" w:hAnsi="Times New Roman" w:cs="Times New Roman"/>
      </w:rPr>
    </w:lvl>
    <w:lvl w:ilvl="7" w:tentative="0">
      <w:start w:val="1"/>
      <w:numFmt w:val="lowerLetter"/>
      <w:lvlText w:val="%8)"/>
      <w:lvlJc w:val="left"/>
      <w:pPr>
        <w:ind w:left="3773" w:hanging="420"/>
      </w:pPr>
      <w:rPr>
        <w:rFonts w:hint="default" w:ascii="Times New Roman" w:hAnsi="Times New Roman" w:cs="Times New Roman"/>
      </w:rPr>
    </w:lvl>
    <w:lvl w:ilvl="8" w:tentative="0">
      <w:start w:val="1"/>
      <w:numFmt w:val="lowerRoman"/>
      <w:lvlText w:val="%9."/>
      <w:lvlJc w:val="right"/>
      <w:pPr>
        <w:ind w:left="4193" w:hanging="420"/>
      </w:pPr>
      <w:rPr>
        <w:rFonts w:hint="default" w:ascii="Times New Roman" w:hAnsi="Times New Roman" w:cs="Times New Roman"/>
      </w:rPr>
    </w:lvl>
  </w:abstractNum>
  <w:abstractNum w:abstractNumId="6">
    <w:nsid w:val="5B627FA4"/>
    <w:multiLevelType w:val="multilevel"/>
    <w:tmpl w:val="5B627FA4"/>
    <w:lvl w:ilvl="0" w:tentative="0">
      <w:start w:val="4"/>
      <w:numFmt w:val="decimal"/>
      <w:lvlText w:val="%1、"/>
      <w:lvlJc w:val="left"/>
      <w:pPr>
        <w:ind w:left="928" w:hanging="360"/>
      </w:pPr>
      <w:rPr>
        <w:rFonts w:hint="default" w:ascii="Times New Roman" w:hAnsi="Times New Roman" w:cs="Times New Roman"/>
      </w:rPr>
    </w:lvl>
    <w:lvl w:ilvl="1" w:tentative="0">
      <w:start w:val="1"/>
      <w:numFmt w:val="lowerLetter"/>
      <w:lvlText w:val="%2)"/>
      <w:lvlJc w:val="left"/>
      <w:pPr>
        <w:ind w:left="1357" w:hanging="420"/>
      </w:pPr>
      <w:rPr>
        <w:rFonts w:hint="default" w:ascii="Times New Roman" w:hAnsi="Times New Roman" w:cs="Times New Roman"/>
      </w:rPr>
    </w:lvl>
    <w:lvl w:ilvl="2" w:tentative="0">
      <w:start w:val="1"/>
      <w:numFmt w:val="lowerRoman"/>
      <w:lvlText w:val="%3."/>
      <w:lvlJc w:val="right"/>
      <w:pPr>
        <w:ind w:left="1777" w:hanging="420"/>
      </w:pPr>
      <w:rPr>
        <w:rFonts w:hint="default" w:ascii="Times New Roman" w:hAnsi="Times New Roman" w:cs="Times New Roman"/>
      </w:rPr>
    </w:lvl>
    <w:lvl w:ilvl="3" w:tentative="0">
      <w:start w:val="1"/>
      <w:numFmt w:val="decimal"/>
      <w:lvlText w:val="%4."/>
      <w:lvlJc w:val="left"/>
      <w:pPr>
        <w:ind w:left="2197" w:hanging="420"/>
      </w:pPr>
      <w:rPr>
        <w:rFonts w:hint="default" w:ascii="Times New Roman" w:hAnsi="Times New Roman" w:cs="Times New Roman"/>
      </w:rPr>
    </w:lvl>
    <w:lvl w:ilvl="4" w:tentative="0">
      <w:start w:val="1"/>
      <w:numFmt w:val="lowerLetter"/>
      <w:lvlText w:val="%5)"/>
      <w:lvlJc w:val="left"/>
      <w:pPr>
        <w:ind w:left="2617" w:hanging="420"/>
      </w:pPr>
      <w:rPr>
        <w:rFonts w:hint="default" w:ascii="Times New Roman" w:hAnsi="Times New Roman" w:cs="Times New Roman"/>
      </w:rPr>
    </w:lvl>
    <w:lvl w:ilvl="5" w:tentative="0">
      <w:start w:val="1"/>
      <w:numFmt w:val="lowerRoman"/>
      <w:lvlText w:val="%6."/>
      <w:lvlJc w:val="right"/>
      <w:pPr>
        <w:ind w:left="3037" w:hanging="420"/>
      </w:pPr>
      <w:rPr>
        <w:rFonts w:hint="default" w:ascii="Times New Roman" w:hAnsi="Times New Roman" w:cs="Times New Roman"/>
      </w:rPr>
    </w:lvl>
    <w:lvl w:ilvl="6" w:tentative="0">
      <w:start w:val="1"/>
      <w:numFmt w:val="decimal"/>
      <w:lvlText w:val="%7."/>
      <w:lvlJc w:val="left"/>
      <w:pPr>
        <w:ind w:left="3457" w:hanging="420"/>
      </w:pPr>
      <w:rPr>
        <w:rFonts w:hint="default" w:ascii="Times New Roman" w:hAnsi="Times New Roman" w:cs="Times New Roman"/>
      </w:rPr>
    </w:lvl>
    <w:lvl w:ilvl="7" w:tentative="0">
      <w:start w:val="1"/>
      <w:numFmt w:val="lowerLetter"/>
      <w:lvlText w:val="%8)"/>
      <w:lvlJc w:val="left"/>
      <w:pPr>
        <w:ind w:left="3877" w:hanging="420"/>
      </w:pPr>
      <w:rPr>
        <w:rFonts w:hint="default" w:ascii="Times New Roman" w:hAnsi="Times New Roman" w:cs="Times New Roman"/>
      </w:rPr>
    </w:lvl>
    <w:lvl w:ilvl="8" w:tentative="0">
      <w:start w:val="1"/>
      <w:numFmt w:val="lowerRoman"/>
      <w:lvlText w:val="%9."/>
      <w:lvlJc w:val="right"/>
      <w:pPr>
        <w:ind w:left="4297" w:hanging="420"/>
      </w:pPr>
      <w:rPr>
        <w:rFonts w:hint="default" w:ascii="Times New Roman" w:hAnsi="Times New Roman" w:cs="Times New Roman"/>
      </w:rPr>
    </w:lvl>
  </w:abstractNum>
  <w:abstractNum w:abstractNumId="7">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abstractNum w:abstractNumId="8">
    <w:nsid w:val="72930F37"/>
    <w:multiLevelType w:val="singleLevel"/>
    <w:tmpl w:val="72930F37"/>
    <w:lvl w:ilvl="0" w:tentative="0">
      <w:start w:val="1"/>
      <w:numFmt w:val="decimal"/>
      <w:suff w:val="nothing"/>
      <w:lvlText w:val="（%1）"/>
      <w:lvlJc w:val="left"/>
    </w:lvl>
  </w:abstractNum>
  <w:num w:numId="1">
    <w:abstractNumId w:val="0"/>
  </w:num>
  <w:num w:numId="2">
    <w:abstractNumId w:val="1"/>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UwMThiMzNiZDc0ZTcxYTAyY2UzMzVjNmU4NjBmMDEifQ=="/>
  </w:docVars>
  <w:rsids>
    <w:rsidRoot w:val="5D7C6D44"/>
    <w:rsid w:val="00071FF5"/>
    <w:rsid w:val="00283C44"/>
    <w:rsid w:val="00437B01"/>
    <w:rsid w:val="0065020A"/>
    <w:rsid w:val="006A7E9A"/>
    <w:rsid w:val="006D32D0"/>
    <w:rsid w:val="008F7C8F"/>
    <w:rsid w:val="00A864EF"/>
    <w:rsid w:val="00B36A69"/>
    <w:rsid w:val="00B64FDE"/>
    <w:rsid w:val="00B8067D"/>
    <w:rsid w:val="01280D0E"/>
    <w:rsid w:val="01363F1F"/>
    <w:rsid w:val="01396E1E"/>
    <w:rsid w:val="014564B0"/>
    <w:rsid w:val="014B6F65"/>
    <w:rsid w:val="016C7D7A"/>
    <w:rsid w:val="019A11B7"/>
    <w:rsid w:val="01A3073B"/>
    <w:rsid w:val="01A47452"/>
    <w:rsid w:val="01DD3C4D"/>
    <w:rsid w:val="01E62762"/>
    <w:rsid w:val="0204742C"/>
    <w:rsid w:val="020D510A"/>
    <w:rsid w:val="024D4228"/>
    <w:rsid w:val="029463AA"/>
    <w:rsid w:val="02975DBA"/>
    <w:rsid w:val="030F2F39"/>
    <w:rsid w:val="03121C78"/>
    <w:rsid w:val="035937A7"/>
    <w:rsid w:val="035D5744"/>
    <w:rsid w:val="036231D4"/>
    <w:rsid w:val="03680B91"/>
    <w:rsid w:val="038E0430"/>
    <w:rsid w:val="03B13F76"/>
    <w:rsid w:val="03BA558C"/>
    <w:rsid w:val="03D92099"/>
    <w:rsid w:val="03DB240E"/>
    <w:rsid w:val="042E163E"/>
    <w:rsid w:val="044955CA"/>
    <w:rsid w:val="04D909CC"/>
    <w:rsid w:val="04DF2AE1"/>
    <w:rsid w:val="04FF04CC"/>
    <w:rsid w:val="05086119"/>
    <w:rsid w:val="056412A6"/>
    <w:rsid w:val="057A3813"/>
    <w:rsid w:val="059C15A4"/>
    <w:rsid w:val="05B745E0"/>
    <w:rsid w:val="0648504B"/>
    <w:rsid w:val="06650A50"/>
    <w:rsid w:val="06932F08"/>
    <w:rsid w:val="06B75149"/>
    <w:rsid w:val="06D066F2"/>
    <w:rsid w:val="071F2612"/>
    <w:rsid w:val="075524D7"/>
    <w:rsid w:val="07A11E28"/>
    <w:rsid w:val="07B90B0B"/>
    <w:rsid w:val="07BA3DC4"/>
    <w:rsid w:val="07E01DA1"/>
    <w:rsid w:val="07E33920"/>
    <w:rsid w:val="08076D31"/>
    <w:rsid w:val="08135DB3"/>
    <w:rsid w:val="0865707E"/>
    <w:rsid w:val="086A32AC"/>
    <w:rsid w:val="08721871"/>
    <w:rsid w:val="0888081E"/>
    <w:rsid w:val="08BD2249"/>
    <w:rsid w:val="08EB13EB"/>
    <w:rsid w:val="09093579"/>
    <w:rsid w:val="09524BFD"/>
    <w:rsid w:val="09A70C86"/>
    <w:rsid w:val="09D55638"/>
    <w:rsid w:val="0A126EFB"/>
    <w:rsid w:val="0A8235E3"/>
    <w:rsid w:val="0A965366"/>
    <w:rsid w:val="0ACC5B22"/>
    <w:rsid w:val="0B772E3E"/>
    <w:rsid w:val="0B970B50"/>
    <w:rsid w:val="0BAB0918"/>
    <w:rsid w:val="0BEF12D9"/>
    <w:rsid w:val="0BF46ED9"/>
    <w:rsid w:val="0C50326D"/>
    <w:rsid w:val="0C6F1945"/>
    <w:rsid w:val="0CFD1647"/>
    <w:rsid w:val="0D0475F3"/>
    <w:rsid w:val="0D221DE8"/>
    <w:rsid w:val="0D283F4E"/>
    <w:rsid w:val="0D443DAB"/>
    <w:rsid w:val="0D596B1F"/>
    <w:rsid w:val="0DB81851"/>
    <w:rsid w:val="0DE92535"/>
    <w:rsid w:val="0EB224EB"/>
    <w:rsid w:val="0EB56530"/>
    <w:rsid w:val="0F937349"/>
    <w:rsid w:val="0FA30CB9"/>
    <w:rsid w:val="0FEE51E8"/>
    <w:rsid w:val="10216D39"/>
    <w:rsid w:val="103942D1"/>
    <w:rsid w:val="104E2E23"/>
    <w:rsid w:val="1055486A"/>
    <w:rsid w:val="106E4225"/>
    <w:rsid w:val="10AE019C"/>
    <w:rsid w:val="10C72E85"/>
    <w:rsid w:val="10E723F2"/>
    <w:rsid w:val="111A2B66"/>
    <w:rsid w:val="117B2B3A"/>
    <w:rsid w:val="11947F8F"/>
    <w:rsid w:val="11B06C88"/>
    <w:rsid w:val="11B9584F"/>
    <w:rsid w:val="11BC5129"/>
    <w:rsid w:val="11BD47FB"/>
    <w:rsid w:val="11F76DFD"/>
    <w:rsid w:val="1230601B"/>
    <w:rsid w:val="125C6311"/>
    <w:rsid w:val="125D07AF"/>
    <w:rsid w:val="12B5608D"/>
    <w:rsid w:val="13821182"/>
    <w:rsid w:val="138D4967"/>
    <w:rsid w:val="13AC5F03"/>
    <w:rsid w:val="13BC1953"/>
    <w:rsid w:val="13E918DD"/>
    <w:rsid w:val="13FB7F63"/>
    <w:rsid w:val="14086B95"/>
    <w:rsid w:val="141A0406"/>
    <w:rsid w:val="14457225"/>
    <w:rsid w:val="14584D57"/>
    <w:rsid w:val="145F04F1"/>
    <w:rsid w:val="145F6743"/>
    <w:rsid w:val="147E12BF"/>
    <w:rsid w:val="14F84B50"/>
    <w:rsid w:val="14FA2223"/>
    <w:rsid w:val="150623C1"/>
    <w:rsid w:val="151651F0"/>
    <w:rsid w:val="15877D00"/>
    <w:rsid w:val="15962639"/>
    <w:rsid w:val="15F12FD6"/>
    <w:rsid w:val="15FA7F2A"/>
    <w:rsid w:val="15FE2614"/>
    <w:rsid w:val="16054BAA"/>
    <w:rsid w:val="1647654D"/>
    <w:rsid w:val="164C4350"/>
    <w:rsid w:val="16584C21"/>
    <w:rsid w:val="16F47D4F"/>
    <w:rsid w:val="1706559C"/>
    <w:rsid w:val="17100A71"/>
    <w:rsid w:val="171E3E87"/>
    <w:rsid w:val="17204A59"/>
    <w:rsid w:val="1720665E"/>
    <w:rsid w:val="17A24BE8"/>
    <w:rsid w:val="17DE54CF"/>
    <w:rsid w:val="17E219FC"/>
    <w:rsid w:val="18117D55"/>
    <w:rsid w:val="18187335"/>
    <w:rsid w:val="18782ED7"/>
    <w:rsid w:val="187F5606"/>
    <w:rsid w:val="18895F3B"/>
    <w:rsid w:val="18A045E2"/>
    <w:rsid w:val="18F648D4"/>
    <w:rsid w:val="19570331"/>
    <w:rsid w:val="195D4339"/>
    <w:rsid w:val="19681569"/>
    <w:rsid w:val="19684093"/>
    <w:rsid w:val="19934667"/>
    <w:rsid w:val="19D425CC"/>
    <w:rsid w:val="19EF40C6"/>
    <w:rsid w:val="1A0E575C"/>
    <w:rsid w:val="1A7C35DF"/>
    <w:rsid w:val="1A8640B2"/>
    <w:rsid w:val="1A9761E0"/>
    <w:rsid w:val="1AEE4042"/>
    <w:rsid w:val="1AF4088E"/>
    <w:rsid w:val="1B0821E6"/>
    <w:rsid w:val="1B682233"/>
    <w:rsid w:val="1B7C407F"/>
    <w:rsid w:val="1B896128"/>
    <w:rsid w:val="1BA535D6"/>
    <w:rsid w:val="1BD25A4D"/>
    <w:rsid w:val="1C0E2637"/>
    <w:rsid w:val="1C2D7127"/>
    <w:rsid w:val="1C424981"/>
    <w:rsid w:val="1C766D20"/>
    <w:rsid w:val="1C791CAC"/>
    <w:rsid w:val="1C7C476B"/>
    <w:rsid w:val="1C8036FB"/>
    <w:rsid w:val="1CB56A20"/>
    <w:rsid w:val="1CD851E0"/>
    <w:rsid w:val="1CD921E0"/>
    <w:rsid w:val="1CFB435F"/>
    <w:rsid w:val="1D622A82"/>
    <w:rsid w:val="1D8C3629"/>
    <w:rsid w:val="1D9104A2"/>
    <w:rsid w:val="1DA67191"/>
    <w:rsid w:val="1DDF52E6"/>
    <w:rsid w:val="1DE101C9"/>
    <w:rsid w:val="1DF334BD"/>
    <w:rsid w:val="1E075E82"/>
    <w:rsid w:val="1E861943"/>
    <w:rsid w:val="1E90452A"/>
    <w:rsid w:val="1EAA26ED"/>
    <w:rsid w:val="1F1E00F2"/>
    <w:rsid w:val="1F5F0953"/>
    <w:rsid w:val="1F831CC5"/>
    <w:rsid w:val="1FBA5FD1"/>
    <w:rsid w:val="1FD53DE8"/>
    <w:rsid w:val="1FF56291"/>
    <w:rsid w:val="200810CC"/>
    <w:rsid w:val="2010196E"/>
    <w:rsid w:val="201605FE"/>
    <w:rsid w:val="20173AF2"/>
    <w:rsid w:val="201A4DD1"/>
    <w:rsid w:val="201E3957"/>
    <w:rsid w:val="206070CD"/>
    <w:rsid w:val="20A8516A"/>
    <w:rsid w:val="20C458E2"/>
    <w:rsid w:val="20CF69FF"/>
    <w:rsid w:val="20DA4D70"/>
    <w:rsid w:val="20FA3104"/>
    <w:rsid w:val="21155AAB"/>
    <w:rsid w:val="21271205"/>
    <w:rsid w:val="21524508"/>
    <w:rsid w:val="219F5B88"/>
    <w:rsid w:val="21C30312"/>
    <w:rsid w:val="21DB4D37"/>
    <w:rsid w:val="21E309B4"/>
    <w:rsid w:val="22205764"/>
    <w:rsid w:val="222454FE"/>
    <w:rsid w:val="224A55CB"/>
    <w:rsid w:val="225D3ED3"/>
    <w:rsid w:val="226558B0"/>
    <w:rsid w:val="226E2973"/>
    <w:rsid w:val="22783CAD"/>
    <w:rsid w:val="22A27603"/>
    <w:rsid w:val="22AB1D83"/>
    <w:rsid w:val="22F664C5"/>
    <w:rsid w:val="23256004"/>
    <w:rsid w:val="234710AA"/>
    <w:rsid w:val="23757D31"/>
    <w:rsid w:val="238853DF"/>
    <w:rsid w:val="23B76660"/>
    <w:rsid w:val="23DC56BB"/>
    <w:rsid w:val="240928D8"/>
    <w:rsid w:val="24174945"/>
    <w:rsid w:val="24250339"/>
    <w:rsid w:val="242A6B06"/>
    <w:rsid w:val="243706F3"/>
    <w:rsid w:val="243D0F29"/>
    <w:rsid w:val="249E31E0"/>
    <w:rsid w:val="24BB518A"/>
    <w:rsid w:val="24DC4D3A"/>
    <w:rsid w:val="25276DB5"/>
    <w:rsid w:val="252A06A8"/>
    <w:rsid w:val="253C3296"/>
    <w:rsid w:val="25704BB8"/>
    <w:rsid w:val="25C24D84"/>
    <w:rsid w:val="25C46DB6"/>
    <w:rsid w:val="25C80F13"/>
    <w:rsid w:val="25F52064"/>
    <w:rsid w:val="2613738E"/>
    <w:rsid w:val="261E020C"/>
    <w:rsid w:val="262A2AC0"/>
    <w:rsid w:val="26B331B4"/>
    <w:rsid w:val="26B90928"/>
    <w:rsid w:val="26D15046"/>
    <w:rsid w:val="27090EBD"/>
    <w:rsid w:val="2744145A"/>
    <w:rsid w:val="274633C2"/>
    <w:rsid w:val="277A53C3"/>
    <w:rsid w:val="278D3205"/>
    <w:rsid w:val="279B06BE"/>
    <w:rsid w:val="28321D4D"/>
    <w:rsid w:val="287A631E"/>
    <w:rsid w:val="287F3D15"/>
    <w:rsid w:val="287F4493"/>
    <w:rsid w:val="28CB68CB"/>
    <w:rsid w:val="292A18FE"/>
    <w:rsid w:val="29714AF7"/>
    <w:rsid w:val="29A3550E"/>
    <w:rsid w:val="29B7629C"/>
    <w:rsid w:val="29E20197"/>
    <w:rsid w:val="29E452C9"/>
    <w:rsid w:val="2A9071FF"/>
    <w:rsid w:val="2B246615"/>
    <w:rsid w:val="2B5D35FD"/>
    <w:rsid w:val="2BA51913"/>
    <w:rsid w:val="2BD07780"/>
    <w:rsid w:val="2BDC6E2B"/>
    <w:rsid w:val="2C1005F7"/>
    <w:rsid w:val="2C3A1E9B"/>
    <w:rsid w:val="2CB73169"/>
    <w:rsid w:val="2CD800EF"/>
    <w:rsid w:val="2D226FC7"/>
    <w:rsid w:val="2D5409A9"/>
    <w:rsid w:val="2D592C0B"/>
    <w:rsid w:val="2D676B5F"/>
    <w:rsid w:val="2D6A3D37"/>
    <w:rsid w:val="2D981183"/>
    <w:rsid w:val="2D9A0EF8"/>
    <w:rsid w:val="2DAF2E4B"/>
    <w:rsid w:val="2DF3338E"/>
    <w:rsid w:val="2E634D99"/>
    <w:rsid w:val="2E665E24"/>
    <w:rsid w:val="2E843358"/>
    <w:rsid w:val="2E866557"/>
    <w:rsid w:val="2EAE1131"/>
    <w:rsid w:val="2EBB2EFB"/>
    <w:rsid w:val="2EF12AA5"/>
    <w:rsid w:val="2EF22236"/>
    <w:rsid w:val="2F017E0F"/>
    <w:rsid w:val="2F0B5A68"/>
    <w:rsid w:val="2F1264B8"/>
    <w:rsid w:val="2F301BD7"/>
    <w:rsid w:val="2F785EE3"/>
    <w:rsid w:val="2F8F2271"/>
    <w:rsid w:val="2FA53F52"/>
    <w:rsid w:val="303D2658"/>
    <w:rsid w:val="308E71D0"/>
    <w:rsid w:val="30E9774E"/>
    <w:rsid w:val="310420E8"/>
    <w:rsid w:val="310A4B09"/>
    <w:rsid w:val="311F7DDC"/>
    <w:rsid w:val="31292481"/>
    <w:rsid w:val="31293A71"/>
    <w:rsid w:val="313811B1"/>
    <w:rsid w:val="31972153"/>
    <w:rsid w:val="31E63086"/>
    <w:rsid w:val="322E59B4"/>
    <w:rsid w:val="324134B2"/>
    <w:rsid w:val="32737B32"/>
    <w:rsid w:val="32C00676"/>
    <w:rsid w:val="336F71A9"/>
    <w:rsid w:val="33B30DF3"/>
    <w:rsid w:val="34164B0D"/>
    <w:rsid w:val="347B4A7C"/>
    <w:rsid w:val="34A0361C"/>
    <w:rsid w:val="34AA1BB2"/>
    <w:rsid w:val="34B14942"/>
    <w:rsid w:val="34C75EE8"/>
    <w:rsid w:val="35222791"/>
    <w:rsid w:val="358405D0"/>
    <w:rsid w:val="35B82166"/>
    <w:rsid w:val="35E70981"/>
    <w:rsid w:val="361B528F"/>
    <w:rsid w:val="36511767"/>
    <w:rsid w:val="3679446E"/>
    <w:rsid w:val="368B4D38"/>
    <w:rsid w:val="36CE5337"/>
    <w:rsid w:val="370C49A7"/>
    <w:rsid w:val="370F3C0D"/>
    <w:rsid w:val="376170EB"/>
    <w:rsid w:val="37704640"/>
    <w:rsid w:val="378644A7"/>
    <w:rsid w:val="37A91900"/>
    <w:rsid w:val="37C2095E"/>
    <w:rsid w:val="37C800A6"/>
    <w:rsid w:val="37DE462A"/>
    <w:rsid w:val="37F012DD"/>
    <w:rsid w:val="37F232A7"/>
    <w:rsid w:val="38451946"/>
    <w:rsid w:val="385408B5"/>
    <w:rsid w:val="388A1731"/>
    <w:rsid w:val="388D371B"/>
    <w:rsid w:val="39300383"/>
    <w:rsid w:val="3952586A"/>
    <w:rsid w:val="398F6409"/>
    <w:rsid w:val="399C2EB1"/>
    <w:rsid w:val="39D730F7"/>
    <w:rsid w:val="39E13B89"/>
    <w:rsid w:val="39EB6350"/>
    <w:rsid w:val="3A027F19"/>
    <w:rsid w:val="3A414072"/>
    <w:rsid w:val="3A6D0632"/>
    <w:rsid w:val="3A812D72"/>
    <w:rsid w:val="3A937CAE"/>
    <w:rsid w:val="3AB02FA5"/>
    <w:rsid w:val="3AB605BC"/>
    <w:rsid w:val="3AD01A26"/>
    <w:rsid w:val="3AD153F6"/>
    <w:rsid w:val="3AFD61EB"/>
    <w:rsid w:val="3B420015"/>
    <w:rsid w:val="3B424545"/>
    <w:rsid w:val="3B6C265C"/>
    <w:rsid w:val="3B88430F"/>
    <w:rsid w:val="3B9F231E"/>
    <w:rsid w:val="3BBD1DB4"/>
    <w:rsid w:val="3BD04E07"/>
    <w:rsid w:val="3BF17E28"/>
    <w:rsid w:val="3C0C1A2F"/>
    <w:rsid w:val="3CCD7E3F"/>
    <w:rsid w:val="3CD952FE"/>
    <w:rsid w:val="3D0875A4"/>
    <w:rsid w:val="3D516558"/>
    <w:rsid w:val="3D702CFD"/>
    <w:rsid w:val="3D7D1865"/>
    <w:rsid w:val="3D9273AE"/>
    <w:rsid w:val="3D9C4BE3"/>
    <w:rsid w:val="3DC72D75"/>
    <w:rsid w:val="3DCC3B27"/>
    <w:rsid w:val="3DF01A15"/>
    <w:rsid w:val="3E821234"/>
    <w:rsid w:val="3EB7726D"/>
    <w:rsid w:val="3F2D1069"/>
    <w:rsid w:val="3F3608E0"/>
    <w:rsid w:val="3FC1012F"/>
    <w:rsid w:val="3FD03675"/>
    <w:rsid w:val="400A444B"/>
    <w:rsid w:val="407F6985"/>
    <w:rsid w:val="408A6859"/>
    <w:rsid w:val="40FC0EDC"/>
    <w:rsid w:val="41124D31"/>
    <w:rsid w:val="4129310F"/>
    <w:rsid w:val="415E375B"/>
    <w:rsid w:val="417E6516"/>
    <w:rsid w:val="4191596D"/>
    <w:rsid w:val="41A86151"/>
    <w:rsid w:val="41BC790C"/>
    <w:rsid w:val="41D67795"/>
    <w:rsid w:val="423E6349"/>
    <w:rsid w:val="425B4973"/>
    <w:rsid w:val="426E79CE"/>
    <w:rsid w:val="427B205B"/>
    <w:rsid w:val="427C658F"/>
    <w:rsid w:val="42F93A95"/>
    <w:rsid w:val="431C1A21"/>
    <w:rsid w:val="43B60D20"/>
    <w:rsid w:val="43BF3D19"/>
    <w:rsid w:val="43D368B5"/>
    <w:rsid w:val="43DE6DD5"/>
    <w:rsid w:val="43E8153E"/>
    <w:rsid w:val="43F860E9"/>
    <w:rsid w:val="43FC27C7"/>
    <w:rsid w:val="44153FCD"/>
    <w:rsid w:val="441B7340"/>
    <w:rsid w:val="44337121"/>
    <w:rsid w:val="445A78DD"/>
    <w:rsid w:val="448F37D7"/>
    <w:rsid w:val="449803AE"/>
    <w:rsid w:val="44EF37CA"/>
    <w:rsid w:val="44F44EB9"/>
    <w:rsid w:val="453E33D1"/>
    <w:rsid w:val="45766F29"/>
    <w:rsid w:val="459467CC"/>
    <w:rsid w:val="459B3D8B"/>
    <w:rsid w:val="45B44292"/>
    <w:rsid w:val="45DC5699"/>
    <w:rsid w:val="45FD1623"/>
    <w:rsid w:val="45FF375F"/>
    <w:rsid w:val="460528B8"/>
    <w:rsid w:val="462B7531"/>
    <w:rsid w:val="46540D30"/>
    <w:rsid w:val="46A17500"/>
    <w:rsid w:val="46B83054"/>
    <w:rsid w:val="46BE47C9"/>
    <w:rsid w:val="46C133EA"/>
    <w:rsid w:val="46F40419"/>
    <w:rsid w:val="4711679F"/>
    <w:rsid w:val="47307ABE"/>
    <w:rsid w:val="477036BD"/>
    <w:rsid w:val="479C7D76"/>
    <w:rsid w:val="482312F3"/>
    <w:rsid w:val="484216E1"/>
    <w:rsid w:val="48427933"/>
    <w:rsid w:val="48542559"/>
    <w:rsid w:val="48B80B7F"/>
    <w:rsid w:val="48CA5173"/>
    <w:rsid w:val="48EC1D27"/>
    <w:rsid w:val="4912188A"/>
    <w:rsid w:val="4916491B"/>
    <w:rsid w:val="493D3BD5"/>
    <w:rsid w:val="493D786E"/>
    <w:rsid w:val="49773703"/>
    <w:rsid w:val="499E55EA"/>
    <w:rsid w:val="49B02FC2"/>
    <w:rsid w:val="49BF7239"/>
    <w:rsid w:val="49E71C16"/>
    <w:rsid w:val="4A4366F0"/>
    <w:rsid w:val="4AAA284E"/>
    <w:rsid w:val="4ACD20A9"/>
    <w:rsid w:val="4B0A239F"/>
    <w:rsid w:val="4B1B37A6"/>
    <w:rsid w:val="4B2422E4"/>
    <w:rsid w:val="4B327839"/>
    <w:rsid w:val="4B616322"/>
    <w:rsid w:val="4B662EA9"/>
    <w:rsid w:val="4B732868"/>
    <w:rsid w:val="4B8363C2"/>
    <w:rsid w:val="4B977F95"/>
    <w:rsid w:val="4BB93B50"/>
    <w:rsid w:val="4BDA6111"/>
    <w:rsid w:val="4C1C493F"/>
    <w:rsid w:val="4C4250A3"/>
    <w:rsid w:val="4C460283"/>
    <w:rsid w:val="4C5E4090"/>
    <w:rsid w:val="4C8A0074"/>
    <w:rsid w:val="4C9B1090"/>
    <w:rsid w:val="4CB77648"/>
    <w:rsid w:val="4D4C17D6"/>
    <w:rsid w:val="4D800B91"/>
    <w:rsid w:val="4D98462D"/>
    <w:rsid w:val="4DCF483E"/>
    <w:rsid w:val="4DE65318"/>
    <w:rsid w:val="4E21420F"/>
    <w:rsid w:val="4E5521E5"/>
    <w:rsid w:val="4E832A53"/>
    <w:rsid w:val="4E85410C"/>
    <w:rsid w:val="4E870795"/>
    <w:rsid w:val="4EAD1CD6"/>
    <w:rsid w:val="4EAD2C74"/>
    <w:rsid w:val="4EF12228"/>
    <w:rsid w:val="4EF944D0"/>
    <w:rsid w:val="4F487E28"/>
    <w:rsid w:val="4F6463E1"/>
    <w:rsid w:val="4F7F4C73"/>
    <w:rsid w:val="4FB064A5"/>
    <w:rsid w:val="4FC60E49"/>
    <w:rsid w:val="50090FDA"/>
    <w:rsid w:val="50101C28"/>
    <w:rsid w:val="506C089A"/>
    <w:rsid w:val="50B52F96"/>
    <w:rsid w:val="511358F6"/>
    <w:rsid w:val="51267DFC"/>
    <w:rsid w:val="515810C3"/>
    <w:rsid w:val="51581F75"/>
    <w:rsid w:val="516641F6"/>
    <w:rsid w:val="51C95F5F"/>
    <w:rsid w:val="51E33BA6"/>
    <w:rsid w:val="5206327A"/>
    <w:rsid w:val="52157E66"/>
    <w:rsid w:val="522D6900"/>
    <w:rsid w:val="52345F03"/>
    <w:rsid w:val="524C6F14"/>
    <w:rsid w:val="52674576"/>
    <w:rsid w:val="526D1BC8"/>
    <w:rsid w:val="528353A3"/>
    <w:rsid w:val="528F1DFC"/>
    <w:rsid w:val="52950320"/>
    <w:rsid w:val="53292FA0"/>
    <w:rsid w:val="533D1B5D"/>
    <w:rsid w:val="534722A1"/>
    <w:rsid w:val="53790CB6"/>
    <w:rsid w:val="53B35B89"/>
    <w:rsid w:val="53B51901"/>
    <w:rsid w:val="53BD2563"/>
    <w:rsid w:val="53F75078"/>
    <w:rsid w:val="542637B9"/>
    <w:rsid w:val="542B2BCB"/>
    <w:rsid w:val="54863B40"/>
    <w:rsid w:val="54B75F59"/>
    <w:rsid w:val="54BF6BCE"/>
    <w:rsid w:val="54C63415"/>
    <w:rsid w:val="54C740CA"/>
    <w:rsid w:val="54F0573D"/>
    <w:rsid w:val="55144D65"/>
    <w:rsid w:val="55517EC7"/>
    <w:rsid w:val="555B7C68"/>
    <w:rsid w:val="55DA5350"/>
    <w:rsid w:val="561F55DB"/>
    <w:rsid w:val="562543F0"/>
    <w:rsid w:val="562D21EE"/>
    <w:rsid w:val="56854D3B"/>
    <w:rsid w:val="5738076B"/>
    <w:rsid w:val="57CE11E3"/>
    <w:rsid w:val="57EB7AFF"/>
    <w:rsid w:val="586B1E4B"/>
    <w:rsid w:val="587D49B7"/>
    <w:rsid w:val="588A6106"/>
    <w:rsid w:val="58D91E54"/>
    <w:rsid w:val="58FF53B5"/>
    <w:rsid w:val="59543241"/>
    <w:rsid w:val="59584779"/>
    <w:rsid w:val="59655944"/>
    <w:rsid w:val="597E3BA4"/>
    <w:rsid w:val="599E23AF"/>
    <w:rsid w:val="59B47412"/>
    <w:rsid w:val="59FE66B3"/>
    <w:rsid w:val="5A184997"/>
    <w:rsid w:val="5A1924BD"/>
    <w:rsid w:val="5AC10B8B"/>
    <w:rsid w:val="5AD14C13"/>
    <w:rsid w:val="5AD405C9"/>
    <w:rsid w:val="5AF36529"/>
    <w:rsid w:val="5AF80325"/>
    <w:rsid w:val="5B3C1ED2"/>
    <w:rsid w:val="5B540D70"/>
    <w:rsid w:val="5B61752A"/>
    <w:rsid w:val="5B962162"/>
    <w:rsid w:val="5BA83AF9"/>
    <w:rsid w:val="5BC07FCE"/>
    <w:rsid w:val="5BCD0477"/>
    <w:rsid w:val="5BCD05BD"/>
    <w:rsid w:val="5BCF552A"/>
    <w:rsid w:val="5BD42464"/>
    <w:rsid w:val="5BD93074"/>
    <w:rsid w:val="5BDB7A2A"/>
    <w:rsid w:val="5BF55BE0"/>
    <w:rsid w:val="5BF64864"/>
    <w:rsid w:val="5C0F5926"/>
    <w:rsid w:val="5C272C70"/>
    <w:rsid w:val="5C632A6E"/>
    <w:rsid w:val="5C6B0779"/>
    <w:rsid w:val="5CA164B1"/>
    <w:rsid w:val="5CB04913"/>
    <w:rsid w:val="5CD91C56"/>
    <w:rsid w:val="5D002DD3"/>
    <w:rsid w:val="5D5757D7"/>
    <w:rsid w:val="5D7C6D44"/>
    <w:rsid w:val="5D874E9B"/>
    <w:rsid w:val="5DA71878"/>
    <w:rsid w:val="5DC46523"/>
    <w:rsid w:val="5DDB1024"/>
    <w:rsid w:val="5EFA28BD"/>
    <w:rsid w:val="5FAB0949"/>
    <w:rsid w:val="5FAE0D40"/>
    <w:rsid w:val="5FB41AB8"/>
    <w:rsid w:val="5FC232EC"/>
    <w:rsid w:val="5FC30197"/>
    <w:rsid w:val="60451097"/>
    <w:rsid w:val="60600E46"/>
    <w:rsid w:val="6065645C"/>
    <w:rsid w:val="606E1A73"/>
    <w:rsid w:val="61205D96"/>
    <w:rsid w:val="614F06DE"/>
    <w:rsid w:val="61711B4C"/>
    <w:rsid w:val="62015415"/>
    <w:rsid w:val="6220263B"/>
    <w:rsid w:val="62483DFE"/>
    <w:rsid w:val="62614690"/>
    <w:rsid w:val="62685D90"/>
    <w:rsid w:val="62797F9D"/>
    <w:rsid w:val="628C13E5"/>
    <w:rsid w:val="62B35448"/>
    <w:rsid w:val="62CB093D"/>
    <w:rsid w:val="62DD6EEB"/>
    <w:rsid w:val="6309353D"/>
    <w:rsid w:val="630B4D5C"/>
    <w:rsid w:val="63155F18"/>
    <w:rsid w:val="63275B40"/>
    <w:rsid w:val="635B3E16"/>
    <w:rsid w:val="63725C09"/>
    <w:rsid w:val="63BA0763"/>
    <w:rsid w:val="63F011EF"/>
    <w:rsid w:val="63F34145"/>
    <w:rsid w:val="6401649C"/>
    <w:rsid w:val="641C2867"/>
    <w:rsid w:val="642D54E3"/>
    <w:rsid w:val="64377356"/>
    <w:rsid w:val="643C65A1"/>
    <w:rsid w:val="6468651B"/>
    <w:rsid w:val="646F5051"/>
    <w:rsid w:val="64A303C6"/>
    <w:rsid w:val="651D2366"/>
    <w:rsid w:val="6532537D"/>
    <w:rsid w:val="65362997"/>
    <w:rsid w:val="65680967"/>
    <w:rsid w:val="656907B0"/>
    <w:rsid w:val="659805B8"/>
    <w:rsid w:val="65B54883"/>
    <w:rsid w:val="65FA7647"/>
    <w:rsid w:val="660D08E5"/>
    <w:rsid w:val="66370323"/>
    <w:rsid w:val="66485387"/>
    <w:rsid w:val="66582345"/>
    <w:rsid w:val="669B2BD8"/>
    <w:rsid w:val="66A600BA"/>
    <w:rsid w:val="66B01E8C"/>
    <w:rsid w:val="66BD51CD"/>
    <w:rsid w:val="670267B3"/>
    <w:rsid w:val="67334BBF"/>
    <w:rsid w:val="67755F02"/>
    <w:rsid w:val="67B22515"/>
    <w:rsid w:val="67B7228B"/>
    <w:rsid w:val="67FF03F1"/>
    <w:rsid w:val="68BC3B1D"/>
    <w:rsid w:val="68DC7F0C"/>
    <w:rsid w:val="68DE0B5A"/>
    <w:rsid w:val="6901225A"/>
    <w:rsid w:val="69232A11"/>
    <w:rsid w:val="693422DC"/>
    <w:rsid w:val="694035C3"/>
    <w:rsid w:val="69493201"/>
    <w:rsid w:val="696447FC"/>
    <w:rsid w:val="69704FF9"/>
    <w:rsid w:val="697C2E5E"/>
    <w:rsid w:val="69EB1780"/>
    <w:rsid w:val="69F638FC"/>
    <w:rsid w:val="69FD762C"/>
    <w:rsid w:val="6A3D6297"/>
    <w:rsid w:val="6A621379"/>
    <w:rsid w:val="6AB37DC4"/>
    <w:rsid w:val="6AC8410A"/>
    <w:rsid w:val="6AFD6825"/>
    <w:rsid w:val="6B0A3567"/>
    <w:rsid w:val="6B0B7C00"/>
    <w:rsid w:val="6B215175"/>
    <w:rsid w:val="6B5D6B0E"/>
    <w:rsid w:val="6B851761"/>
    <w:rsid w:val="6BC54D4F"/>
    <w:rsid w:val="6BEA4F37"/>
    <w:rsid w:val="6BFC457C"/>
    <w:rsid w:val="6C027255"/>
    <w:rsid w:val="6C197F88"/>
    <w:rsid w:val="6C562D66"/>
    <w:rsid w:val="6C573D7E"/>
    <w:rsid w:val="6C7E30B5"/>
    <w:rsid w:val="6CC23DDA"/>
    <w:rsid w:val="6CCE4F28"/>
    <w:rsid w:val="6CE528E6"/>
    <w:rsid w:val="6CED33DD"/>
    <w:rsid w:val="6CF601C3"/>
    <w:rsid w:val="6D001295"/>
    <w:rsid w:val="6DDD7632"/>
    <w:rsid w:val="6E035053"/>
    <w:rsid w:val="6EA045A7"/>
    <w:rsid w:val="6EE90259"/>
    <w:rsid w:val="6EE94212"/>
    <w:rsid w:val="6F233351"/>
    <w:rsid w:val="6F411E43"/>
    <w:rsid w:val="6F592BC7"/>
    <w:rsid w:val="6F8E449E"/>
    <w:rsid w:val="6FB578C5"/>
    <w:rsid w:val="6FD90225"/>
    <w:rsid w:val="700C707A"/>
    <w:rsid w:val="702D7498"/>
    <w:rsid w:val="704B1178"/>
    <w:rsid w:val="70B56644"/>
    <w:rsid w:val="70D319AF"/>
    <w:rsid w:val="70D37CC3"/>
    <w:rsid w:val="70DA7BA5"/>
    <w:rsid w:val="70F133F4"/>
    <w:rsid w:val="70F1600C"/>
    <w:rsid w:val="71614A1E"/>
    <w:rsid w:val="71CA611F"/>
    <w:rsid w:val="71EC42E8"/>
    <w:rsid w:val="720D425E"/>
    <w:rsid w:val="721534C3"/>
    <w:rsid w:val="7239075E"/>
    <w:rsid w:val="7251260D"/>
    <w:rsid w:val="72D11588"/>
    <w:rsid w:val="72DA669E"/>
    <w:rsid w:val="72DB37DB"/>
    <w:rsid w:val="72DC7BCE"/>
    <w:rsid w:val="72F64351"/>
    <w:rsid w:val="73290512"/>
    <w:rsid w:val="73884920"/>
    <w:rsid w:val="73944429"/>
    <w:rsid w:val="73A3131E"/>
    <w:rsid w:val="73AF7CC3"/>
    <w:rsid w:val="73FC458A"/>
    <w:rsid w:val="741B7D3F"/>
    <w:rsid w:val="74273CFD"/>
    <w:rsid w:val="74522823"/>
    <w:rsid w:val="749E69CF"/>
    <w:rsid w:val="74AF0844"/>
    <w:rsid w:val="74B26060"/>
    <w:rsid w:val="74CA3CC0"/>
    <w:rsid w:val="7500786C"/>
    <w:rsid w:val="75332571"/>
    <w:rsid w:val="75396CDA"/>
    <w:rsid w:val="754D1541"/>
    <w:rsid w:val="7561546C"/>
    <w:rsid w:val="756D573F"/>
    <w:rsid w:val="75CE780D"/>
    <w:rsid w:val="76300AFA"/>
    <w:rsid w:val="76FC03FE"/>
    <w:rsid w:val="775F730A"/>
    <w:rsid w:val="777918EB"/>
    <w:rsid w:val="77DC5702"/>
    <w:rsid w:val="780954C8"/>
    <w:rsid w:val="78177BE5"/>
    <w:rsid w:val="78227CD8"/>
    <w:rsid w:val="784815D2"/>
    <w:rsid w:val="78902818"/>
    <w:rsid w:val="78994A9D"/>
    <w:rsid w:val="78B92555"/>
    <w:rsid w:val="78BC7A8A"/>
    <w:rsid w:val="78E31C25"/>
    <w:rsid w:val="78EF290F"/>
    <w:rsid w:val="79986BD9"/>
    <w:rsid w:val="79A00574"/>
    <w:rsid w:val="79F041EC"/>
    <w:rsid w:val="79F32CCB"/>
    <w:rsid w:val="7A7C01D3"/>
    <w:rsid w:val="7A8F43F6"/>
    <w:rsid w:val="7ACE731A"/>
    <w:rsid w:val="7AD44562"/>
    <w:rsid w:val="7AE82DB9"/>
    <w:rsid w:val="7B0F77C6"/>
    <w:rsid w:val="7B4A4786"/>
    <w:rsid w:val="7B6A44CF"/>
    <w:rsid w:val="7C27219A"/>
    <w:rsid w:val="7C3D04A0"/>
    <w:rsid w:val="7C8A6757"/>
    <w:rsid w:val="7CA5157F"/>
    <w:rsid w:val="7CBF2918"/>
    <w:rsid w:val="7D295114"/>
    <w:rsid w:val="7D4465B5"/>
    <w:rsid w:val="7D553689"/>
    <w:rsid w:val="7D562F76"/>
    <w:rsid w:val="7D860671"/>
    <w:rsid w:val="7D8E6B9B"/>
    <w:rsid w:val="7DA2622A"/>
    <w:rsid w:val="7DA55C93"/>
    <w:rsid w:val="7E221091"/>
    <w:rsid w:val="7E242CEB"/>
    <w:rsid w:val="7E2C6E37"/>
    <w:rsid w:val="7E3F0EC0"/>
    <w:rsid w:val="7E8D74B1"/>
    <w:rsid w:val="7EA551B4"/>
    <w:rsid w:val="7F574211"/>
    <w:rsid w:val="7F772B2B"/>
    <w:rsid w:val="7F9E7AC2"/>
    <w:rsid w:val="7FAA23BB"/>
    <w:rsid w:val="7FE9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6">
    <w:name w:val="heading 2"/>
    <w:basedOn w:val="1"/>
    <w:next w:val="1"/>
    <w:qFormat/>
    <w:uiPriority w:val="0"/>
    <w:pPr>
      <w:keepNext/>
      <w:keepLines/>
      <w:spacing w:line="415" w:lineRule="auto"/>
      <w:outlineLvl w:val="1"/>
    </w:pPr>
    <w:rPr>
      <w:rFonts w:ascii="Arial" w:hAnsi="Arial" w:cs="Arial"/>
      <w:b/>
      <w:bCs/>
    </w:rPr>
  </w:style>
  <w:style w:type="paragraph" w:styleId="7">
    <w:name w:val="heading 3"/>
    <w:basedOn w:val="1"/>
    <w:next w:val="1"/>
    <w:qFormat/>
    <w:uiPriority w:val="0"/>
    <w:pPr>
      <w:keepNext/>
      <w:keepLines/>
      <w:spacing w:line="412" w:lineRule="auto"/>
      <w:outlineLvl w:val="2"/>
    </w:pPr>
    <w:rPr>
      <w:b/>
      <w:bCs/>
      <w:sz w:val="32"/>
      <w:szCs w:val="32"/>
    </w:rPr>
  </w:style>
  <w:style w:type="paragraph" w:styleId="8">
    <w:name w:val="heading 4"/>
    <w:basedOn w:val="1"/>
    <w:next w:val="1"/>
    <w:qFormat/>
    <w:uiPriority w:val="0"/>
    <w:pPr>
      <w:keepNext/>
      <w:keepLines/>
      <w:spacing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420" w:leftChars="200" w:firstLine="420" w:firstLineChars="200"/>
    </w:p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next w:val="3"/>
    <w:qFormat/>
    <w:uiPriority w:val="0"/>
    <w:pPr>
      <w:snapToGrid w:val="0"/>
    </w:pPr>
    <w:rPr>
      <w:rFonts w:ascii="Arial" w:hAnsi="Arial" w:cs="Arial"/>
      <w:szCs w:val="24"/>
    </w:rPr>
  </w:style>
  <w:style w:type="paragraph" w:styleId="9">
    <w:name w:val="Document Map"/>
    <w:basedOn w:val="1"/>
    <w:qFormat/>
    <w:uiPriority w:val="0"/>
    <w:pPr>
      <w:shd w:val="clear" w:color="auto" w:fill="000080"/>
    </w:pPr>
  </w:style>
  <w:style w:type="paragraph" w:styleId="10">
    <w:name w:val="Body Text"/>
    <w:basedOn w:val="1"/>
    <w:next w:val="1"/>
    <w:qFormat/>
    <w:uiPriority w:val="1"/>
    <w:pPr>
      <w:ind w:left="700"/>
    </w:pPr>
    <w:rPr>
      <w:rFonts w:ascii="宋体" w:hAnsi="宋体" w:cs="宋体"/>
      <w:sz w:val="24"/>
      <w:szCs w:val="24"/>
      <w:lang w:val="zh-CN" w:bidi="zh-CN"/>
    </w:rPr>
  </w:style>
  <w:style w:type="paragraph" w:styleId="11">
    <w:name w:val="toc 3"/>
    <w:basedOn w:val="1"/>
    <w:next w:val="1"/>
    <w:qFormat/>
    <w:uiPriority w:val="0"/>
    <w:pPr>
      <w:spacing w:before="100" w:beforeAutospacing="1" w:after="100" w:afterAutospacing="1"/>
      <w:ind w:left="400" w:leftChars="400"/>
    </w:pPr>
  </w:style>
  <w:style w:type="paragraph" w:styleId="12">
    <w:name w:val="Plain Text"/>
    <w:basedOn w:val="1"/>
    <w:qFormat/>
    <w:uiPriority w:val="0"/>
    <w:rPr>
      <w:rFonts w:ascii="宋体" w:hAnsi="Courier New"/>
      <w:sz w:val="24"/>
    </w:rPr>
  </w:style>
  <w:style w:type="paragraph" w:styleId="13">
    <w:name w:val="Date"/>
    <w:basedOn w:val="1"/>
    <w:next w:val="1"/>
    <w:qFormat/>
    <w:uiPriority w:val="0"/>
    <w:rPr>
      <w:rFonts w:ascii="仿宋_GB2312" w:hAnsi="宋体" w:eastAsia="仿宋_GB2312" w:cs="宋体"/>
      <w:sz w:val="30"/>
      <w:szCs w:val="30"/>
    </w:rPr>
  </w:style>
  <w:style w:type="paragraph" w:styleId="14">
    <w:name w:val="Body Text Indent 2"/>
    <w:basedOn w:val="1"/>
    <w:qFormat/>
    <w:uiPriority w:val="0"/>
    <w:pPr>
      <w:ind w:left="630" w:firstLine="645"/>
    </w:pPr>
    <w:rPr>
      <w:rFonts w:ascii="Arial" w:hAnsi="Arial" w:eastAsia="仿宋_GB2312"/>
      <w:sz w:val="32"/>
      <w:szCs w:val="20"/>
    </w:rPr>
  </w:style>
  <w:style w:type="paragraph" w:styleId="15">
    <w:name w:val="footer"/>
    <w:basedOn w:val="1"/>
    <w:qFormat/>
    <w:uiPriority w:val="0"/>
    <w:pPr>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2"/>
    <w:basedOn w:val="18"/>
    <w:next w:val="18"/>
    <w:qFormat/>
    <w:uiPriority w:val="0"/>
    <w:rPr>
      <w:rFonts w:eastAsia="仿宋_GB2312"/>
      <w:b/>
      <w:bCs/>
      <w:sz w:val="24"/>
      <w:szCs w:val="24"/>
    </w:rPr>
  </w:style>
  <w:style w:type="paragraph" w:styleId="18">
    <w:name w:val="index 2"/>
    <w:basedOn w:val="1"/>
    <w:next w:val="1"/>
    <w:qFormat/>
    <w:uiPriority w:val="0"/>
    <w:pPr>
      <w:spacing w:before="100" w:beforeAutospacing="1" w:after="100" w:afterAutospacing="1"/>
      <w:ind w:left="20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index 1"/>
    <w:basedOn w:val="1"/>
    <w:next w:val="1"/>
    <w:semiHidden/>
    <w:qFormat/>
    <w:uiPriority w:val="0"/>
    <w:pPr>
      <w:jc w:val="center"/>
    </w:pPr>
    <w:rPr>
      <w:rFonts w:ascii="仿宋_GB2312" w:eastAsia="仿宋_GB2312"/>
      <w:b/>
      <w:bCs/>
      <w:sz w:val="28"/>
      <w:szCs w:val="20"/>
    </w:rPr>
  </w:style>
  <w:style w:type="paragraph" w:styleId="21">
    <w:name w:val="Body Text First Indent"/>
    <w:basedOn w:val="1"/>
    <w:qFormat/>
    <w:uiPriority w:val="0"/>
    <w:pPr>
      <w:autoSpaceDE w:val="0"/>
      <w:autoSpaceDN w:val="0"/>
      <w:adjustRightInd w:val="0"/>
      <w:spacing w:line="360" w:lineRule="auto"/>
      <w:ind w:right="-24" w:rightChars="-10" w:firstLine="425" w:firstLineChars="225"/>
    </w:pPr>
    <w:rPr>
      <w:rFonts w:ascii="Arial" w:eastAsia="仿宋_GB2312" w:cs="Arial"/>
      <w:kern w:val="0"/>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styleId="28">
    <w:name w:val="List Paragraph"/>
    <w:basedOn w:val="1"/>
    <w:qFormat/>
    <w:uiPriority w:val="34"/>
    <w:pPr>
      <w:ind w:firstLine="420" w:firstLineChars="200"/>
    </w:pPr>
  </w:style>
  <w:style w:type="paragraph" w:customStyle="1" w:styleId="29">
    <w:name w:val="H1"/>
    <w:basedOn w:val="6"/>
    <w:next w:val="30"/>
    <w:qFormat/>
    <w:uiPriority w:val="0"/>
    <w:pPr>
      <w:spacing w:line="600" w:lineRule="exact"/>
      <w:jc w:val="center"/>
    </w:pPr>
    <w:rPr>
      <w:rFonts w:ascii="宋体" w:hAnsi="宋体" w:eastAsia="黑体" w:cs="宋体"/>
      <w:color w:val="000000"/>
      <w:sz w:val="32"/>
      <w:szCs w:val="32"/>
    </w:rPr>
  </w:style>
  <w:style w:type="paragraph" w:customStyle="1" w:styleId="30">
    <w:name w:val="GW-正文"/>
    <w:basedOn w:val="1"/>
    <w:qFormat/>
    <w:uiPriority w:val="0"/>
    <w:pPr>
      <w:spacing w:line="360" w:lineRule="auto"/>
      <w:ind w:firstLine="200" w:firstLineChars="200"/>
      <w:contextualSpacing/>
    </w:pPr>
  </w:style>
  <w:style w:type="paragraph" w:customStyle="1" w:styleId="31">
    <w:name w:val="H2"/>
    <w:basedOn w:val="7"/>
    <w:next w:val="1"/>
    <w:qFormat/>
    <w:uiPriority w:val="0"/>
    <w:pPr>
      <w:keepNext w:val="0"/>
      <w:keepLines w:val="0"/>
      <w:spacing w:line="360" w:lineRule="auto"/>
      <w:jc w:val="center"/>
    </w:pPr>
    <w:rPr>
      <w:rFonts w:ascii="宋体" w:hAnsi="宋体" w:cs="Arial"/>
      <w:color w:val="000000"/>
      <w:sz w:val="21"/>
      <w:szCs w:val="21"/>
    </w:rPr>
  </w:style>
  <w:style w:type="character" w:customStyle="1" w:styleId="32">
    <w:name w:val="16"/>
    <w:basedOn w:val="24"/>
    <w:qFormat/>
    <w:uiPriority w:val="0"/>
    <w:rPr>
      <w:rFonts w:hint="default" w:ascii="Cambria" w:hAnsi="Cambria" w:cs="Times New Roman"/>
      <w:b/>
      <w:bCs/>
      <w:kern w:val="28"/>
      <w:sz w:val="21"/>
      <w:szCs w:val="21"/>
    </w:rPr>
  </w:style>
  <w:style w:type="paragraph" w:customStyle="1" w:styleId="33">
    <w:name w:val="p0"/>
    <w:basedOn w:val="1"/>
    <w:qFormat/>
    <w:uiPriority w:val="0"/>
    <w:pPr>
      <w:widowControl/>
    </w:pPr>
    <w:rPr>
      <w:kern w:val="0"/>
    </w:rPr>
  </w:style>
  <w:style w:type="paragraph" w:customStyle="1" w:styleId="34">
    <w:name w:val="目录 71"/>
    <w:basedOn w:val="1"/>
    <w:next w:val="1"/>
    <w:qFormat/>
    <w:uiPriority w:val="99"/>
    <w:pPr>
      <w:ind w:left="2520"/>
    </w:pPr>
    <w:rPr>
      <w:rFonts w:ascii="Calibri"/>
    </w:rPr>
  </w:style>
  <w:style w:type="paragraph" w:customStyle="1" w:styleId="35">
    <w:name w:val="*正文"/>
    <w:basedOn w:val="1"/>
    <w:qFormat/>
    <w:uiPriority w:val="0"/>
    <w:pPr>
      <w:widowControl/>
      <w:spacing w:line="360" w:lineRule="auto"/>
      <w:ind w:firstLine="480" w:firstLineChars="200"/>
    </w:pPr>
    <w:rPr>
      <w:rFonts w:eastAsia="仿宋_GB2312"/>
      <w:sz w:val="24"/>
      <w:szCs w:val="28"/>
    </w:rPr>
  </w:style>
  <w:style w:type="paragraph" w:customStyle="1" w:styleId="36">
    <w:name w:val="列表段落1"/>
    <w:basedOn w:val="1"/>
    <w:qFormat/>
    <w:uiPriority w:val="34"/>
    <w:pPr>
      <w:ind w:firstLine="420" w:firstLineChars="200"/>
    </w:pPr>
  </w:style>
  <w:style w:type="paragraph" w:customStyle="1" w:styleId="37">
    <w:name w:val="CES正文"/>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38">
    <w:name w:val="内容"/>
    <w:basedOn w:val="1"/>
    <w:qFormat/>
    <w:uiPriority w:val="0"/>
    <w:pPr>
      <w:spacing w:line="360" w:lineRule="auto"/>
      <w:ind w:firstLine="420" w:firstLineChars="200"/>
    </w:pPr>
    <w:rPr>
      <w:rFonts w:ascii="华文仿宋" w:hAnsi="华文仿宋" w:eastAsia="仿宋_GB2312"/>
      <w:sz w:val="28"/>
    </w:rPr>
  </w:style>
  <w:style w:type="paragraph" w:customStyle="1" w:styleId="39">
    <w:name w:val="Normal_19"/>
    <w:qFormat/>
    <w:uiPriority w:val="0"/>
    <w:pPr>
      <w:widowControl w:val="0"/>
      <w:jc w:val="both"/>
    </w:pPr>
    <w:rPr>
      <w:rFonts w:ascii="Calibri" w:hAnsi="Calibri" w:eastAsia="宋体" w:cs="Times New Roman"/>
      <w:lang w:val="en-US" w:eastAsia="zh-CN" w:bidi="ar-SA"/>
    </w:rPr>
  </w:style>
  <w:style w:type="paragraph" w:customStyle="1" w:styleId="40">
    <w:name w:val="Normal_21"/>
    <w:qFormat/>
    <w:uiPriority w:val="0"/>
    <w:pPr>
      <w:widowControl w:val="0"/>
      <w:jc w:val="both"/>
    </w:pPr>
    <w:rPr>
      <w:rFonts w:ascii="Calibri" w:hAnsi="Calibri" w:eastAsia="Times New Roman" w:cs="Times New Roman"/>
      <w:lang w:val="en-US" w:eastAsia="zh-CN" w:bidi="ar-SA"/>
    </w:rPr>
  </w:style>
  <w:style w:type="paragraph" w:customStyle="1" w:styleId="41">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Heading #1|1"/>
    <w:basedOn w:val="1"/>
    <w:qFormat/>
    <w:uiPriority w:val="0"/>
    <w:pPr>
      <w:spacing w:after="6340"/>
      <w:jc w:val="center"/>
      <w:outlineLvl w:val="0"/>
    </w:pPr>
    <w:rPr>
      <w:rFonts w:ascii="宋体" w:hAnsi="宋体" w:cs="宋体"/>
      <w:color w:val="2D2C30"/>
      <w:sz w:val="70"/>
      <w:szCs w:val="70"/>
      <w:lang w:val="zh-TW" w:eastAsia="zh-TW" w:bidi="zh-TW"/>
    </w:rPr>
  </w:style>
  <w:style w:type="paragraph" w:customStyle="1" w:styleId="43">
    <w:name w:val="Body text|1"/>
    <w:basedOn w:val="1"/>
    <w:qFormat/>
    <w:uiPriority w:val="0"/>
    <w:pPr>
      <w:spacing w:line="434" w:lineRule="auto"/>
      <w:ind w:firstLine="400"/>
    </w:pPr>
    <w:rPr>
      <w:rFonts w:ascii="宋体" w:hAnsi="宋体" w:cs="宋体"/>
      <w:color w:val="2D2C30"/>
      <w:sz w:val="28"/>
      <w:szCs w:val="28"/>
      <w:lang w:val="zh-TW" w:eastAsia="zh-TW" w:bidi="zh-TW"/>
    </w:rPr>
  </w:style>
  <w:style w:type="paragraph" w:customStyle="1" w:styleId="44">
    <w:name w:val="Body text|2"/>
    <w:basedOn w:val="1"/>
    <w:qFormat/>
    <w:uiPriority w:val="0"/>
    <w:pPr>
      <w:spacing w:after="130" w:line="346" w:lineRule="auto"/>
      <w:ind w:firstLine="590"/>
    </w:pPr>
    <w:rPr>
      <w:color w:val="2D2C30"/>
      <w:sz w:val="30"/>
      <w:szCs w:val="30"/>
      <w:u w:val="single"/>
      <w:lang w:val="zh-TW" w:eastAsia="zh-TW" w:bidi="zh-TW"/>
    </w:rPr>
  </w:style>
  <w:style w:type="paragraph" w:customStyle="1" w:styleId="45">
    <w:name w:val="Header or footer|2"/>
    <w:basedOn w:val="1"/>
    <w:qFormat/>
    <w:uiPriority w:val="0"/>
    <w:rPr>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18085</Words>
  <Characters>18908</Characters>
  <Lines>125</Lines>
  <Paragraphs>35</Paragraphs>
  <TotalTime>342</TotalTime>
  <ScaleCrop>false</ScaleCrop>
  <LinksUpToDate>false</LinksUpToDate>
  <CharactersWithSpaces>19968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2019-10-02T02:14:00Z</dcterms:created>
  <dc:creator>WZJ，Champion</dc:creator>
  <cp:lastModifiedBy>dell</cp:lastModifiedBy>
  <cp:lastPrinted>2023-01-06T00:41:00Z</cp:lastPrinted>
  <dcterms:modified xsi:type="dcterms:W3CDTF">2023-10-19T01:59:18Z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768E77E023E642FABB9D471434324A34_13</vt:lpwstr>
  </property>
</Properties>
</file>