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jc w:val="center"/>
        <w:rPr>
          <w:rFonts w:ascii="宋体" w:hAnsi="宋体" w:cs="宋体"/>
          <w:b/>
          <w:bCs/>
          <w:color w:val="000000"/>
          <w:kern w:val="0"/>
          <w:sz w:val="36"/>
          <w:szCs w:val="36"/>
        </w:rPr>
      </w:pPr>
    </w:p>
    <w:p>
      <w:pPr>
        <w:topLinePunct/>
        <w:jc w:val="center"/>
        <w:rPr>
          <w:rFonts w:ascii="宋体" w:hAnsi="宋体" w:cs="宋体"/>
          <w:b/>
          <w:bCs/>
          <w:color w:val="000000"/>
          <w:kern w:val="0"/>
          <w:sz w:val="36"/>
          <w:szCs w:val="36"/>
        </w:rPr>
      </w:pPr>
    </w:p>
    <w:p>
      <w:pPr>
        <w:jc w:val="center"/>
        <w:rPr>
          <w:rFonts w:ascii="宋体" w:hAnsi="宋体" w:cs="宋体"/>
          <w:b/>
          <w:bCs/>
          <w:color w:val="000000"/>
          <w:kern w:val="0"/>
          <w:sz w:val="36"/>
          <w:szCs w:val="36"/>
        </w:rPr>
      </w:pPr>
    </w:p>
    <w:p>
      <w:pPr>
        <w:spacing w:line="800" w:lineRule="exact"/>
        <w:jc w:val="center"/>
        <w:rPr>
          <w:rFonts w:ascii="宋体" w:hAnsi="宋体" w:cs="宋体"/>
          <w:b/>
          <w:w w:val="120"/>
          <w:sz w:val="44"/>
          <w:szCs w:val="44"/>
        </w:rPr>
      </w:pPr>
      <w:r>
        <w:rPr>
          <w:rFonts w:hint="eastAsia" w:ascii="宋体" w:hAnsi="宋体" w:cs="宋体"/>
          <w:b/>
          <w:w w:val="120"/>
          <w:sz w:val="44"/>
          <w:szCs w:val="44"/>
        </w:rPr>
        <w:t>皖北卫生职业学院</w:t>
      </w:r>
    </w:p>
    <w:p>
      <w:pPr>
        <w:jc w:val="center"/>
        <w:rPr>
          <w:rFonts w:ascii="宋体" w:hAnsi="宋体" w:cs="宋体"/>
          <w:b/>
          <w:bCs/>
          <w:color w:val="000000"/>
          <w:kern w:val="0"/>
          <w:sz w:val="32"/>
          <w:szCs w:val="32"/>
        </w:rPr>
      </w:pPr>
      <w:r>
        <w:rPr>
          <w:rFonts w:hint="eastAsia" w:ascii="宋体" w:hAnsi="宋体" w:cs="宋体"/>
          <w:b/>
          <w:w w:val="120"/>
          <w:sz w:val="44"/>
          <w:szCs w:val="44"/>
        </w:rPr>
        <w:t>校园生活垃圾、化粪池清运服务项目</w:t>
      </w:r>
    </w:p>
    <w:p>
      <w:pPr>
        <w:jc w:val="center"/>
        <w:rPr>
          <w:rFonts w:ascii="宋体" w:hAnsi="宋体"/>
          <w:b/>
          <w:bCs/>
          <w:color w:val="000000"/>
          <w:sz w:val="56"/>
          <w:szCs w:val="56"/>
        </w:rPr>
      </w:pPr>
    </w:p>
    <w:p>
      <w:pPr>
        <w:pStyle w:val="2"/>
      </w:pPr>
    </w:p>
    <w:p>
      <w:pPr>
        <w:jc w:val="center"/>
        <w:rPr>
          <w:rFonts w:ascii="宋体" w:hAnsi="宋体"/>
          <w:b/>
          <w:bCs/>
          <w:color w:val="000000"/>
          <w:sz w:val="56"/>
          <w:szCs w:val="56"/>
        </w:rPr>
      </w:pPr>
    </w:p>
    <w:p>
      <w:pPr>
        <w:pStyle w:val="2"/>
        <w:ind w:firstLine="1124"/>
        <w:rPr>
          <w:rFonts w:ascii="宋体" w:hAnsi="宋体" w:eastAsia="宋体"/>
          <w:b/>
          <w:bCs/>
          <w:color w:val="000000"/>
          <w:sz w:val="56"/>
          <w:szCs w:val="56"/>
        </w:rPr>
      </w:pPr>
    </w:p>
    <w:p>
      <w:pPr>
        <w:jc w:val="center"/>
        <w:rPr>
          <w:rFonts w:ascii="宋体" w:hAnsi="宋体"/>
          <w:b/>
          <w:bCs/>
          <w:color w:val="000000"/>
          <w:sz w:val="56"/>
          <w:szCs w:val="56"/>
        </w:rPr>
      </w:pPr>
      <w:r>
        <w:rPr>
          <w:rFonts w:hint="eastAsia" w:ascii="宋体" w:hAnsi="宋体"/>
          <w:b/>
          <w:bCs/>
          <w:color w:val="000000"/>
          <w:sz w:val="56"/>
          <w:szCs w:val="56"/>
        </w:rPr>
        <w:t>竞争性谈判采购文件</w:t>
      </w:r>
    </w:p>
    <w:p>
      <w:pPr>
        <w:jc w:val="center"/>
      </w:pPr>
    </w:p>
    <w:p>
      <w:pPr>
        <w:jc w:val="center"/>
      </w:pPr>
    </w:p>
    <w:p>
      <w:pPr>
        <w:jc w:val="center"/>
      </w:pPr>
    </w:p>
    <w:p>
      <w:pPr>
        <w:pStyle w:val="2"/>
        <w:ind w:firstLine="640"/>
      </w:pPr>
    </w:p>
    <w:p>
      <w:pPr>
        <w:pStyle w:val="2"/>
        <w:ind w:firstLine="640"/>
      </w:pPr>
    </w:p>
    <w:p>
      <w:pPr>
        <w:pStyle w:val="5"/>
        <w:ind w:firstLine="200"/>
      </w:pPr>
    </w:p>
    <w:p/>
    <w:p>
      <w:pPr>
        <w:pStyle w:val="2"/>
        <w:ind w:left="0" w:leftChars="0" w:firstLine="0" w:firstLineChars="0"/>
      </w:pPr>
    </w:p>
    <w:p>
      <w:pPr>
        <w:jc w:val="center"/>
      </w:pPr>
    </w:p>
    <w:p>
      <w:pPr>
        <w:spacing w:line="360" w:lineRule="auto"/>
        <w:jc w:val="center"/>
        <w:rPr>
          <w:rFonts w:ascii="黑体" w:hAnsi="宋体" w:eastAsia="黑体"/>
          <w:sz w:val="28"/>
          <w:szCs w:val="28"/>
        </w:rPr>
      </w:pPr>
      <w:r>
        <w:rPr>
          <w:rFonts w:hint="eastAsia" w:ascii="黑体" w:hAnsi="宋体" w:eastAsia="黑体"/>
          <w:sz w:val="28"/>
          <w:szCs w:val="28"/>
        </w:rPr>
        <w:t>采购人：皖北卫生职业学院（盖章）</w:t>
      </w:r>
    </w:p>
    <w:p>
      <w:pPr>
        <w:spacing w:line="360" w:lineRule="auto"/>
        <w:jc w:val="center"/>
        <w:rPr>
          <w:rFonts w:ascii="黑体" w:hAnsi="宋体" w:eastAsia="黑体"/>
          <w:sz w:val="28"/>
          <w:szCs w:val="28"/>
        </w:rPr>
      </w:pPr>
      <w:r>
        <w:rPr>
          <w:rFonts w:hint="eastAsia" w:ascii="黑体" w:hAnsi="宋体" w:eastAsia="黑体"/>
          <w:sz w:val="28"/>
          <w:szCs w:val="28"/>
        </w:rPr>
        <w:t>代理机构：皓顺建设咨询（集团）有限公司</w:t>
      </w:r>
    </w:p>
    <w:p>
      <w:pPr>
        <w:spacing w:line="360" w:lineRule="auto"/>
        <w:jc w:val="center"/>
        <w:rPr>
          <w:rFonts w:ascii="宋体" w:hAnsi="宋体"/>
          <w:b/>
          <w:sz w:val="32"/>
          <w:szCs w:val="32"/>
        </w:rPr>
      </w:pPr>
      <w:r>
        <w:rPr>
          <w:rFonts w:hint="eastAsia" w:ascii="宋体" w:hAnsi="宋体"/>
          <w:b/>
          <w:sz w:val="30"/>
          <w:szCs w:val="30"/>
        </w:rPr>
        <w:t>2023</w:t>
      </w:r>
      <w:r>
        <w:rPr>
          <w:rFonts w:hint="eastAsia" w:ascii="宋体" w:hAnsi="宋体"/>
          <w:b/>
          <w:color w:val="000000"/>
          <w:sz w:val="30"/>
          <w:szCs w:val="30"/>
        </w:rPr>
        <w:t xml:space="preserve"> 年0</w:t>
      </w:r>
      <w:r>
        <w:rPr>
          <w:rFonts w:hint="eastAsia" w:ascii="宋体" w:hAnsi="宋体"/>
          <w:b/>
          <w:color w:val="000000"/>
          <w:sz w:val="30"/>
          <w:szCs w:val="30"/>
          <w:lang w:val="en-US" w:eastAsia="zh-CN"/>
        </w:rPr>
        <w:t>4</w:t>
      </w:r>
      <w:r>
        <w:rPr>
          <w:rFonts w:hint="eastAsia" w:ascii="宋体" w:hAnsi="宋体"/>
          <w:b/>
          <w:color w:val="000000"/>
          <w:sz w:val="30"/>
          <w:szCs w:val="30"/>
        </w:rPr>
        <w:t>月</w:t>
      </w:r>
    </w:p>
    <w:p>
      <w:pPr>
        <w:rPr>
          <w:rFonts w:ascii="宋体" w:hAnsi="宋体"/>
          <w:b/>
          <w:sz w:val="32"/>
          <w:szCs w:val="32"/>
        </w:rPr>
      </w:pPr>
      <w:r>
        <w:rPr>
          <w:rFonts w:ascii="宋体" w:hAnsi="宋体"/>
          <w:b/>
          <w:sz w:val="32"/>
          <w:szCs w:val="32"/>
        </w:rPr>
        <w:br w:type="page"/>
      </w:r>
    </w:p>
    <w:p>
      <w:pPr>
        <w:spacing w:line="360" w:lineRule="auto"/>
        <w:jc w:val="center"/>
      </w:pPr>
      <w:r>
        <w:rPr>
          <w:rFonts w:ascii="宋体" w:hAnsi="宋体"/>
          <w:b/>
          <w:sz w:val="32"/>
          <w:szCs w:val="32"/>
        </w:rPr>
        <w:t>第一</w:t>
      </w:r>
      <w:r>
        <w:rPr>
          <w:rFonts w:hint="eastAsia" w:ascii="宋体" w:hAnsi="宋体"/>
          <w:b/>
          <w:sz w:val="32"/>
          <w:szCs w:val="32"/>
        </w:rPr>
        <w:t>章</w:t>
      </w:r>
      <w:r>
        <w:rPr>
          <w:rFonts w:hint="eastAsia" w:ascii="宋体" w:hAnsi="宋体"/>
          <w:b/>
          <w:sz w:val="32"/>
          <w:szCs w:val="32"/>
          <w:lang w:val="en-US" w:eastAsia="zh-CN"/>
        </w:rPr>
        <w:t xml:space="preserve"> </w:t>
      </w:r>
      <w:r>
        <w:rPr>
          <w:rFonts w:hint="eastAsia" w:ascii="宋体" w:hAnsi="宋体"/>
          <w:b/>
          <w:sz w:val="32"/>
          <w:szCs w:val="32"/>
        </w:rPr>
        <w:t>竞争性谈判</w:t>
      </w:r>
      <w:r>
        <w:rPr>
          <w:rFonts w:ascii="宋体" w:hAnsi="宋体"/>
          <w:b/>
          <w:sz w:val="32"/>
          <w:szCs w:val="32"/>
        </w:rPr>
        <w:t>公告</w:t>
      </w:r>
    </w:p>
    <w:p>
      <w:pPr>
        <w:spacing w:line="360" w:lineRule="auto"/>
        <w:rPr>
          <w:rFonts w:ascii="宋体" w:hAnsi="宋体" w:cs="宋体"/>
          <w:color w:val="000000"/>
          <w:sz w:val="24"/>
        </w:rPr>
      </w:pPr>
      <w:r>
        <w:rPr>
          <w:rFonts w:hint="eastAsia" w:ascii="宋体" w:hAnsi="宋体" w:cs="宋体"/>
          <w:b/>
          <w:bCs/>
          <w:color w:val="000000"/>
          <w:sz w:val="24"/>
        </w:rPr>
        <w:t>一、项目简介</w:t>
      </w:r>
      <w:r>
        <w:rPr>
          <w:rFonts w:hint="eastAsia" w:ascii="宋体" w:hAnsi="宋体" w:cs="宋体"/>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皖北卫生职业学院坐落在宿州市大学园区，占地约740亩，建筑面积</w:t>
      </w:r>
      <w:r>
        <w:rPr>
          <w:rFonts w:hint="eastAsia" w:ascii="宋体" w:hAnsi="宋体" w:cs="宋体"/>
          <w:color w:val="000000"/>
          <w:sz w:val="24"/>
          <w:lang w:val="en-US" w:eastAsia="zh-CN"/>
        </w:rPr>
        <w:t>目前</w:t>
      </w:r>
      <w:r>
        <w:rPr>
          <w:rFonts w:hint="eastAsia" w:ascii="宋体" w:hAnsi="宋体" w:cs="宋体"/>
          <w:color w:val="000000"/>
          <w:sz w:val="24"/>
        </w:rPr>
        <w:t>约1</w:t>
      </w:r>
      <w:r>
        <w:rPr>
          <w:rFonts w:hint="eastAsia" w:ascii="宋体" w:hAnsi="宋体" w:cs="宋体"/>
          <w:color w:val="000000"/>
          <w:sz w:val="24"/>
          <w:lang w:val="en-US" w:eastAsia="zh-CN"/>
        </w:rPr>
        <w:t>8</w:t>
      </w:r>
      <w:r>
        <w:rPr>
          <w:rFonts w:hint="eastAsia" w:ascii="宋体" w:hAnsi="宋体" w:cs="宋体"/>
          <w:color w:val="000000"/>
          <w:sz w:val="24"/>
        </w:rPr>
        <w:t>万平方米，</w:t>
      </w:r>
      <w:r>
        <w:rPr>
          <w:rFonts w:hint="eastAsia" w:ascii="宋体" w:hAnsi="宋体" w:cs="宋体"/>
          <w:color w:val="000000"/>
          <w:sz w:val="24"/>
          <w:lang w:eastAsia="zh-CN"/>
        </w:rPr>
        <w:t>目前</w:t>
      </w:r>
      <w:r>
        <w:rPr>
          <w:rFonts w:hint="eastAsia" w:ascii="宋体" w:hAnsi="宋体" w:cs="宋体"/>
          <w:color w:val="000000"/>
          <w:sz w:val="24"/>
        </w:rPr>
        <w:t>在校生规模约</w:t>
      </w:r>
      <w:r>
        <w:rPr>
          <w:rFonts w:hint="eastAsia" w:ascii="宋体" w:hAnsi="宋体" w:cs="宋体"/>
          <w:color w:val="000000"/>
          <w:sz w:val="24"/>
          <w:lang w:val="en-US" w:eastAsia="zh-CN"/>
        </w:rPr>
        <w:t>9990</w:t>
      </w:r>
      <w:r>
        <w:rPr>
          <w:rFonts w:hint="eastAsia" w:ascii="宋体" w:hAnsi="宋体" w:cs="宋体"/>
          <w:color w:val="000000"/>
          <w:sz w:val="24"/>
        </w:rPr>
        <w:t>余人，教职工约</w:t>
      </w:r>
      <w:r>
        <w:rPr>
          <w:rFonts w:hint="eastAsia" w:ascii="宋体" w:hAnsi="宋体" w:cs="宋体"/>
          <w:color w:val="000000"/>
          <w:sz w:val="24"/>
          <w:lang w:val="en-US" w:eastAsia="zh-CN"/>
        </w:rPr>
        <w:t>370</w:t>
      </w:r>
      <w:r>
        <w:rPr>
          <w:rFonts w:hint="eastAsia" w:ascii="宋体" w:hAnsi="宋体" w:cs="宋体"/>
          <w:color w:val="000000"/>
          <w:sz w:val="24"/>
        </w:rPr>
        <w:t>人，住校生约6</w:t>
      </w:r>
      <w:r>
        <w:rPr>
          <w:rFonts w:hint="eastAsia" w:ascii="宋体" w:hAnsi="宋体" w:cs="宋体"/>
          <w:color w:val="000000"/>
          <w:sz w:val="24"/>
          <w:lang w:val="en-US" w:eastAsia="zh-CN"/>
        </w:rPr>
        <w:t>5</w:t>
      </w:r>
      <w:r>
        <w:rPr>
          <w:rFonts w:hint="eastAsia" w:ascii="宋体" w:hAnsi="宋体" w:cs="宋体"/>
          <w:color w:val="000000"/>
          <w:sz w:val="24"/>
        </w:rPr>
        <w:t>00余人，化粪池大小合计2</w:t>
      </w:r>
      <w:r>
        <w:rPr>
          <w:rFonts w:hint="eastAsia" w:ascii="宋体" w:hAnsi="宋体" w:cs="宋体"/>
          <w:color w:val="000000"/>
          <w:sz w:val="24"/>
          <w:lang w:val="en-US" w:eastAsia="zh-CN"/>
        </w:rPr>
        <w:t>8</w:t>
      </w:r>
      <w:r>
        <w:rPr>
          <w:rFonts w:hint="eastAsia" w:ascii="宋体" w:hAnsi="宋体" w:cs="宋体"/>
          <w:color w:val="000000"/>
          <w:sz w:val="24"/>
        </w:rPr>
        <w:t>口。</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各投标人务必于2023年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13</w:t>
      </w:r>
      <w:r>
        <w:rPr>
          <w:rFonts w:hint="eastAsia" w:ascii="宋体" w:hAnsi="宋体" w:cs="宋体"/>
          <w:color w:val="000000"/>
          <w:sz w:val="24"/>
        </w:rPr>
        <w:t>日</w:t>
      </w:r>
      <w:r>
        <w:rPr>
          <w:rFonts w:hint="eastAsia" w:ascii="宋体" w:hAnsi="宋体" w:cs="宋体"/>
          <w:color w:val="000000"/>
          <w:sz w:val="24"/>
          <w:lang w:val="en-US" w:eastAsia="zh-CN"/>
        </w:rPr>
        <w:t>09</w:t>
      </w:r>
      <w:r>
        <w:rPr>
          <w:rFonts w:hint="eastAsia" w:ascii="宋体" w:hAnsi="宋体" w:cs="宋体"/>
          <w:color w:val="000000"/>
          <w:sz w:val="24"/>
        </w:rPr>
        <w:t>时前到我校现场勘察，逾期概不接待。</w:t>
      </w:r>
    </w:p>
    <w:p>
      <w:pPr>
        <w:spacing w:line="360" w:lineRule="auto"/>
        <w:rPr>
          <w:rFonts w:ascii="宋体" w:hAnsi="宋体" w:cs="宋体"/>
          <w:color w:val="000000"/>
          <w:sz w:val="24"/>
        </w:rPr>
      </w:pPr>
      <w:r>
        <w:rPr>
          <w:rFonts w:hint="eastAsia" w:ascii="宋体" w:hAnsi="宋体" w:cs="宋体"/>
          <w:b/>
          <w:color w:val="000000"/>
          <w:sz w:val="24"/>
        </w:rPr>
        <w:t>二</w:t>
      </w:r>
      <w:r>
        <w:rPr>
          <w:rFonts w:hint="eastAsia" w:ascii="宋体" w:hAnsi="宋体" w:cs="宋体"/>
          <w:color w:val="000000"/>
          <w:sz w:val="24"/>
        </w:rPr>
        <w:t>、</w:t>
      </w:r>
      <w:r>
        <w:rPr>
          <w:rFonts w:hint="eastAsia" w:ascii="宋体" w:hAnsi="宋体" w:cs="宋体"/>
          <w:b/>
          <w:color w:val="000000"/>
          <w:sz w:val="24"/>
        </w:rPr>
        <w:t>项目名称</w:t>
      </w:r>
      <w:r>
        <w:rPr>
          <w:rFonts w:hint="eastAsia" w:ascii="宋体" w:hAnsi="宋体" w:cs="宋体"/>
          <w:color w:val="000000"/>
          <w:sz w:val="24"/>
        </w:rPr>
        <w:t>：</w:t>
      </w:r>
    </w:p>
    <w:p>
      <w:pPr>
        <w:spacing w:line="360" w:lineRule="auto"/>
        <w:ind w:firstLine="468"/>
        <w:rPr>
          <w:rFonts w:ascii="宋体" w:hAnsi="宋体" w:cs="宋体"/>
          <w:bCs/>
          <w:color w:val="000000"/>
          <w:kern w:val="0"/>
          <w:sz w:val="24"/>
        </w:rPr>
      </w:pPr>
      <w:r>
        <w:rPr>
          <w:rFonts w:hint="eastAsia" w:ascii="宋体" w:hAnsi="宋体" w:cs="宋体"/>
          <w:bCs/>
          <w:color w:val="000000"/>
          <w:kern w:val="0"/>
          <w:sz w:val="24"/>
        </w:rPr>
        <w:t>皖北卫生职业学院</w:t>
      </w:r>
      <w:r>
        <w:rPr>
          <w:rFonts w:hint="eastAsia" w:ascii="宋体" w:hAnsi="宋体" w:cs="宋体"/>
          <w:kern w:val="0"/>
          <w:sz w:val="24"/>
        </w:rPr>
        <w:t>校园生活垃圾</w:t>
      </w:r>
      <w:r>
        <w:rPr>
          <w:rFonts w:ascii="宋体" w:hAnsi="宋体" w:cs="宋体"/>
          <w:color w:val="000000"/>
          <w:sz w:val="24"/>
        </w:rPr>
        <w:t>、化粪池</w:t>
      </w:r>
      <w:r>
        <w:rPr>
          <w:rFonts w:hint="eastAsia" w:ascii="宋体" w:hAnsi="宋体" w:cs="宋体"/>
          <w:kern w:val="0"/>
          <w:sz w:val="24"/>
        </w:rPr>
        <w:t>清运</w:t>
      </w:r>
      <w:r>
        <w:rPr>
          <w:rFonts w:hint="eastAsia" w:ascii="宋体" w:hAnsi="宋体" w:cs="宋体"/>
          <w:bCs/>
          <w:color w:val="000000"/>
          <w:kern w:val="0"/>
          <w:sz w:val="24"/>
        </w:rPr>
        <w:t>服务项目</w:t>
      </w:r>
    </w:p>
    <w:p>
      <w:pPr>
        <w:spacing w:line="360" w:lineRule="auto"/>
        <w:rPr>
          <w:rFonts w:hint="eastAsia" w:ascii="宋体" w:hAnsi="宋体" w:eastAsia="宋体" w:cs="宋体"/>
          <w:b/>
          <w:bCs/>
          <w:color w:val="000000"/>
          <w:sz w:val="24"/>
          <w:lang w:val="en-US" w:eastAsia="zh-CN"/>
        </w:rPr>
      </w:pPr>
      <w:r>
        <w:rPr>
          <w:rFonts w:hint="eastAsia" w:ascii="宋体" w:hAnsi="宋体" w:cs="宋体"/>
          <w:b/>
          <w:bCs/>
          <w:color w:val="000000"/>
          <w:sz w:val="24"/>
          <w:lang w:eastAsia="zh-CN"/>
        </w:rPr>
        <w:t>三</w:t>
      </w:r>
      <w:r>
        <w:rPr>
          <w:rFonts w:hint="eastAsia" w:ascii="宋体" w:hAnsi="宋体" w:cs="宋体"/>
          <w:b/>
          <w:bCs/>
          <w:color w:val="000000"/>
          <w:sz w:val="24"/>
        </w:rPr>
        <w:t>、服务期限：</w:t>
      </w:r>
      <w:r>
        <w:rPr>
          <w:rFonts w:hint="eastAsia" w:ascii="宋体" w:hAnsi="宋体" w:cs="宋体"/>
          <w:b/>
          <w:bCs/>
          <w:color w:val="000000"/>
          <w:sz w:val="24"/>
          <w:lang w:val="en-US" w:eastAsia="zh-CN"/>
        </w:rPr>
        <w:t>2年（1+1）</w:t>
      </w:r>
    </w:p>
    <w:p>
      <w:pPr>
        <w:spacing w:line="360" w:lineRule="auto"/>
        <w:ind w:firstLine="468"/>
        <w:rPr>
          <w:rFonts w:hint="eastAsia" w:ascii="宋体" w:hAnsi="宋体" w:cs="宋体"/>
          <w:bCs/>
          <w:color w:val="000000"/>
          <w:kern w:val="0"/>
          <w:sz w:val="24"/>
        </w:rPr>
      </w:pPr>
      <w:r>
        <w:rPr>
          <w:rFonts w:hint="eastAsia" w:ascii="宋体" w:hAnsi="宋体" w:cs="宋体"/>
          <w:bCs/>
          <w:color w:val="000000"/>
          <w:kern w:val="0"/>
          <w:sz w:val="24"/>
        </w:rPr>
        <w:t>2年，中标后</w:t>
      </w:r>
      <w:r>
        <w:rPr>
          <w:rFonts w:hint="eastAsia" w:ascii="宋体" w:hAnsi="宋体" w:cs="宋体"/>
          <w:bCs/>
          <w:color w:val="000000"/>
          <w:kern w:val="0"/>
          <w:sz w:val="24"/>
          <w:lang w:eastAsia="zh-CN"/>
        </w:rPr>
        <w:t>首</w:t>
      </w:r>
      <w:r>
        <w:rPr>
          <w:rFonts w:hint="eastAsia" w:ascii="宋体" w:hAnsi="宋体" w:cs="宋体"/>
          <w:bCs/>
          <w:color w:val="000000"/>
          <w:kern w:val="0"/>
          <w:sz w:val="24"/>
          <w:lang w:val="en-US" w:eastAsia="zh-CN"/>
        </w:rPr>
        <w:t>次</w:t>
      </w:r>
      <w:r>
        <w:rPr>
          <w:rFonts w:hint="eastAsia" w:ascii="宋体" w:hAnsi="宋体" w:cs="宋体"/>
          <w:bCs/>
          <w:color w:val="000000"/>
          <w:kern w:val="0"/>
          <w:sz w:val="24"/>
        </w:rPr>
        <w:t>签订</w:t>
      </w:r>
      <w:r>
        <w:rPr>
          <w:rFonts w:hint="eastAsia" w:ascii="宋体" w:hAnsi="宋体" w:cs="宋体"/>
          <w:bCs/>
          <w:color w:val="000000"/>
          <w:kern w:val="0"/>
          <w:sz w:val="24"/>
          <w:lang w:val="en-US" w:eastAsia="zh-CN"/>
        </w:rPr>
        <w:t>1</w:t>
      </w:r>
      <w:r>
        <w:rPr>
          <w:rFonts w:hint="eastAsia" w:ascii="宋体" w:hAnsi="宋体" w:cs="宋体"/>
          <w:bCs/>
          <w:color w:val="000000"/>
          <w:kern w:val="0"/>
          <w:sz w:val="24"/>
        </w:rPr>
        <w:t>年服务合同</w:t>
      </w:r>
      <w:r>
        <w:rPr>
          <w:rFonts w:hint="eastAsia" w:ascii="宋体" w:hAnsi="宋体" w:cs="宋体"/>
          <w:bCs/>
          <w:color w:val="000000"/>
          <w:kern w:val="0"/>
          <w:sz w:val="24"/>
          <w:lang w:val="en-US" w:eastAsia="zh-CN"/>
        </w:rPr>
        <w:t>。</w:t>
      </w:r>
      <w:r>
        <w:rPr>
          <w:rFonts w:hint="eastAsia" w:ascii="宋体" w:hAnsi="宋体" w:cs="宋体"/>
          <w:bCs/>
          <w:color w:val="000000"/>
          <w:kern w:val="0"/>
          <w:sz w:val="24"/>
        </w:rPr>
        <w:t>服务期间由学校相关部门进行满意度考核，综合满意度必须达到8</w:t>
      </w:r>
      <w:r>
        <w:rPr>
          <w:rFonts w:hint="eastAsia" w:ascii="宋体" w:hAnsi="宋体" w:cs="宋体"/>
          <w:bCs/>
          <w:color w:val="000000"/>
          <w:kern w:val="0"/>
          <w:sz w:val="24"/>
          <w:lang w:val="en-US" w:eastAsia="zh-CN"/>
        </w:rPr>
        <w:t>0</w:t>
      </w:r>
      <w:r>
        <w:rPr>
          <w:rFonts w:hint="eastAsia" w:ascii="宋体" w:hAnsi="宋体" w:cs="宋体"/>
          <w:bCs/>
          <w:color w:val="000000"/>
          <w:kern w:val="0"/>
          <w:sz w:val="24"/>
        </w:rPr>
        <w:t>%以上（含8</w:t>
      </w:r>
      <w:r>
        <w:rPr>
          <w:rFonts w:hint="eastAsia" w:ascii="宋体" w:hAnsi="宋体" w:cs="宋体"/>
          <w:bCs/>
          <w:color w:val="000000"/>
          <w:kern w:val="0"/>
          <w:sz w:val="24"/>
          <w:lang w:val="en-US" w:eastAsia="zh-CN"/>
        </w:rPr>
        <w:t>0</w:t>
      </w:r>
      <w:r>
        <w:rPr>
          <w:rFonts w:hint="eastAsia" w:ascii="宋体" w:hAnsi="宋体" w:cs="宋体"/>
          <w:bCs/>
          <w:color w:val="000000"/>
          <w:kern w:val="0"/>
          <w:sz w:val="24"/>
        </w:rPr>
        <w:t>%），且无安全事件</w:t>
      </w:r>
      <w:r>
        <w:rPr>
          <w:rFonts w:hint="eastAsia" w:ascii="宋体" w:hAnsi="宋体" w:cs="宋体"/>
          <w:bCs/>
          <w:color w:val="000000"/>
          <w:kern w:val="0"/>
          <w:sz w:val="24"/>
          <w:lang w:eastAsia="zh-CN"/>
        </w:rPr>
        <w:t>后</w:t>
      </w:r>
      <w:r>
        <w:rPr>
          <w:rFonts w:hint="eastAsia" w:ascii="宋体" w:hAnsi="宋体" w:cs="宋体"/>
          <w:bCs/>
          <w:color w:val="000000"/>
          <w:kern w:val="0"/>
          <w:sz w:val="24"/>
          <w:lang w:val="en-US" w:eastAsia="zh-CN"/>
        </w:rPr>
        <w:t>再</w:t>
      </w:r>
      <w:r>
        <w:rPr>
          <w:rFonts w:hint="eastAsia" w:ascii="宋体" w:hAnsi="宋体" w:cs="宋体"/>
          <w:bCs/>
          <w:color w:val="000000"/>
          <w:kern w:val="0"/>
          <w:sz w:val="24"/>
          <w:lang w:eastAsia="zh-CN"/>
        </w:rPr>
        <w:t>续签第二年合同</w:t>
      </w:r>
      <w:r>
        <w:rPr>
          <w:rFonts w:hint="eastAsia" w:ascii="宋体" w:hAnsi="宋体" w:cs="宋体"/>
          <w:bCs/>
          <w:color w:val="000000"/>
          <w:kern w:val="0"/>
          <w:sz w:val="24"/>
        </w:rPr>
        <w:t>。</w:t>
      </w:r>
    </w:p>
    <w:p>
      <w:pPr>
        <w:spacing w:line="360" w:lineRule="auto"/>
        <w:rPr>
          <w:rFonts w:ascii="宋体" w:hAnsi="宋体" w:cs="宋体"/>
          <w:b/>
          <w:color w:val="000000"/>
          <w:sz w:val="24"/>
        </w:rPr>
      </w:pPr>
      <w:r>
        <w:rPr>
          <w:rFonts w:hint="eastAsia" w:ascii="宋体" w:hAnsi="宋体" w:cs="宋体"/>
          <w:b/>
          <w:color w:val="000000"/>
          <w:sz w:val="24"/>
          <w:lang w:eastAsia="zh-CN"/>
        </w:rPr>
        <w:t>四</w:t>
      </w:r>
      <w:r>
        <w:rPr>
          <w:rFonts w:hint="eastAsia" w:ascii="宋体" w:hAnsi="宋体" w:cs="宋体"/>
          <w:b/>
          <w:color w:val="000000"/>
          <w:sz w:val="24"/>
        </w:rPr>
        <w:t>、招标文件获取和报名：</w:t>
      </w:r>
    </w:p>
    <w:p>
      <w:pPr>
        <w:spacing w:line="360" w:lineRule="auto"/>
        <w:ind w:firstLine="480" w:firstLineChars="200"/>
        <w:rPr>
          <w:rFonts w:ascii="宋体" w:hAnsi="宋体" w:cs="宋体"/>
          <w:color w:val="000000"/>
          <w:sz w:val="24"/>
        </w:rPr>
      </w:pPr>
      <w:r>
        <w:rPr>
          <w:rFonts w:hint="eastAsia" w:ascii="宋体" w:hAnsi="宋体" w:cs="宋体"/>
          <w:color w:val="000000"/>
          <w:sz w:val="24"/>
        </w:rPr>
        <w:t>各投标人自行在皖北卫生职业学院网站</w:t>
      </w:r>
      <w:r>
        <w:rPr>
          <w:rFonts w:hint="eastAsia" w:ascii="宋体" w:hAnsi="宋体" w:cs="宋体"/>
          <w:sz w:val="24"/>
        </w:rPr>
        <w:t>（本公告的附件）下载招标文件电子版，不发放纸质招标文件</w:t>
      </w:r>
      <w:r>
        <w:rPr>
          <w:rFonts w:hint="eastAsia" w:ascii="宋体" w:hAnsi="宋体" w:cs="宋体"/>
          <w:color w:val="000000"/>
          <w:sz w:val="24"/>
        </w:rPr>
        <w:t>。</w:t>
      </w:r>
    </w:p>
    <w:p>
      <w:pPr>
        <w:spacing w:line="360" w:lineRule="auto"/>
        <w:ind w:firstLine="480" w:firstLineChars="200"/>
        <w:rPr>
          <w:rFonts w:ascii="宋体" w:hAnsi="宋体" w:cs="宋体"/>
          <w:color w:val="000000"/>
          <w:sz w:val="24"/>
          <w:u w:val="none"/>
        </w:rPr>
      </w:pPr>
      <w:r>
        <w:rPr>
          <w:rFonts w:hint="eastAsia" w:ascii="宋体" w:hAnsi="宋体" w:cs="宋体"/>
          <w:sz w:val="24"/>
        </w:rPr>
        <w:t>本项目实行网上报名。凡有意参加投</w:t>
      </w:r>
      <w:r>
        <w:rPr>
          <w:rFonts w:hint="eastAsia" w:ascii="宋体" w:hAnsi="宋体" w:cs="宋体"/>
          <w:sz w:val="24"/>
          <w:u w:val="none"/>
        </w:rPr>
        <w:t>标的供应商，请</w:t>
      </w:r>
      <w:r>
        <w:rPr>
          <w:rFonts w:hint="eastAsia" w:ascii="宋体" w:hAnsi="宋体" w:cs="宋体"/>
          <w:sz w:val="24"/>
          <w:u w:val="none"/>
          <w:lang w:val="en-US" w:eastAsia="zh-CN"/>
        </w:rPr>
        <w:t>于2023年4月12日下午17:00前</w:t>
      </w:r>
      <w:r>
        <w:rPr>
          <w:rFonts w:hint="eastAsia" w:ascii="宋体" w:hAnsi="宋体" w:cs="宋体"/>
          <w:sz w:val="24"/>
          <w:u w:val="none"/>
        </w:rPr>
        <w:t>通过电子邮箱将营业执照复印件及授权委托书（含有项目名称、委托代理人联系电话、邮箱）扫描件发送至邮箱: 84025352@qq.com （邮箱标题格式为项目名称+公司名称+联系电话）。报名联系人：薄老师，电话：13805573335。</w:t>
      </w:r>
    </w:p>
    <w:p>
      <w:pPr>
        <w:spacing w:line="360" w:lineRule="auto"/>
        <w:rPr>
          <w:rFonts w:ascii="宋体" w:hAnsi="宋体" w:cs="宋体"/>
          <w:b/>
          <w:color w:val="000000"/>
          <w:sz w:val="24"/>
        </w:rPr>
      </w:pPr>
      <w:r>
        <w:rPr>
          <w:rFonts w:hint="eastAsia" w:ascii="宋体" w:hAnsi="宋体" w:cs="宋体"/>
          <w:b/>
          <w:color w:val="000000"/>
          <w:sz w:val="24"/>
          <w:lang w:eastAsia="zh-CN"/>
        </w:rPr>
        <w:t>五</w:t>
      </w:r>
      <w:r>
        <w:rPr>
          <w:rFonts w:hint="eastAsia" w:ascii="宋体" w:hAnsi="宋体" w:cs="宋体"/>
          <w:b/>
          <w:color w:val="000000"/>
          <w:sz w:val="24"/>
        </w:rPr>
        <w:t>、响应文件提交：</w:t>
      </w:r>
    </w:p>
    <w:p>
      <w:pPr>
        <w:spacing w:line="360" w:lineRule="auto"/>
        <w:ind w:firstLine="480" w:firstLineChars="200"/>
        <w:rPr>
          <w:rFonts w:ascii="宋体" w:hAnsi="宋体" w:cs="宋体"/>
          <w:b/>
          <w:bCs/>
          <w:color w:val="FF0000"/>
          <w:sz w:val="24"/>
        </w:rPr>
      </w:pPr>
      <w:r>
        <w:rPr>
          <w:rFonts w:hint="eastAsia" w:ascii="宋体" w:hAnsi="宋体" w:cs="宋体"/>
          <w:bCs/>
          <w:color w:val="000000"/>
          <w:sz w:val="24"/>
        </w:rPr>
        <w:t>截止时间：</w:t>
      </w:r>
      <w:r>
        <w:rPr>
          <w:rFonts w:hint="eastAsia" w:ascii="宋体" w:hAnsi="宋体" w:cs="宋体"/>
          <w:color w:val="000000"/>
          <w:sz w:val="24"/>
        </w:rPr>
        <w:t>2023年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14</w:t>
      </w:r>
      <w:r>
        <w:rPr>
          <w:rFonts w:hint="eastAsia" w:ascii="宋体" w:hAnsi="宋体" w:cs="宋体"/>
          <w:color w:val="000000"/>
          <w:sz w:val="24"/>
        </w:rPr>
        <w:t>日</w:t>
      </w:r>
      <w:r>
        <w:rPr>
          <w:rFonts w:hint="eastAsia" w:ascii="宋体" w:hAnsi="宋体" w:cs="宋体"/>
          <w:color w:val="000000"/>
          <w:sz w:val="24"/>
          <w:lang w:eastAsia="zh-CN"/>
        </w:rPr>
        <w:t>上午</w:t>
      </w:r>
      <w:r>
        <w:rPr>
          <w:rFonts w:hint="eastAsia" w:ascii="宋体" w:hAnsi="宋体" w:cs="宋体"/>
          <w:color w:val="000000"/>
          <w:sz w:val="24"/>
          <w:lang w:val="en-US" w:eastAsia="zh-CN"/>
        </w:rPr>
        <w:t>9:00</w:t>
      </w:r>
      <w:r>
        <w:rPr>
          <w:rFonts w:hint="eastAsia" w:ascii="宋体" w:hAnsi="宋体" w:cs="宋体"/>
          <w:color w:val="000000"/>
          <w:sz w:val="24"/>
        </w:rPr>
        <w:t>（北京时间）。</w:t>
      </w:r>
    </w:p>
    <w:p>
      <w:pPr>
        <w:spacing w:line="360" w:lineRule="auto"/>
        <w:ind w:firstLine="480" w:firstLineChars="200"/>
        <w:rPr>
          <w:rFonts w:ascii="宋体" w:hAnsi="宋体" w:cs="宋体"/>
          <w:b/>
          <w:color w:val="FF0000"/>
          <w:sz w:val="24"/>
        </w:rPr>
      </w:pPr>
      <w:r>
        <w:rPr>
          <w:rFonts w:hint="eastAsia" w:ascii="宋体" w:hAnsi="宋体" w:cs="宋体"/>
          <w:bCs/>
          <w:color w:val="000000"/>
          <w:sz w:val="24"/>
        </w:rPr>
        <w:t>地点：</w:t>
      </w:r>
      <w:r>
        <w:rPr>
          <w:rFonts w:hint="eastAsia" w:ascii="宋体" w:hAnsi="宋体" w:cs="宋体"/>
          <w:color w:val="000000"/>
          <w:sz w:val="24"/>
        </w:rPr>
        <w:t>皖北卫生职业学院图书馆三楼录播室现场提交</w:t>
      </w:r>
    </w:p>
    <w:p>
      <w:pPr>
        <w:spacing w:line="360" w:lineRule="auto"/>
        <w:rPr>
          <w:rFonts w:ascii="宋体" w:hAnsi="宋体" w:cs="宋体"/>
          <w:color w:val="000000"/>
          <w:sz w:val="24"/>
        </w:rPr>
      </w:pPr>
      <w:r>
        <w:rPr>
          <w:rFonts w:hint="eastAsia" w:ascii="宋体" w:hAnsi="宋体" w:cs="宋体"/>
          <w:b/>
          <w:color w:val="000000"/>
          <w:sz w:val="24"/>
          <w:lang w:eastAsia="zh-CN"/>
        </w:rPr>
        <w:t>六</w:t>
      </w:r>
      <w:r>
        <w:rPr>
          <w:rFonts w:hint="eastAsia" w:ascii="宋体" w:hAnsi="宋体" w:cs="宋体"/>
          <w:b/>
          <w:color w:val="000000"/>
          <w:sz w:val="24"/>
        </w:rPr>
        <w:t>、开标时间、地点</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开标时间：2023年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14</w:t>
      </w:r>
      <w:r>
        <w:rPr>
          <w:rFonts w:hint="eastAsia" w:ascii="宋体" w:hAnsi="宋体" w:cs="宋体"/>
          <w:color w:val="000000"/>
          <w:sz w:val="24"/>
        </w:rPr>
        <w:t>日</w:t>
      </w:r>
      <w:r>
        <w:rPr>
          <w:rFonts w:hint="eastAsia" w:ascii="宋体" w:hAnsi="宋体" w:cs="宋体"/>
          <w:color w:val="000000"/>
          <w:sz w:val="24"/>
          <w:lang w:eastAsia="zh-CN"/>
        </w:rPr>
        <w:t>上午</w:t>
      </w:r>
      <w:r>
        <w:rPr>
          <w:rFonts w:hint="eastAsia" w:ascii="宋体" w:hAnsi="宋体" w:cs="宋体"/>
          <w:color w:val="000000"/>
          <w:sz w:val="24"/>
          <w:lang w:val="en-US" w:eastAsia="zh-CN"/>
        </w:rPr>
        <w:t>9:00</w:t>
      </w:r>
      <w:r>
        <w:rPr>
          <w:rFonts w:hint="eastAsia" w:ascii="宋体" w:hAnsi="宋体" w:cs="宋体"/>
          <w:color w:val="000000"/>
          <w:sz w:val="24"/>
        </w:rPr>
        <w:t>（北京时间）。</w:t>
      </w:r>
      <w:bookmarkStart w:id="20" w:name="_GoBack"/>
      <w:bookmarkEnd w:id="20"/>
    </w:p>
    <w:p>
      <w:pPr>
        <w:spacing w:line="360" w:lineRule="auto"/>
        <w:ind w:firstLine="480" w:firstLineChars="200"/>
        <w:rPr>
          <w:rFonts w:ascii="宋体" w:hAnsi="宋体" w:cs="宋体"/>
          <w:b/>
          <w:bCs/>
          <w:color w:val="FF0000"/>
          <w:sz w:val="24"/>
        </w:rPr>
      </w:pPr>
      <w:r>
        <w:rPr>
          <w:rFonts w:hint="eastAsia" w:ascii="宋体" w:hAnsi="宋体" w:cs="宋体"/>
          <w:color w:val="000000"/>
          <w:sz w:val="24"/>
        </w:rPr>
        <w:t>开标地点：皖北卫生职业学院图书馆三楼录播室。</w:t>
      </w:r>
    </w:p>
    <w:p>
      <w:pPr>
        <w:spacing w:line="360" w:lineRule="auto"/>
        <w:rPr>
          <w:rFonts w:ascii="宋体" w:hAnsi="宋体" w:cs="宋体"/>
          <w:b/>
          <w:sz w:val="24"/>
        </w:rPr>
      </w:pPr>
      <w:r>
        <w:rPr>
          <w:rFonts w:hint="eastAsia" w:ascii="宋体" w:hAnsi="宋体" w:cs="宋体"/>
          <w:b/>
          <w:sz w:val="24"/>
          <w:lang w:eastAsia="zh-CN"/>
        </w:rPr>
        <w:t>七</w:t>
      </w:r>
      <w:r>
        <w:rPr>
          <w:rFonts w:hint="eastAsia" w:ascii="宋体" w:hAnsi="宋体" w:cs="宋体"/>
          <w:b/>
          <w:sz w:val="24"/>
        </w:rPr>
        <w:t>、投标单位资质及要求：</w:t>
      </w:r>
    </w:p>
    <w:p>
      <w:pPr>
        <w:spacing w:line="360" w:lineRule="auto"/>
        <w:ind w:firstLine="480" w:firstLineChars="200"/>
        <w:outlineLvl w:val="0"/>
        <w:rPr>
          <w:rFonts w:ascii="宋体" w:hAnsi="宋体" w:cs="宋体"/>
          <w:bCs/>
          <w:sz w:val="24"/>
        </w:rPr>
      </w:pPr>
      <w:r>
        <w:rPr>
          <w:rFonts w:hint="eastAsia" w:ascii="宋体" w:hAnsi="宋体" w:cs="宋体"/>
          <w:bCs/>
          <w:sz w:val="24"/>
        </w:rPr>
        <w:t>1.符合《中华人民共和国政府采购法》第二十二条规定；</w:t>
      </w:r>
    </w:p>
    <w:p>
      <w:pPr>
        <w:spacing w:line="360" w:lineRule="auto"/>
        <w:ind w:firstLine="480" w:firstLineChars="200"/>
        <w:outlineLvl w:val="0"/>
        <w:rPr>
          <w:rFonts w:ascii="宋体" w:hAnsi="宋体" w:cs="宋体"/>
          <w:bCs/>
          <w:sz w:val="24"/>
        </w:rPr>
      </w:pPr>
      <w:r>
        <w:rPr>
          <w:rFonts w:hint="eastAsia" w:ascii="宋体" w:hAnsi="宋体" w:cs="宋体"/>
          <w:bCs/>
          <w:sz w:val="24"/>
        </w:rPr>
        <w:t>2.本项目不接受联合体谈判；</w:t>
      </w:r>
    </w:p>
    <w:p>
      <w:pPr>
        <w:spacing w:line="360" w:lineRule="auto"/>
        <w:ind w:firstLine="480" w:firstLineChars="200"/>
        <w:outlineLvl w:val="0"/>
        <w:rPr>
          <w:rFonts w:ascii="宋体" w:hAnsi="宋体" w:cs="宋体"/>
          <w:bCs/>
          <w:sz w:val="24"/>
        </w:rPr>
      </w:pPr>
      <w:r>
        <w:rPr>
          <w:rFonts w:hint="eastAsia" w:ascii="宋体" w:hAnsi="宋体" w:cs="宋体"/>
          <w:bCs/>
          <w:sz w:val="24"/>
        </w:rPr>
        <w:t>3.供应商存在以下不良信用记录情形之一的，不得推荐为成交候选供应商，不得确定为成交供应商：</w:t>
      </w:r>
    </w:p>
    <w:p>
      <w:pPr>
        <w:spacing w:line="360" w:lineRule="auto"/>
        <w:ind w:firstLine="480" w:firstLineChars="200"/>
        <w:outlineLvl w:val="0"/>
        <w:rPr>
          <w:rFonts w:ascii="宋体" w:hAnsi="宋体" w:cs="宋体"/>
          <w:bCs/>
          <w:sz w:val="24"/>
        </w:rPr>
      </w:pPr>
      <w:r>
        <w:rPr>
          <w:rFonts w:hint="eastAsia" w:ascii="宋体" w:hAnsi="宋体" w:cs="宋体"/>
          <w:bCs/>
          <w:sz w:val="24"/>
        </w:rPr>
        <w:t>（1）供应商被人民法院列入失信被执行人的；</w:t>
      </w:r>
    </w:p>
    <w:p>
      <w:pPr>
        <w:spacing w:line="360" w:lineRule="auto"/>
        <w:ind w:firstLine="480" w:firstLineChars="200"/>
        <w:outlineLvl w:val="0"/>
        <w:rPr>
          <w:rFonts w:ascii="宋体" w:hAnsi="宋体" w:cs="宋体"/>
          <w:bCs/>
          <w:sz w:val="24"/>
        </w:rPr>
      </w:pPr>
      <w:r>
        <w:rPr>
          <w:rFonts w:hint="eastAsia" w:ascii="宋体" w:hAnsi="宋体" w:cs="宋体"/>
          <w:bCs/>
          <w:sz w:val="24"/>
        </w:rPr>
        <w:t>（2）供应商或其法定代表人或拟派项目经理（项目负责人）被人民检察院列入行贿犯罪档案的；</w:t>
      </w:r>
    </w:p>
    <w:p>
      <w:pPr>
        <w:spacing w:line="360" w:lineRule="auto"/>
        <w:ind w:firstLine="480" w:firstLineChars="200"/>
        <w:outlineLvl w:val="0"/>
        <w:rPr>
          <w:rFonts w:ascii="宋体" w:hAnsi="宋体" w:cs="宋体"/>
          <w:bCs/>
          <w:sz w:val="24"/>
        </w:rPr>
      </w:pPr>
      <w:r>
        <w:rPr>
          <w:rFonts w:hint="eastAsia" w:ascii="宋体" w:hAnsi="宋体" w:cs="宋体"/>
          <w:bCs/>
          <w:sz w:val="24"/>
        </w:rPr>
        <w:t>（3）供应商被工商行政管理部门列入企业经营异常名录的；</w:t>
      </w:r>
    </w:p>
    <w:p>
      <w:pPr>
        <w:spacing w:line="360" w:lineRule="auto"/>
        <w:ind w:firstLine="480" w:firstLineChars="200"/>
        <w:outlineLvl w:val="0"/>
        <w:rPr>
          <w:rFonts w:ascii="宋体" w:hAnsi="宋体" w:cs="宋体"/>
          <w:bCs/>
          <w:sz w:val="24"/>
        </w:rPr>
      </w:pPr>
      <w:r>
        <w:rPr>
          <w:rFonts w:hint="eastAsia" w:ascii="宋体" w:hAnsi="宋体" w:cs="宋体"/>
          <w:bCs/>
          <w:sz w:val="24"/>
        </w:rPr>
        <w:t>（4）供应商被税务部门列入重大税收违法案件当事人名单的；</w:t>
      </w:r>
    </w:p>
    <w:p>
      <w:pPr>
        <w:spacing w:line="360" w:lineRule="auto"/>
        <w:ind w:firstLine="480" w:firstLineChars="200"/>
        <w:outlineLvl w:val="0"/>
        <w:rPr>
          <w:rFonts w:ascii="宋体" w:hAnsi="宋体" w:cs="宋体"/>
          <w:bCs/>
          <w:sz w:val="24"/>
        </w:rPr>
      </w:pPr>
      <w:r>
        <w:rPr>
          <w:rFonts w:hint="eastAsia" w:ascii="宋体" w:hAnsi="宋体" w:cs="宋体"/>
          <w:bCs/>
          <w:sz w:val="24"/>
        </w:rPr>
        <w:t>（5）供应商被政府采购监管部门列入政府采购严重违法失信行为记录名单的；</w:t>
      </w:r>
    </w:p>
    <w:p>
      <w:pPr>
        <w:spacing w:line="360" w:lineRule="auto"/>
        <w:outlineLvl w:val="0"/>
        <w:rPr>
          <w:rFonts w:ascii="宋体" w:hAnsi="宋体" w:cs="宋体"/>
          <w:b/>
          <w:sz w:val="24"/>
          <w:shd w:val="clear" w:color="auto" w:fill="FFFFFF"/>
        </w:rPr>
      </w:pPr>
      <w:r>
        <w:rPr>
          <w:rFonts w:hint="eastAsia" w:ascii="宋体" w:hAnsi="宋体" w:cs="宋体"/>
          <w:b/>
          <w:sz w:val="24"/>
          <w:lang w:eastAsia="zh-CN"/>
        </w:rPr>
        <w:t>八</w:t>
      </w:r>
      <w:r>
        <w:rPr>
          <w:rFonts w:hint="eastAsia" w:ascii="宋体" w:hAnsi="宋体" w:cs="宋体"/>
          <w:b/>
          <w:sz w:val="24"/>
        </w:rPr>
        <w:t>、投标保证金：</w:t>
      </w:r>
    </w:p>
    <w:p>
      <w:pPr>
        <w:pStyle w:val="12"/>
        <w:spacing w:beforeAutospacing="0" w:afterAutospacing="0"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本次项目投标保证金为：人民币</w:t>
      </w:r>
      <w:r>
        <w:rPr>
          <w:rFonts w:hint="eastAsia" w:cs="宋体"/>
          <w:bCs/>
          <w:kern w:val="2"/>
          <w:sz w:val="24"/>
          <w:szCs w:val="24"/>
          <w:lang w:val="en-US" w:eastAsia="zh-CN" w:bidi="ar-SA"/>
        </w:rPr>
        <w:t>叁</w:t>
      </w:r>
      <w:r>
        <w:rPr>
          <w:rFonts w:hint="eastAsia" w:ascii="宋体" w:hAnsi="宋体" w:eastAsia="宋体" w:cs="宋体"/>
          <w:bCs/>
          <w:kern w:val="2"/>
          <w:sz w:val="24"/>
          <w:szCs w:val="24"/>
          <w:lang w:val="en-US" w:eastAsia="zh-CN" w:bidi="ar-SA"/>
        </w:rPr>
        <w:t>仟元整（</w:t>
      </w:r>
      <w:r>
        <w:rPr>
          <w:rFonts w:hint="eastAsia" w:cs="宋体"/>
          <w:bCs/>
          <w:kern w:val="2"/>
          <w:sz w:val="24"/>
          <w:szCs w:val="24"/>
          <w:lang w:val="en-US" w:eastAsia="zh-CN" w:bidi="ar-SA"/>
        </w:rPr>
        <w:t>3</w:t>
      </w:r>
      <w:r>
        <w:rPr>
          <w:rFonts w:hint="eastAsia" w:ascii="宋体" w:hAnsi="宋体" w:eastAsia="宋体" w:cs="宋体"/>
          <w:bCs/>
          <w:kern w:val="2"/>
          <w:sz w:val="24"/>
          <w:szCs w:val="24"/>
          <w:lang w:val="en-US" w:eastAsia="zh-CN" w:bidi="ar-SA"/>
        </w:rPr>
        <w:t>000元）。投标人必须按照投标文件规定的提交截止时间前将投标保证金</w:t>
      </w:r>
      <w:r>
        <w:rPr>
          <w:rFonts w:hint="eastAsia" w:cs="宋体"/>
          <w:bCs/>
          <w:kern w:val="2"/>
          <w:sz w:val="24"/>
          <w:szCs w:val="24"/>
          <w:lang w:val="en-US" w:eastAsia="zh-CN" w:bidi="ar-SA"/>
        </w:rPr>
        <w:t>以</w:t>
      </w:r>
      <w:r>
        <w:rPr>
          <w:rFonts w:hint="eastAsia" w:ascii="宋体" w:hAnsi="宋体" w:eastAsia="宋体" w:cs="宋体"/>
          <w:bCs/>
          <w:kern w:val="2"/>
          <w:sz w:val="24"/>
          <w:szCs w:val="24"/>
          <w:lang w:val="en-US" w:eastAsia="zh-CN" w:bidi="ar-SA"/>
        </w:rPr>
        <w:t>现金形式递交给招标人查验</w:t>
      </w:r>
      <w:r>
        <w:rPr>
          <w:rFonts w:hint="eastAsia" w:cs="宋体"/>
          <w:bCs/>
          <w:kern w:val="2"/>
          <w:sz w:val="24"/>
          <w:szCs w:val="24"/>
          <w:lang w:val="en-US" w:eastAsia="zh-CN" w:bidi="ar-SA"/>
        </w:rPr>
        <w:t>。</w:t>
      </w:r>
    </w:p>
    <w:p>
      <w:pPr>
        <w:pStyle w:val="12"/>
        <w:spacing w:beforeAutospacing="0" w:afterAutospacing="0"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投标保证金上必须注明项目名称和投标单位名称。</w:t>
      </w:r>
    </w:p>
    <w:p>
      <w:pPr>
        <w:spacing w:line="360" w:lineRule="auto"/>
        <w:outlineLvl w:val="0"/>
        <w:rPr>
          <w:rFonts w:ascii="宋体" w:hAnsi="宋体" w:cs="宋体"/>
          <w:b/>
          <w:sz w:val="24"/>
        </w:rPr>
      </w:pPr>
      <w:r>
        <w:rPr>
          <w:rFonts w:hint="eastAsia" w:ascii="宋体" w:hAnsi="宋体" w:cs="宋体"/>
          <w:b/>
          <w:sz w:val="24"/>
          <w:lang w:eastAsia="zh-CN"/>
        </w:rPr>
        <w:t>九</w:t>
      </w:r>
      <w:r>
        <w:rPr>
          <w:rFonts w:hint="eastAsia" w:ascii="宋体" w:hAnsi="宋体" w:cs="宋体"/>
          <w:b/>
          <w:sz w:val="24"/>
        </w:rPr>
        <w:t>、</w:t>
      </w:r>
      <w:bookmarkStart w:id="0" w:name="_Toc18397"/>
      <w:bookmarkStart w:id="1" w:name="_Toc26144"/>
      <w:bookmarkStart w:id="2" w:name="_Toc1996"/>
      <w:bookmarkStart w:id="3" w:name="_Toc28359094"/>
      <w:bookmarkStart w:id="4" w:name="_Toc26486"/>
      <w:bookmarkStart w:id="5" w:name="_Toc21115"/>
      <w:bookmarkStart w:id="6" w:name="_Toc35393634"/>
      <w:bookmarkStart w:id="7" w:name="_Toc35393803"/>
      <w:bookmarkStart w:id="8" w:name="_Toc28359017"/>
      <w:r>
        <w:rPr>
          <w:rFonts w:hint="eastAsia" w:ascii="宋体" w:hAnsi="宋体" w:cs="宋体"/>
          <w:b/>
          <w:sz w:val="24"/>
        </w:rPr>
        <w:t>公告期限</w:t>
      </w:r>
      <w:bookmarkEnd w:id="0"/>
      <w:bookmarkEnd w:id="1"/>
      <w:bookmarkEnd w:id="2"/>
      <w:bookmarkEnd w:id="3"/>
      <w:bookmarkEnd w:id="4"/>
      <w:bookmarkEnd w:id="5"/>
      <w:bookmarkEnd w:id="6"/>
      <w:bookmarkEnd w:id="7"/>
      <w:bookmarkEnd w:id="8"/>
    </w:p>
    <w:p>
      <w:pPr>
        <w:spacing w:line="360" w:lineRule="auto"/>
        <w:ind w:firstLine="480" w:firstLineChars="200"/>
        <w:outlineLvl w:val="0"/>
        <w:rPr>
          <w:rFonts w:ascii="宋体" w:hAnsi="宋体" w:cs="宋体"/>
          <w:bCs/>
          <w:sz w:val="24"/>
        </w:rPr>
      </w:pPr>
      <w:r>
        <w:rPr>
          <w:rFonts w:hint="eastAsia" w:ascii="宋体" w:hAnsi="宋体" w:cs="宋体"/>
          <w:bCs/>
          <w:sz w:val="24"/>
        </w:rPr>
        <w:t>自本公告发布之日起</w:t>
      </w:r>
      <w:r>
        <w:rPr>
          <w:rFonts w:hint="eastAsia" w:ascii="宋体" w:hAnsi="宋体" w:cs="宋体"/>
          <w:bCs/>
          <w:sz w:val="24"/>
          <w:lang w:val="en-US" w:eastAsia="zh-CN"/>
        </w:rPr>
        <w:t>3</w:t>
      </w:r>
      <w:r>
        <w:rPr>
          <w:rFonts w:hint="eastAsia" w:ascii="宋体" w:hAnsi="宋体" w:cs="宋体"/>
          <w:bCs/>
          <w:sz w:val="24"/>
        </w:rPr>
        <w:t>个工作日。</w:t>
      </w:r>
    </w:p>
    <w:p>
      <w:pPr>
        <w:spacing w:line="360" w:lineRule="auto"/>
        <w:outlineLvl w:val="0"/>
        <w:rPr>
          <w:rFonts w:ascii="宋体" w:hAnsi="宋体" w:cs="宋体"/>
          <w:b/>
          <w:sz w:val="24"/>
        </w:rPr>
      </w:pPr>
      <w:r>
        <w:rPr>
          <w:rFonts w:hint="eastAsia" w:ascii="宋体" w:hAnsi="宋体" w:cs="宋体"/>
          <w:b/>
          <w:sz w:val="24"/>
          <w:lang w:eastAsia="zh-CN"/>
        </w:rPr>
        <w:t>十</w:t>
      </w:r>
      <w:r>
        <w:rPr>
          <w:rFonts w:hint="eastAsia" w:ascii="宋体" w:hAnsi="宋体" w:cs="宋体"/>
          <w:b/>
          <w:sz w:val="24"/>
        </w:rPr>
        <w:t>、发布的媒介</w:t>
      </w:r>
    </w:p>
    <w:p>
      <w:pPr>
        <w:spacing w:line="360" w:lineRule="auto"/>
        <w:ind w:firstLine="480" w:firstLineChars="200"/>
        <w:outlineLvl w:val="0"/>
        <w:rPr>
          <w:rFonts w:ascii="宋体" w:hAnsi="宋体" w:cs="宋体"/>
          <w:bCs/>
          <w:sz w:val="24"/>
        </w:rPr>
      </w:pPr>
      <w:r>
        <w:rPr>
          <w:rFonts w:hint="eastAsia" w:ascii="宋体" w:hAnsi="宋体" w:cs="宋体"/>
          <w:bCs/>
          <w:sz w:val="24"/>
        </w:rPr>
        <w:t>皖北卫生职业学院（http://www.wbws.edu.cn/）</w:t>
      </w:r>
    </w:p>
    <w:p>
      <w:pPr>
        <w:spacing w:line="360" w:lineRule="auto"/>
        <w:rPr>
          <w:rFonts w:ascii="宋体" w:hAnsi="宋体" w:cs="宋体"/>
          <w:b/>
          <w:bCs/>
          <w:kern w:val="0"/>
          <w:sz w:val="24"/>
        </w:rPr>
      </w:pPr>
      <w:r>
        <w:rPr>
          <w:rFonts w:hint="eastAsia" w:ascii="宋体" w:hAnsi="宋体" w:cs="宋体"/>
          <w:b/>
          <w:bCs/>
          <w:kern w:val="0"/>
          <w:sz w:val="24"/>
        </w:rPr>
        <w:t>十</w:t>
      </w:r>
      <w:r>
        <w:rPr>
          <w:rFonts w:hint="eastAsia" w:ascii="宋体" w:hAnsi="宋体" w:cs="宋体"/>
          <w:b/>
          <w:bCs/>
          <w:kern w:val="0"/>
          <w:sz w:val="24"/>
          <w:lang w:eastAsia="zh-CN"/>
        </w:rPr>
        <w:t>一</w:t>
      </w:r>
      <w:r>
        <w:rPr>
          <w:rFonts w:hint="eastAsia" w:ascii="宋体" w:hAnsi="宋体" w:cs="宋体"/>
          <w:b/>
          <w:bCs/>
          <w:kern w:val="0"/>
          <w:sz w:val="24"/>
        </w:rPr>
        <w:t>、联系方式：</w:t>
      </w:r>
    </w:p>
    <w:p>
      <w:pPr>
        <w:spacing w:line="360" w:lineRule="auto"/>
        <w:ind w:firstLine="480" w:firstLineChars="200"/>
        <w:rPr>
          <w:rFonts w:ascii="宋体" w:hAnsi="宋体" w:cs="宋体"/>
          <w:color w:val="FF0000"/>
          <w:sz w:val="24"/>
        </w:rPr>
      </w:pPr>
      <w:r>
        <w:rPr>
          <w:rFonts w:hint="eastAsia" w:ascii="宋体" w:hAnsi="宋体" w:cs="宋体"/>
          <w:sz w:val="24"/>
        </w:rPr>
        <w:t>招标人：（盖章</w:t>
      </w:r>
      <w:r>
        <w:rPr>
          <w:rFonts w:hint="eastAsia" w:ascii="宋体" w:hAnsi="宋体" w:eastAsia="宋体" w:cs="宋体"/>
          <w:kern w:val="0"/>
          <w:sz w:val="24"/>
        </w:rPr>
        <w:t>）                招标代理机构：（盖章）</w:t>
      </w:r>
    </w:p>
    <w:p>
      <w:pPr>
        <w:widowControl/>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 xml:space="preserve">皖北卫生职业学院               </w:t>
      </w:r>
      <w:r>
        <w:rPr>
          <w:rFonts w:hint="eastAsia" w:ascii="宋体" w:hAnsi="宋体" w:cs="宋体"/>
          <w:sz w:val="24"/>
          <w:lang w:val="en-US" w:eastAsia="zh-CN"/>
        </w:rPr>
        <w:t xml:space="preserve"> 皓顺建设咨询（集团）有限公司</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地址：学府大道1606号</w:t>
      </w:r>
      <w:r>
        <w:rPr>
          <w:rFonts w:hint="eastAsia" w:ascii="宋体" w:hAnsi="宋体" w:cs="宋体"/>
          <w:sz w:val="24"/>
          <w:lang w:val="en-US" w:eastAsia="zh-CN"/>
        </w:rPr>
        <w:t xml:space="preserve">           宿州市环宇国际广场5号楼20楼北侧</w:t>
      </w:r>
    </w:p>
    <w:p>
      <w:pPr>
        <w:spacing w:line="360" w:lineRule="auto"/>
        <w:ind w:firstLine="480" w:firstLineChars="200"/>
        <w:rPr>
          <w:rFonts w:ascii="宋体" w:hAnsi="宋体" w:cs="宋体"/>
          <w:sz w:val="24"/>
        </w:rPr>
      </w:pPr>
      <w:r>
        <w:rPr>
          <w:rFonts w:hint="eastAsia" w:ascii="宋体" w:hAnsi="宋体" w:cs="宋体"/>
          <w:sz w:val="24"/>
        </w:rPr>
        <w:t xml:space="preserve">联系人：杨老师                 </w:t>
      </w:r>
      <w:r>
        <w:rPr>
          <w:rFonts w:hint="eastAsia" w:ascii="宋体" w:hAnsi="宋体" w:cs="宋体"/>
          <w:sz w:val="24"/>
          <w:lang w:val="en-US" w:eastAsia="zh-CN"/>
        </w:rPr>
        <w:t xml:space="preserve"> </w:t>
      </w:r>
      <w:r>
        <w:rPr>
          <w:rFonts w:hint="eastAsia" w:ascii="宋体" w:hAnsi="宋体" w:cs="宋体"/>
          <w:sz w:val="24"/>
        </w:rPr>
        <w:t>联系人：</w:t>
      </w:r>
      <w:r>
        <w:rPr>
          <w:rFonts w:hint="eastAsia" w:ascii="宋体" w:hAnsi="宋体" w:cs="宋体"/>
          <w:sz w:val="24"/>
          <w:lang w:val="en-US" w:eastAsia="zh-CN"/>
        </w:rPr>
        <w:t>李甲</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电话或手机：</w:t>
      </w:r>
      <w:r>
        <w:rPr>
          <w:rFonts w:hint="eastAsia" w:ascii="宋体" w:hAnsi="宋体" w:cs="宋体"/>
          <w:sz w:val="24"/>
          <w:lang w:bidi="he-IL"/>
        </w:rPr>
        <w:t xml:space="preserve">13615572002         </w:t>
      </w:r>
      <w:r>
        <w:rPr>
          <w:rFonts w:hint="eastAsia" w:ascii="宋体" w:hAnsi="宋体" w:cs="宋体"/>
          <w:sz w:val="24"/>
        </w:rPr>
        <w:t>电话或手机：</w:t>
      </w:r>
      <w:r>
        <w:rPr>
          <w:rFonts w:hint="eastAsia" w:ascii="宋体" w:hAnsi="宋体" w:cs="宋体"/>
          <w:sz w:val="24"/>
          <w:lang w:val="en-US" w:eastAsia="zh-CN"/>
        </w:rPr>
        <w:t>18155752424</w:t>
      </w:r>
    </w:p>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pStyle w:val="2"/>
        <w:rPr>
          <w:rFonts w:ascii="宋体" w:hAnsi="宋体"/>
          <w:b/>
          <w:color w:val="000000"/>
          <w:sz w:val="32"/>
          <w:szCs w:val="32"/>
        </w:rPr>
      </w:pPr>
    </w:p>
    <w:p>
      <w:pPr>
        <w:pStyle w:val="5"/>
        <w:rPr>
          <w:rFonts w:ascii="宋体" w:hAnsi="宋体"/>
          <w:b/>
          <w:color w:val="000000"/>
          <w:sz w:val="32"/>
          <w:szCs w:val="32"/>
        </w:rPr>
      </w:pPr>
    </w:p>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6"/>
          <w:szCs w:val="36"/>
        </w:rPr>
      </w:pPr>
      <w:r>
        <w:rPr>
          <w:rFonts w:ascii="宋体" w:hAnsi="宋体"/>
          <w:b/>
          <w:color w:val="000000"/>
          <w:sz w:val="32"/>
          <w:szCs w:val="32"/>
        </w:rPr>
        <w:t>第</w:t>
      </w:r>
      <w:r>
        <w:rPr>
          <w:rFonts w:hint="eastAsia" w:ascii="宋体" w:hAnsi="宋体"/>
          <w:b/>
          <w:color w:val="000000"/>
          <w:sz w:val="32"/>
          <w:szCs w:val="32"/>
        </w:rPr>
        <w:t>二章</w:t>
      </w:r>
      <w:r>
        <w:rPr>
          <w:rFonts w:hint="eastAsia" w:ascii="宋体" w:hAnsi="宋体"/>
          <w:b/>
          <w:color w:val="000000"/>
          <w:sz w:val="32"/>
          <w:szCs w:val="32"/>
          <w:lang w:val="en-US" w:eastAsia="zh-CN"/>
        </w:rPr>
        <w:t xml:space="preserve"> </w:t>
      </w:r>
      <w:r>
        <w:rPr>
          <w:rFonts w:hint="eastAsia" w:ascii="宋体" w:hAnsi="宋体"/>
          <w:b/>
          <w:sz w:val="32"/>
          <w:szCs w:val="32"/>
        </w:rPr>
        <w:t>竞争性谈判</w:t>
      </w:r>
      <w:r>
        <w:rPr>
          <w:rFonts w:hint="eastAsia" w:ascii="宋体" w:hAnsi="宋体"/>
          <w:b/>
          <w:color w:val="000000"/>
          <w:sz w:val="32"/>
          <w:szCs w:val="32"/>
        </w:rPr>
        <w:t>文件</w:t>
      </w:r>
    </w:p>
    <w:p>
      <w:pPr>
        <w:spacing w:line="360" w:lineRule="auto"/>
        <w:rPr>
          <w:b/>
          <w:bCs/>
          <w:sz w:val="24"/>
        </w:rPr>
      </w:pPr>
      <w:r>
        <w:rPr>
          <w:rFonts w:hint="eastAsia"/>
          <w:b/>
          <w:bCs/>
          <w:sz w:val="24"/>
        </w:rPr>
        <w:t>一、项目概况：</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皖北卫生职业学院坐落在宿州市大学园区，占地约740亩，建筑面积</w:t>
      </w:r>
      <w:r>
        <w:rPr>
          <w:rFonts w:hint="eastAsia" w:ascii="宋体" w:hAnsi="宋体" w:cs="宋体"/>
          <w:color w:val="000000"/>
          <w:sz w:val="24"/>
          <w:lang w:val="en-US" w:eastAsia="zh-CN"/>
        </w:rPr>
        <w:t>目前</w:t>
      </w:r>
      <w:r>
        <w:rPr>
          <w:rFonts w:hint="eastAsia" w:ascii="宋体" w:hAnsi="宋体" w:cs="宋体"/>
          <w:color w:val="000000"/>
          <w:sz w:val="24"/>
        </w:rPr>
        <w:t>约1</w:t>
      </w:r>
      <w:r>
        <w:rPr>
          <w:rFonts w:hint="eastAsia" w:ascii="宋体" w:hAnsi="宋体" w:cs="宋体"/>
          <w:color w:val="000000"/>
          <w:sz w:val="24"/>
          <w:lang w:val="en-US" w:eastAsia="zh-CN"/>
        </w:rPr>
        <w:t>8</w:t>
      </w:r>
      <w:r>
        <w:rPr>
          <w:rFonts w:hint="eastAsia" w:ascii="宋体" w:hAnsi="宋体" w:cs="宋体"/>
          <w:color w:val="000000"/>
          <w:sz w:val="24"/>
        </w:rPr>
        <w:t>万平方米，</w:t>
      </w:r>
      <w:r>
        <w:rPr>
          <w:rFonts w:hint="eastAsia" w:ascii="宋体" w:hAnsi="宋体" w:cs="宋体"/>
          <w:color w:val="000000"/>
          <w:sz w:val="24"/>
          <w:lang w:eastAsia="zh-CN"/>
        </w:rPr>
        <w:t>目前</w:t>
      </w:r>
      <w:r>
        <w:rPr>
          <w:rFonts w:hint="eastAsia" w:ascii="宋体" w:hAnsi="宋体" w:cs="宋体"/>
          <w:color w:val="000000"/>
          <w:sz w:val="24"/>
        </w:rPr>
        <w:t>在校生规模约</w:t>
      </w:r>
      <w:r>
        <w:rPr>
          <w:rFonts w:hint="eastAsia" w:ascii="宋体" w:hAnsi="宋体" w:cs="宋体"/>
          <w:color w:val="000000"/>
          <w:sz w:val="24"/>
          <w:lang w:val="en-US" w:eastAsia="zh-CN"/>
        </w:rPr>
        <w:t>9970</w:t>
      </w:r>
      <w:r>
        <w:rPr>
          <w:rFonts w:hint="eastAsia" w:ascii="宋体" w:hAnsi="宋体" w:cs="宋体"/>
          <w:color w:val="000000"/>
          <w:sz w:val="24"/>
        </w:rPr>
        <w:t>余人，教职工约</w:t>
      </w:r>
      <w:r>
        <w:rPr>
          <w:rFonts w:hint="eastAsia" w:ascii="宋体" w:hAnsi="宋体" w:cs="宋体"/>
          <w:color w:val="000000"/>
          <w:sz w:val="24"/>
          <w:lang w:val="en-US" w:eastAsia="zh-CN"/>
        </w:rPr>
        <w:t>370</w:t>
      </w:r>
      <w:r>
        <w:rPr>
          <w:rFonts w:hint="eastAsia" w:ascii="宋体" w:hAnsi="宋体" w:cs="宋体"/>
          <w:color w:val="000000"/>
          <w:sz w:val="24"/>
        </w:rPr>
        <w:t>人，住校生约6</w:t>
      </w:r>
      <w:r>
        <w:rPr>
          <w:rFonts w:hint="eastAsia" w:ascii="宋体" w:hAnsi="宋体" w:cs="宋体"/>
          <w:color w:val="000000"/>
          <w:sz w:val="24"/>
          <w:lang w:val="en-US" w:eastAsia="zh-CN"/>
        </w:rPr>
        <w:t>5</w:t>
      </w:r>
      <w:r>
        <w:rPr>
          <w:rFonts w:hint="eastAsia" w:ascii="宋体" w:hAnsi="宋体" w:cs="宋体"/>
          <w:color w:val="000000"/>
          <w:sz w:val="24"/>
        </w:rPr>
        <w:t>00余人，化粪池大小合计2</w:t>
      </w:r>
      <w:r>
        <w:rPr>
          <w:rFonts w:hint="eastAsia" w:ascii="宋体" w:hAnsi="宋体" w:cs="宋体"/>
          <w:color w:val="000000"/>
          <w:sz w:val="24"/>
          <w:lang w:val="en-US" w:eastAsia="zh-CN"/>
        </w:rPr>
        <w:t>8</w:t>
      </w:r>
      <w:r>
        <w:rPr>
          <w:rFonts w:hint="eastAsia" w:ascii="宋体" w:hAnsi="宋体" w:cs="宋体"/>
          <w:color w:val="000000"/>
          <w:sz w:val="24"/>
        </w:rPr>
        <w:t>口。</w:t>
      </w:r>
    </w:p>
    <w:p>
      <w:pPr>
        <w:spacing w:line="360" w:lineRule="auto"/>
        <w:rPr>
          <w:rFonts w:ascii="宋体" w:hAnsi="宋体" w:cs="宋体"/>
          <w:b/>
          <w:bCs/>
          <w:color w:val="000000"/>
          <w:sz w:val="24"/>
        </w:rPr>
      </w:pPr>
      <w:r>
        <w:rPr>
          <w:rFonts w:hint="eastAsia" w:ascii="宋体" w:hAnsi="宋体" w:cs="宋体"/>
          <w:b/>
          <w:bCs/>
          <w:color w:val="000000"/>
          <w:sz w:val="24"/>
        </w:rPr>
        <w:t>二、项目名称：</w:t>
      </w:r>
    </w:p>
    <w:p>
      <w:pPr>
        <w:spacing w:line="360" w:lineRule="auto"/>
        <w:ind w:firstLine="468"/>
        <w:rPr>
          <w:rFonts w:ascii="宋体" w:hAnsi="宋体" w:cs="宋体"/>
          <w:b/>
          <w:bCs/>
          <w:color w:val="000000"/>
          <w:sz w:val="24"/>
        </w:rPr>
      </w:pPr>
      <w:r>
        <w:rPr>
          <w:rFonts w:hint="eastAsia" w:ascii="宋体" w:hAnsi="宋体" w:cs="宋体"/>
          <w:bCs/>
          <w:color w:val="000000"/>
          <w:kern w:val="0"/>
          <w:sz w:val="24"/>
        </w:rPr>
        <w:t>皖北卫生职业学院</w:t>
      </w:r>
      <w:r>
        <w:rPr>
          <w:rFonts w:hint="eastAsia" w:ascii="宋体" w:hAnsi="宋体" w:cs="宋体"/>
          <w:kern w:val="0"/>
          <w:sz w:val="24"/>
        </w:rPr>
        <w:t>校园生活垃圾</w:t>
      </w:r>
      <w:r>
        <w:rPr>
          <w:rFonts w:ascii="宋体" w:hAnsi="宋体" w:cs="宋体"/>
          <w:color w:val="000000"/>
          <w:sz w:val="24"/>
        </w:rPr>
        <w:t>、化粪池</w:t>
      </w:r>
      <w:r>
        <w:rPr>
          <w:rFonts w:hint="eastAsia" w:ascii="宋体" w:hAnsi="宋体" w:cs="宋体"/>
          <w:kern w:val="0"/>
          <w:sz w:val="24"/>
        </w:rPr>
        <w:t>清运</w:t>
      </w:r>
      <w:r>
        <w:rPr>
          <w:rFonts w:hint="eastAsia" w:ascii="宋体" w:hAnsi="宋体" w:cs="宋体"/>
          <w:bCs/>
          <w:color w:val="000000"/>
          <w:kern w:val="0"/>
          <w:sz w:val="24"/>
        </w:rPr>
        <w:t>服务项目竞争性谈判</w:t>
      </w:r>
    </w:p>
    <w:p>
      <w:pPr>
        <w:spacing w:line="360" w:lineRule="auto"/>
        <w:ind w:firstLine="468"/>
        <w:rPr>
          <w:rFonts w:hint="eastAsia" w:ascii="宋体" w:hAnsi="宋体" w:cs="宋体"/>
          <w:kern w:val="0"/>
          <w:sz w:val="24"/>
        </w:rPr>
      </w:pPr>
      <w:r>
        <w:rPr>
          <w:rFonts w:hint="eastAsia" w:ascii="宋体" w:hAnsi="宋体" w:cs="宋体"/>
          <w:kern w:val="0"/>
          <w:sz w:val="24"/>
        </w:rPr>
        <w:t>预算金额：15000</w:t>
      </w:r>
      <w:r>
        <w:rPr>
          <w:rFonts w:hint="eastAsia" w:ascii="宋体" w:hAnsi="宋体" w:cs="宋体"/>
          <w:kern w:val="0"/>
          <w:sz w:val="24"/>
          <w:lang w:val="en-US" w:eastAsia="zh-CN"/>
        </w:rPr>
        <w:t>0</w:t>
      </w:r>
      <w:r>
        <w:rPr>
          <w:rFonts w:hint="eastAsia" w:ascii="宋体" w:hAnsi="宋体" w:cs="宋体"/>
          <w:kern w:val="0"/>
          <w:sz w:val="24"/>
        </w:rPr>
        <w:t>元/年</w:t>
      </w:r>
    </w:p>
    <w:p>
      <w:pPr>
        <w:spacing w:line="360" w:lineRule="auto"/>
        <w:ind w:firstLine="468"/>
        <w:rPr>
          <w:rFonts w:hint="eastAsia" w:ascii="宋体" w:hAnsi="宋体" w:cs="宋体"/>
          <w:kern w:val="0"/>
          <w:sz w:val="24"/>
        </w:rPr>
      </w:pPr>
      <w:r>
        <w:rPr>
          <w:rFonts w:hint="eastAsia" w:ascii="宋体" w:hAnsi="宋体" w:cs="宋体"/>
          <w:kern w:val="0"/>
          <w:sz w:val="24"/>
        </w:rPr>
        <w:t>最高限价：15000</w:t>
      </w:r>
      <w:r>
        <w:rPr>
          <w:rFonts w:hint="eastAsia" w:ascii="宋体" w:hAnsi="宋体" w:cs="宋体"/>
          <w:kern w:val="0"/>
          <w:sz w:val="24"/>
          <w:lang w:val="en-US" w:eastAsia="zh-CN"/>
        </w:rPr>
        <w:t>0</w:t>
      </w:r>
      <w:r>
        <w:rPr>
          <w:rFonts w:hint="eastAsia" w:ascii="宋体" w:hAnsi="宋体" w:cs="宋体"/>
          <w:kern w:val="0"/>
          <w:sz w:val="24"/>
        </w:rPr>
        <w:t>元/年，高于此报价为无效标。</w:t>
      </w:r>
    </w:p>
    <w:p>
      <w:pPr>
        <w:spacing w:line="360" w:lineRule="auto"/>
        <w:ind w:firstLine="468"/>
        <w:rPr>
          <w:rFonts w:hint="eastAsia" w:ascii="宋体" w:hAnsi="宋体" w:cs="宋体"/>
          <w:kern w:val="0"/>
          <w:sz w:val="24"/>
          <w:lang w:eastAsia="zh-CN"/>
        </w:rPr>
      </w:pPr>
      <w:r>
        <w:rPr>
          <w:rFonts w:hint="eastAsia" w:ascii="宋体" w:hAnsi="宋体" w:cs="宋体"/>
          <w:kern w:val="0"/>
          <w:sz w:val="24"/>
          <w:lang w:eastAsia="zh-CN"/>
        </w:rPr>
        <w:t>报价应包含物业服务人员的工资、福利、依法应缴纳的生育、意外等保险、上下班交通、服装、通信工具、清洁消毒剂、劳保用品、防护用品、税金及完成该项目所需大型垃圾清运车、化粪池清运车等必须工具。</w:t>
      </w:r>
    </w:p>
    <w:p>
      <w:pPr>
        <w:spacing w:line="360" w:lineRule="auto"/>
        <w:rPr>
          <w:rFonts w:ascii="宋体" w:hAnsi="宋体" w:cs="宋体"/>
          <w:b/>
          <w:bCs/>
          <w:color w:val="000000"/>
          <w:sz w:val="24"/>
        </w:rPr>
      </w:pPr>
      <w:r>
        <w:rPr>
          <w:rFonts w:hint="eastAsia" w:ascii="宋体" w:hAnsi="宋体" w:cs="宋体"/>
          <w:b/>
          <w:bCs/>
          <w:color w:val="000000"/>
          <w:sz w:val="24"/>
        </w:rPr>
        <w:t>三、</w:t>
      </w:r>
      <w:r>
        <w:rPr>
          <w:rFonts w:ascii="宋体" w:hAnsi="宋体" w:cs="宋体"/>
          <w:b/>
          <w:bCs/>
          <w:color w:val="000000"/>
          <w:sz w:val="24"/>
        </w:rPr>
        <w:t>服务范围</w:t>
      </w:r>
      <w:r>
        <w:rPr>
          <w:rFonts w:hint="eastAsia" w:ascii="宋体" w:hAnsi="宋体" w:cs="宋体"/>
          <w:b/>
          <w:bCs/>
          <w:color w:val="000000"/>
          <w:sz w:val="24"/>
        </w:rPr>
        <w:t>：</w:t>
      </w:r>
    </w:p>
    <w:p>
      <w:pPr>
        <w:spacing w:line="360" w:lineRule="auto"/>
        <w:ind w:firstLine="468"/>
        <w:rPr>
          <w:rFonts w:hint="eastAsia" w:ascii="宋体" w:hAnsi="宋体" w:cs="宋体"/>
          <w:bCs/>
          <w:color w:val="000000"/>
          <w:kern w:val="0"/>
          <w:sz w:val="24"/>
        </w:rPr>
      </w:pPr>
      <w:r>
        <w:rPr>
          <w:rFonts w:hint="eastAsia" w:ascii="宋体" w:hAnsi="宋体" w:cs="宋体"/>
          <w:bCs/>
          <w:color w:val="000000"/>
          <w:kern w:val="0"/>
          <w:sz w:val="24"/>
        </w:rPr>
        <w:t>校园垃圾、化粪池清运服务范围为学生公寓、教学区、办公区、</w:t>
      </w:r>
      <w:r>
        <w:rPr>
          <w:rFonts w:hint="eastAsia" w:ascii="宋体" w:hAnsi="宋体" w:cs="宋体"/>
          <w:bCs/>
          <w:color w:val="000000"/>
          <w:kern w:val="0"/>
          <w:sz w:val="24"/>
          <w:lang w:val="en-US" w:eastAsia="zh-CN"/>
        </w:rPr>
        <w:t>周转房、</w:t>
      </w:r>
      <w:r>
        <w:rPr>
          <w:rFonts w:hint="eastAsia" w:ascii="宋体" w:hAnsi="宋体" w:cs="宋体"/>
          <w:bCs/>
          <w:color w:val="000000"/>
          <w:kern w:val="0"/>
          <w:sz w:val="24"/>
        </w:rPr>
        <w:t>专家楼等产生的生活垃圾及各区域合计大小化粪池2</w:t>
      </w:r>
      <w:r>
        <w:rPr>
          <w:rFonts w:hint="eastAsia" w:ascii="宋体" w:hAnsi="宋体" w:cs="宋体"/>
          <w:bCs/>
          <w:color w:val="000000"/>
          <w:kern w:val="0"/>
          <w:sz w:val="24"/>
          <w:lang w:val="en-US" w:eastAsia="zh-CN"/>
        </w:rPr>
        <w:t>8</w:t>
      </w:r>
      <w:r>
        <w:rPr>
          <w:rFonts w:hint="eastAsia" w:ascii="宋体" w:hAnsi="宋体" w:cs="宋体"/>
          <w:bCs/>
          <w:color w:val="000000"/>
          <w:kern w:val="0"/>
          <w:sz w:val="24"/>
        </w:rPr>
        <w:t>口的清运。</w:t>
      </w:r>
    </w:p>
    <w:p>
      <w:pPr>
        <w:spacing w:line="360" w:lineRule="auto"/>
        <w:rPr>
          <w:rFonts w:hint="eastAsia" w:ascii="宋体" w:hAnsi="宋体" w:eastAsia="宋体" w:cs="宋体"/>
          <w:b/>
          <w:bCs/>
          <w:color w:val="000000"/>
          <w:sz w:val="24"/>
          <w:lang w:val="en-US" w:eastAsia="zh-CN"/>
        </w:rPr>
      </w:pPr>
      <w:r>
        <w:rPr>
          <w:rFonts w:hint="eastAsia" w:ascii="宋体" w:hAnsi="宋体" w:cs="宋体"/>
          <w:b/>
          <w:bCs/>
          <w:color w:val="000000"/>
          <w:sz w:val="24"/>
        </w:rPr>
        <w:t>四、服务期限：</w:t>
      </w:r>
      <w:r>
        <w:rPr>
          <w:rFonts w:hint="eastAsia" w:ascii="宋体" w:hAnsi="宋体" w:cs="宋体"/>
          <w:b/>
          <w:bCs/>
          <w:color w:val="000000"/>
          <w:sz w:val="24"/>
          <w:lang w:val="en-US" w:eastAsia="zh-CN"/>
        </w:rPr>
        <w:t>2年（1+1）</w:t>
      </w:r>
    </w:p>
    <w:p>
      <w:pPr>
        <w:spacing w:line="360" w:lineRule="auto"/>
        <w:ind w:firstLine="468"/>
        <w:rPr>
          <w:rFonts w:hint="eastAsia" w:ascii="宋体" w:hAnsi="宋体" w:cs="宋体"/>
          <w:bCs/>
          <w:color w:val="000000"/>
          <w:kern w:val="0"/>
          <w:sz w:val="24"/>
        </w:rPr>
      </w:pPr>
      <w:r>
        <w:rPr>
          <w:rFonts w:hint="eastAsia" w:ascii="宋体" w:hAnsi="宋体" w:cs="宋体"/>
          <w:bCs/>
          <w:color w:val="000000"/>
          <w:kern w:val="0"/>
          <w:sz w:val="24"/>
        </w:rPr>
        <w:t>2年，中标后</w:t>
      </w:r>
      <w:r>
        <w:rPr>
          <w:rFonts w:hint="eastAsia" w:ascii="宋体" w:hAnsi="宋体" w:cs="宋体"/>
          <w:bCs/>
          <w:color w:val="000000"/>
          <w:kern w:val="0"/>
          <w:sz w:val="24"/>
          <w:lang w:eastAsia="zh-CN"/>
        </w:rPr>
        <w:t>首</w:t>
      </w:r>
      <w:r>
        <w:rPr>
          <w:rFonts w:hint="eastAsia" w:ascii="宋体" w:hAnsi="宋体" w:cs="宋体"/>
          <w:bCs/>
          <w:color w:val="000000"/>
          <w:kern w:val="0"/>
          <w:sz w:val="24"/>
        </w:rPr>
        <w:t>签订</w:t>
      </w:r>
      <w:r>
        <w:rPr>
          <w:rFonts w:hint="eastAsia" w:ascii="宋体" w:hAnsi="宋体" w:cs="宋体"/>
          <w:bCs/>
          <w:color w:val="000000"/>
          <w:kern w:val="0"/>
          <w:sz w:val="24"/>
          <w:lang w:val="en-US" w:eastAsia="zh-CN"/>
        </w:rPr>
        <w:t>1</w:t>
      </w:r>
      <w:r>
        <w:rPr>
          <w:rFonts w:hint="eastAsia" w:ascii="宋体" w:hAnsi="宋体" w:cs="宋体"/>
          <w:bCs/>
          <w:color w:val="000000"/>
          <w:kern w:val="0"/>
          <w:sz w:val="24"/>
        </w:rPr>
        <w:t>年服务合同</w:t>
      </w:r>
      <w:r>
        <w:rPr>
          <w:rFonts w:hint="eastAsia" w:ascii="宋体" w:hAnsi="宋体" w:cs="宋体"/>
          <w:bCs/>
          <w:color w:val="000000"/>
          <w:kern w:val="0"/>
          <w:sz w:val="24"/>
          <w:lang w:val="en-US" w:eastAsia="zh-CN"/>
        </w:rPr>
        <w:t>。</w:t>
      </w:r>
      <w:r>
        <w:rPr>
          <w:rFonts w:hint="eastAsia" w:ascii="宋体" w:hAnsi="宋体" w:cs="宋体"/>
          <w:bCs/>
          <w:color w:val="000000"/>
          <w:kern w:val="0"/>
          <w:sz w:val="24"/>
        </w:rPr>
        <w:t>服务期间由学校相关部门进行满意度考核，综合满意度必须达到8</w:t>
      </w:r>
      <w:r>
        <w:rPr>
          <w:rFonts w:hint="eastAsia" w:ascii="宋体" w:hAnsi="宋体" w:cs="宋体"/>
          <w:bCs/>
          <w:color w:val="000000"/>
          <w:kern w:val="0"/>
          <w:sz w:val="24"/>
          <w:lang w:val="en-US" w:eastAsia="zh-CN"/>
        </w:rPr>
        <w:t>0</w:t>
      </w:r>
      <w:r>
        <w:rPr>
          <w:rFonts w:hint="eastAsia" w:ascii="宋体" w:hAnsi="宋体" w:cs="宋体"/>
          <w:bCs/>
          <w:color w:val="000000"/>
          <w:kern w:val="0"/>
          <w:sz w:val="24"/>
        </w:rPr>
        <w:t>%以上（含8</w:t>
      </w:r>
      <w:r>
        <w:rPr>
          <w:rFonts w:hint="eastAsia" w:ascii="宋体" w:hAnsi="宋体" w:cs="宋体"/>
          <w:bCs/>
          <w:color w:val="000000"/>
          <w:kern w:val="0"/>
          <w:sz w:val="24"/>
          <w:lang w:val="en-US" w:eastAsia="zh-CN"/>
        </w:rPr>
        <w:t>0</w:t>
      </w:r>
      <w:r>
        <w:rPr>
          <w:rFonts w:hint="eastAsia" w:ascii="宋体" w:hAnsi="宋体" w:cs="宋体"/>
          <w:bCs/>
          <w:color w:val="000000"/>
          <w:kern w:val="0"/>
          <w:sz w:val="24"/>
        </w:rPr>
        <w:t>%），且无安全事件</w:t>
      </w:r>
      <w:r>
        <w:rPr>
          <w:rFonts w:hint="eastAsia" w:ascii="宋体" w:hAnsi="宋体" w:cs="宋体"/>
          <w:bCs/>
          <w:color w:val="000000"/>
          <w:kern w:val="0"/>
          <w:sz w:val="24"/>
          <w:lang w:eastAsia="zh-CN"/>
        </w:rPr>
        <w:t>后再续签第二年合同</w:t>
      </w:r>
      <w:r>
        <w:rPr>
          <w:rFonts w:hint="eastAsia" w:ascii="宋体" w:hAnsi="宋体" w:cs="宋体"/>
          <w:bCs/>
          <w:color w:val="000000"/>
          <w:kern w:val="0"/>
          <w:sz w:val="24"/>
        </w:rPr>
        <w:t>。</w:t>
      </w:r>
    </w:p>
    <w:p>
      <w:pPr>
        <w:spacing w:line="360" w:lineRule="auto"/>
        <w:rPr>
          <w:rFonts w:ascii="宋体" w:hAnsi="宋体" w:cs="宋体"/>
          <w:b/>
          <w:color w:val="000000"/>
          <w:sz w:val="24"/>
          <w:shd w:val="clear" w:color="auto" w:fill="FFFFFF"/>
        </w:rPr>
      </w:pPr>
      <w:r>
        <w:rPr>
          <w:rFonts w:hint="eastAsia" w:ascii="宋体" w:hAnsi="宋体" w:cs="宋体"/>
          <w:b/>
          <w:color w:val="000000"/>
          <w:sz w:val="24"/>
        </w:rPr>
        <w:t>五、投标保证金：</w:t>
      </w:r>
    </w:p>
    <w:p>
      <w:pPr>
        <w:pStyle w:val="12"/>
        <w:spacing w:beforeAutospacing="0" w:afterAutospacing="0" w:line="360" w:lineRule="auto"/>
        <w:ind w:firstLine="480" w:firstLineChars="200"/>
        <w:rPr>
          <w:rFonts w:hint="eastAsia" w:ascii="宋体" w:hAnsi="宋体" w:eastAsia="宋体" w:cs="宋体"/>
          <w:kern w:val="0"/>
          <w:sz w:val="24"/>
          <w:szCs w:val="24"/>
          <w:lang w:val="en-US" w:eastAsia="zh-CN" w:bidi="ar-SA"/>
        </w:rPr>
      </w:pPr>
      <w:r>
        <w:rPr>
          <w:rFonts w:hint="eastAsia"/>
        </w:rPr>
        <w:t>1.本次项目投标保证金为：人民币</w:t>
      </w:r>
      <w:r>
        <w:rPr>
          <w:rFonts w:hint="eastAsia"/>
          <w:lang w:eastAsia="zh-CN"/>
        </w:rPr>
        <w:t>叁</w:t>
      </w:r>
      <w:r>
        <w:rPr>
          <w:rFonts w:hint="eastAsia"/>
        </w:rPr>
        <w:t>仟元整（</w:t>
      </w:r>
      <w:r>
        <w:rPr>
          <w:rFonts w:hint="eastAsia"/>
          <w:lang w:val="en-US" w:eastAsia="zh-CN"/>
        </w:rPr>
        <w:t>3</w:t>
      </w:r>
      <w:r>
        <w:rPr>
          <w:rFonts w:hint="eastAsia"/>
        </w:rPr>
        <w:t>000元）。投标人必须按照投标文件规定的提交截止时间前将投</w:t>
      </w:r>
      <w:r>
        <w:rPr>
          <w:rFonts w:hint="eastAsia" w:ascii="宋体" w:hAnsi="宋体" w:eastAsia="宋体" w:cs="宋体"/>
        </w:rPr>
        <w:t>标保</w:t>
      </w:r>
      <w:r>
        <w:rPr>
          <w:rFonts w:hint="eastAsia" w:ascii="宋体" w:hAnsi="宋体" w:eastAsia="宋体" w:cs="宋体"/>
          <w:kern w:val="0"/>
          <w:sz w:val="24"/>
          <w:szCs w:val="24"/>
          <w:lang w:val="en-US" w:eastAsia="zh-CN" w:bidi="ar-SA"/>
        </w:rPr>
        <w:t>证金以现金形式递交给招标人查验；投标保证金上必须注明项目名称和投标单位名称。招标结束后，中标单位投标保证金扣除履约保证金后无息退还，未中标单位投标保证金招标后一周内无息退还。</w:t>
      </w:r>
    </w:p>
    <w:p>
      <w:pPr>
        <w:pStyle w:val="12"/>
        <w:spacing w:beforeAutospacing="0" w:afterAutospacing="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2.中标人一旦中标需按照服务合同缴纳最低不低于1.5万元（具体金额以合同为准）。</w:t>
      </w:r>
    </w:p>
    <w:p>
      <w:pPr>
        <w:pStyle w:val="12"/>
        <w:spacing w:beforeAutospacing="0" w:afterAutospacing="0" w:line="360" w:lineRule="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的履约保证金.</w:t>
      </w:r>
    </w:p>
    <w:p>
      <w:pPr>
        <w:pStyle w:val="12"/>
        <w:spacing w:beforeAutospacing="0" w:afterAutospacing="0" w:line="360" w:lineRule="auto"/>
        <w:ind w:firstLine="480" w:firstLineChars="200"/>
        <w:rPr>
          <w:rFonts w:hint="eastAsia"/>
        </w:rPr>
      </w:pPr>
      <w:r>
        <w:rPr>
          <w:rFonts w:hint="eastAsia" w:ascii="宋体" w:hAnsi="宋体" w:eastAsia="宋体" w:cs="宋体"/>
          <w:lang w:val="en-US" w:eastAsia="zh-CN"/>
        </w:rPr>
        <w:t>3</w:t>
      </w:r>
      <w:r>
        <w:rPr>
          <w:rFonts w:hint="eastAsia" w:ascii="宋体" w:hAnsi="宋体" w:eastAsia="宋体" w:cs="宋体"/>
        </w:rPr>
        <w:t>.投标人在中标后要求撤销投标的，招标人</w:t>
      </w:r>
      <w:r>
        <w:rPr>
          <w:rFonts w:hint="eastAsia"/>
        </w:rPr>
        <w:t>有权收取其全额保证金作为违约金。</w:t>
      </w:r>
    </w:p>
    <w:p>
      <w:pPr>
        <w:pStyle w:val="12"/>
        <w:spacing w:beforeAutospacing="0" w:afterAutospacing="0" w:line="360" w:lineRule="auto"/>
        <w:ind w:firstLine="480" w:firstLineChars="200"/>
        <w:rPr>
          <w:rFonts w:hint="eastAsia"/>
          <w:lang w:val="en-US" w:eastAsia="zh-CN"/>
        </w:rPr>
      </w:pPr>
      <w:r>
        <w:rPr>
          <w:rFonts w:hint="eastAsia"/>
          <w:lang w:val="en-US" w:eastAsia="zh-CN"/>
        </w:rPr>
        <w:t>4.开标后除第一名中标候选人的保证金外，其它投标单位在开标结束后无息原额退还。</w:t>
      </w:r>
    </w:p>
    <w:p>
      <w:pPr>
        <w:pStyle w:val="12"/>
        <w:spacing w:beforeAutospacing="0" w:afterAutospacing="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5.中标人投标保证金直接转为合同履约保证金。</w:t>
      </w:r>
    </w:p>
    <w:p>
      <w:pPr>
        <w:pStyle w:val="12"/>
        <w:spacing w:beforeAutospacing="0" w:afterAutospacing="0" w:line="360" w:lineRule="auto"/>
        <w:ind w:firstLine="480" w:firstLineChars="200"/>
        <w:rPr>
          <w:rFonts w:hint="eastAsia"/>
          <w:lang w:val="en-US" w:eastAsia="zh-CN"/>
        </w:rPr>
      </w:pPr>
      <w:r>
        <w:rPr>
          <w:rFonts w:hint="eastAsia"/>
          <w:lang w:val="en-US" w:eastAsia="zh-CN"/>
        </w:rPr>
        <w:t>6.中标人无正当理由拒绝签订合同的，招标人有权取消其中标资格，并有权收取全额保证金作为违约金。</w:t>
      </w:r>
    </w:p>
    <w:p>
      <w:pPr>
        <w:pStyle w:val="12"/>
        <w:spacing w:beforeAutospacing="0" w:afterAutospacing="0" w:line="360" w:lineRule="auto"/>
        <w:ind w:firstLine="480" w:firstLineChars="200"/>
        <w:rPr>
          <w:rFonts w:hint="eastAsia"/>
          <w:lang w:val="en-US" w:eastAsia="zh-CN"/>
        </w:rPr>
      </w:pPr>
      <w:r>
        <w:rPr>
          <w:rFonts w:hint="eastAsia"/>
          <w:lang w:val="en-US" w:eastAsia="zh-CN"/>
        </w:rPr>
        <w:t>7.中标人提供虚假材料谋取中标的，招标人有权取消其中标资格，并有权收取其全额保证金作为违约金。</w:t>
      </w:r>
    </w:p>
    <w:p>
      <w:pPr>
        <w:widowControl/>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8</w:t>
      </w:r>
      <w:r>
        <w:rPr>
          <w:rFonts w:hint="eastAsia" w:ascii="宋体" w:hAnsi="宋体" w:eastAsia="宋体" w:cs="宋体"/>
          <w:kern w:val="0"/>
          <w:sz w:val="24"/>
          <w:szCs w:val="24"/>
          <w:lang w:val="en-US" w:eastAsia="zh-CN" w:bidi="ar-SA"/>
        </w:rPr>
        <w:t>.中标单位如不按学校规定时间签订合同并缴纳履约保证金，将视同放弃中标资格，学校将以评标结果排序第二中标候选人为中标候选人，并履行相关手续。</w:t>
      </w:r>
    </w:p>
    <w:p>
      <w:pPr>
        <w:spacing w:line="360" w:lineRule="auto"/>
        <w:rPr>
          <w:rFonts w:ascii="宋体" w:hAnsi="宋体" w:cs="宋体"/>
          <w:b/>
          <w:sz w:val="24"/>
        </w:rPr>
      </w:pPr>
      <w:r>
        <w:rPr>
          <w:rFonts w:hint="eastAsia" w:ascii="宋体" w:hAnsi="宋体" w:cs="宋体"/>
          <w:b/>
          <w:sz w:val="24"/>
        </w:rPr>
        <w:t>六、投标单位资质及要求：</w:t>
      </w:r>
    </w:p>
    <w:p>
      <w:pPr>
        <w:widowControl/>
        <w:spacing w:line="360" w:lineRule="auto"/>
        <w:ind w:firstLine="480" w:firstLineChars="200"/>
        <w:jc w:val="left"/>
        <w:rPr>
          <w:rFonts w:hint="eastAsia" w:ascii="宋体" w:hAnsi="宋体" w:eastAsia="宋体" w:cs="宋体"/>
          <w:b w:val="0"/>
          <w:bCs/>
          <w:color w:val="auto"/>
          <w:kern w:val="0"/>
          <w:sz w:val="24"/>
          <w:szCs w:val="24"/>
          <w:u w:val="none"/>
          <w:shd w:val="clear" w:color="auto" w:fill="FFFFFF"/>
          <w:lang w:val="en-US" w:eastAsia="zh-CN" w:bidi="ar-SA"/>
        </w:rPr>
      </w:pPr>
      <w:r>
        <w:rPr>
          <w:rFonts w:hint="eastAsia" w:ascii="宋体" w:hAnsi="宋体" w:eastAsia="宋体" w:cs="宋体"/>
          <w:b w:val="0"/>
          <w:bCs/>
          <w:color w:val="auto"/>
          <w:kern w:val="0"/>
          <w:sz w:val="24"/>
          <w:szCs w:val="24"/>
          <w:u w:val="none"/>
          <w:shd w:val="clear" w:color="auto" w:fill="FFFFFF"/>
          <w:lang w:val="en-US" w:eastAsia="zh-CN" w:bidi="ar-SA"/>
        </w:rPr>
        <w:t>1.符合《中华人民共和国政府采购法》第二十二条规定；</w:t>
      </w:r>
    </w:p>
    <w:p>
      <w:pPr>
        <w:widowControl/>
        <w:spacing w:line="360" w:lineRule="auto"/>
        <w:ind w:firstLine="480" w:firstLineChars="200"/>
        <w:jc w:val="left"/>
        <w:rPr>
          <w:rFonts w:hint="eastAsia" w:ascii="宋体" w:hAnsi="宋体" w:eastAsia="宋体" w:cs="宋体"/>
          <w:b w:val="0"/>
          <w:bCs/>
          <w:color w:val="auto"/>
          <w:kern w:val="0"/>
          <w:sz w:val="24"/>
          <w:szCs w:val="24"/>
          <w:u w:val="none"/>
          <w:shd w:val="clear" w:color="auto" w:fill="FFFFFF"/>
          <w:lang w:val="en-US" w:eastAsia="zh-CN" w:bidi="ar-SA"/>
        </w:rPr>
      </w:pPr>
      <w:r>
        <w:rPr>
          <w:rFonts w:hint="eastAsia" w:ascii="宋体" w:hAnsi="宋体" w:eastAsia="宋体" w:cs="宋体"/>
          <w:b w:val="0"/>
          <w:bCs/>
          <w:color w:val="auto"/>
          <w:kern w:val="0"/>
          <w:sz w:val="24"/>
          <w:szCs w:val="24"/>
          <w:u w:val="none"/>
          <w:shd w:val="clear" w:color="auto" w:fill="FFFFFF"/>
          <w:lang w:val="en-US" w:eastAsia="zh-CN" w:bidi="ar-SA"/>
        </w:rPr>
        <w:t>2.本项目不接受联合体谈判；</w:t>
      </w:r>
    </w:p>
    <w:p>
      <w:pPr>
        <w:widowControl/>
        <w:spacing w:line="360" w:lineRule="auto"/>
        <w:ind w:firstLine="480" w:firstLineChars="200"/>
        <w:jc w:val="left"/>
        <w:rPr>
          <w:rFonts w:hint="eastAsia" w:ascii="宋体" w:hAnsi="宋体" w:eastAsia="宋体" w:cs="宋体"/>
          <w:b w:val="0"/>
          <w:bCs/>
          <w:color w:val="auto"/>
          <w:kern w:val="0"/>
          <w:sz w:val="24"/>
          <w:szCs w:val="24"/>
          <w:u w:val="none"/>
          <w:shd w:val="clear" w:color="auto" w:fill="FFFFFF"/>
          <w:lang w:val="en-US" w:eastAsia="zh-CN" w:bidi="ar-SA"/>
        </w:rPr>
      </w:pPr>
      <w:r>
        <w:rPr>
          <w:rFonts w:hint="eastAsia" w:ascii="宋体" w:hAnsi="宋体" w:eastAsia="宋体" w:cs="宋体"/>
          <w:b w:val="0"/>
          <w:bCs/>
          <w:color w:val="auto"/>
          <w:kern w:val="0"/>
          <w:sz w:val="24"/>
          <w:szCs w:val="24"/>
          <w:u w:val="none"/>
          <w:shd w:val="clear" w:color="auto" w:fill="FFFFFF"/>
          <w:lang w:val="en-US" w:eastAsia="zh-CN" w:bidi="ar-SA"/>
        </w:rPr>
        <w:t>3.供应商存在以下不良信用记录情形之一的，不得推荐为成交候选供应商，不得确定为成交供应商：</w:t>
      </w:r>
    </w:p>
    <w:p>
      <w:pPr>
        <w:widowControl/>
        <w:spacing w:line="360" w:lineRule="auto"/>
        <w:ind w:firstLine="480" w:firstLineChars="200"/>
        <w:jc w:val="left"/>
        <w:rPr>
          <w:rFonts w:hint="eastAsia" w:ascii="宋体" w:hAnsi="宋体" w:eastAsia="宋体" w:cs="宋体"/>
          <w:b w:val="0"/>
          <w:bCs/>
          <w:color w:val="auto"/>
          <w:kern w:val="0"/>
          <w:sz w:val="24"/>
          <w:szCs w:val="24"/>
          <w:u w:val="none"/>
          <w:shd w:val="clear" w:color="auto" w:fill="FFFFFF"/>
          <w:lang w:val="en-US" w:eastAsia="zh-CN" w:bidi="ar-SA"/>
        </w:rPr>
      </w:pPr>
      <w:r>
        <w:rPr>
          <w:rFonts w:hint="eastAsia" w:ascii="宋体" w:hAnsi="宋体" w:eastAsia="宋体" w:cs="宋体"/>
          <w:b w:val="0"/>
          <w:bCs/>
          <w:color w:val="auto"/>
          <w:kern w:val="0"/>
          <w:sz w:val="24"/>
          <w:szCs w:val="24"/>
          <w:u w:val="none"/>
          <w:shd w:val="clear" w:color="auto" w:fill="FFFFFF"/>
          <w:lang w:val="en-US" w:eastAsia="zh-CN" w:bidi="ar-SA"/>
        </w:rPr>
        <w:t>（1）供应商被人民法院列入失信被执行人的；</w:t>
      </w:r>
    </w:p>
    <w:p>
      <w:pPr>
        <w:widowControl/>
        <w:spacing w:line="360" w:lineRule="auto"/>
        <w:ind w:firstLine="480" w:firstLineChars="200"/>
        <w:jc w:val="left"/>
        <w:rPr>
          <w:rFonts w:hint="eastAsia" w:ascii="宋体" w:hAnsi="宋体" w:eastAsia="宋体" w:cs="宋体"/>
          <w:b w:val="0"/>
          <w:bCs/>
          <w:color w:val="auto"/>
          <w:kern w:val="0"/>
          <w:sz w:val="24"/>
          <w:szCs w:val="24"/>
          <w:u w:val="none"/>
          <w:shd w:val="clear" w:color="auto" w:fill="FFFFFF"/>
          <w:lang w:val="en-US" w:eastAsia="zh-CN" w:bidi="ar-SA"/>
        </w:rPr>
      </w:pPr>
      <w:r>
        <w:rPr>
          <w:rFonts w:hint="eastAsia" w:ascii="宋体" w:hAnsi="宋体" w:eastAsia="宋体" w:cs="宋体"/>
          <w:b w:val="0"/>
          <w:bCs/>
          <w:color w:val="auto"/>
          <w:kern w:val="0"/>
          <w:sz w:val="24"/>
          <w:szCs w:val="24"/>
          <w:u w:val="none"/>
          <w:shd w:val="clear" w:color="auto" w:fill="FFFFFF"/>
          <w:lang w:val="en-US" w:eastAsia="zh-CN" w:bidi="ar-SA"/>
        </w:rPr>
        <w:t>（2）供应商或其法定代表人或拟派项目经理（项目负责人）被人民检察院列入行贿犯罪档案的；</w:t>
      </w:r>
    </w:p>
    <w:p>
      <w:pPr>
        <w:widowControl/>
        <w:spacing w:line="360" w:lineRule="auto"/>
        <w:ind w:firstLine="480" w:firstLineChars="200"/>
        <w:jc w:val="left"/>
        <w:rPr>
          <w:rFonts w:hint="eastAsia" w:ascii="宋体" w:hAnsi="宋体" w:eastAsia="宋体" w:cs="宋体"/>
          <w:b w:val="0"/>
          <w:bCs/>
          <w:color w:val="auto"/>
          <w:kern w:val="0"/>
          <w:sz w:val="24"/>
          <w:szCs w:val="24"/>
          <w:u w:val="none"/>
          <w:shd w:val="clear" w:color="auto" w:fill="FFFFFF"/>
          <w:lang w:val="en-US" w:eastAsia="zh-CN" w:bidi="ar-SA"/>
        </w:rPr>
      </w:pPr>
      <w:r>
        <w:rPr>
          <w:rFonts w:hint="eastAsia" w:ascii="宋体" w:hAnsi="宋体" w:eastAsia="宋体" w:cs="宋体"/>
          <w:b w:val="0"/>
          <w:bCs/>
          <w:color w:val="auto"/>
          <w:kern w:val="0"/>
          <w:sz w:val="24"/>
          <w:szCs w:val="24"/>
          <w:u w:val="none"/>
          <w:shd w:val="clear" w:color="auto" w:fill="FFFFFF"/>
          <w:lang w:val="en-US" w:eastAsia="zh-CN" w:bidi="ar-SA"/>
        </w:rPr>
        <w:t>（3）供应商被工商行政管理部门列入企业经营异常名录的；</w:t>
      </w:r>
    </w:p>
    <w:p>
      <w:pPr>
        <w:widowControl/>
        <w:spacing w:line="360" w:lineRule="auto"/>
        <w:ind w:firstLine="480" w:firstLineChars="200"/>
        <w:jc w:val="left"/>
        <w:rPr>
          <w:rFonts w:hint="eastAsia" w:ascii="宋体" w:hAnsi="宋体" w:eastAsia="宋体" w:cs="宋体"/>
          <w:b w:val="0"/>
          <w:bCs/>
          <w:color w:val="auto"/>
          <w:kern w:val="0"/>
          <w:sz w:val="24"/>
          <w:szCs w:val="24"/>
          <w:u w:val="none"/>
          <w:shd w:val="clear" w:color="auto" w:fill="FFFFFF"/>
          <w:lang w:val="en-US" w:eastAsia="zh-CN" w:bidi="ar-SA"/>
        </w:rPr>
      </w:pPr>
      <w:r>
        <w:rPr>
          <w:rFonts w:hint="eastAsia" w:ascii="宋体" w:hAnsi="宋体" w:eastAsia="宋体" w:cs="宋体"/>
          <w:b w:val="0"/>
          <w:bCs/>
          <w:color w:val="auto"/>
          <w:kern w:val="0"/>
          <w:sz w:val="24"/>
          <w:szCs w:val="24"/>
          <w:u w:val="none"/>
          <w:shd w:val="clear" w:color="auto" w:fill="FFFFFF"/>
          <w:lang w:val="en-US" w:eastAsia="zh-CN" w:bidi="ar-SA"/>
        </w:rPr>
        <w:t>（4）供应商被税务部门列入重大税收违法案件当事人名单的；</w:t>
      </w:r>
    </w:p>
    <w:p>
      <w:pPr>
        <w:widowControl/>
        <w:spacing w:line="360" w:lineRule="auto"/>
        <w:ind w:firstLine="480" w:firstLineChars="200"/>
        <w:jc w:val="left"/>
        <w:rPr>
          <w:rFonts w:hint="eastAsia" w:ascii="宋体" w:hAnsi="宋体" w:eastAsia="宋体" w:cs="宋体"/>
          <w:b w:val="0"/>
          <w:bCs/>
          <w:color w:val="auto"/>
          <w:kern w:val="0"/>
          <w:sz w:val="24"/>
          <w:szCs w:val="24"/>
          <w:u w:val="none"/>
          <w:shd w:val="clear" w:color="auto" w:fill="FFFFFF"/>
          <w:lang w:val="en-US" w:eastAsia="zh-CN" w:bidi="ar-SA"/>
        </w:rPr>
      </w:pPr>
      <w:r>
        <w:rPr>
          <w:rFonts w:hint="eastAsia" w:ascii="宋体" w:hAnsi="宋体" w:eastAsia="宋体" w:cs="宋体"/>
          <w:b w:val="0"/>
          <w:bCs/>
          <w:color w:val="auto"/>
          <w:kern w:val="0"/>
          <w:sz w:val="24"/>
          <w:szCs w:val="24"/>
          <w:u w:val="none"/>
          <w:shd w:val="clear" w:color="auto" w:fill="FFFFFF"/>
          <w:lang w:val="en-US" w:eastAsia="zh-CN" w:bidi="ar-SA"/>
        </w:rPr>
        <w:t>（5）供应商被政府采购监管部门列入政府采购严重违法失信行为记录名单的；</w:t>
      </w:r>
    </w:p>
    <w:p>
      <w:pPr>
        <w:spacing w:line="360" w:lineRule="auto"/>
        <w:rPr>
          <w:rFonts w:hint="eastAsia" w:ascii="宋体" w:hAnsi="宋体" w:eastAsia="宋体" w:cs="宋体"/>
          <w:b/>
          <w:bCs/>
          <w:color w:val="000000"/>
          <w:sz w:val="24"/>
          <w:lang w:eastAsia="zh-CN"/>
        </w:rPr>
      </w:pPr>
      <w:r>
        <w:rPr>
          <w:rFonts w:hint="eastAsia" w:ascii="宋体" w:hAnsi="宋体" w:cs="宋体"/>
          <w:b/>
          <w:bCs/>
          <w:color w:val="000000"/>
          <w:sz w:val="24"/>
        </w:rPr>
        <w:t>七</w:t>
      </w:r>
      <w:r>
        <w:rPr>
          <w:rFonts w:ascii="宋体" w:hAnsi="宋体" w:cs="宋体"/>
          <w:b/>
          <w:bCs/>
          <w:color w:val="000000"/>
          <w:sz w:val="24"/>
        </w:rPr>
        <w:t>、</w:t>
      </w:r>
      <w:r>
        <w:rPr>
          <w:rFonts w:hint="eastAsia" w:ascii="宋体" w:hAnsi="宋体" w:cs="宋体"/>
          <w:b/>
          <w:bCs/>
          <w:color w:val="000000"/>
          <w:sz w:val="24"/>
        </w:rPr>
        <w:t>项目服务</w:t>
      </w:r>
      <w:r>
        <w:rPr>
          <w:rFonts w:ascii="宋体" w:hAnsi="宋体" w:cs="宋体"/>
          <w:b/>
          <w:bCs/>
          <w:color w:val="000000"/>
          <w:sz w:val="24"/>
        </w:rPr>
        <w:t>总体要求</w:t>
      </w:r>
      <w:r>
        <w:rPr>
          <w:rFonts w:hint="eastAsia" w:ascii="宋体" w:hAnsi="宋体" w:cs="宋体"/>
          <w:b/>
          <w:bCs/>
          <w:color w:val="000000"/>
          <w:sz w:val="24"/>
          <w:lang w:eastAsia="zh-CN"/>
        </w:rPr>
        <w:t>：</w:t>
      </w:r>
    </w:p>
    <w:p>
      <w:pPr>
        <w:spacing w:line="360" w:lineRule="auto"/>
        <w:ind w:firstLine="482" w:firstLineChars="200"/>
        <w:rPr>
          <w:rFonts w:ascii="宋体" w:hAnsi="宋体" w:cs="宋体"/>
          <w:color w:val="000000"/>
          <w:sz w:val="24"/>
        </w:rPr>
      </w:pPr>
      <w:r>
        <w:rPr>
          <w:rFonts w:hint="eastAsia" w:ascii="宋体" w:hAnsi="宋体" w:cs="宋体"/>
          <w:b/>
          <w:bCs/>
          <w:color w:val="000000"/>
          <w:sz w:val="24"/>
        </w:rPr>
        <w:t>（一）</w:t>
      </w:r>
      <w:r>
        <w:rPr>
          <w:rFonts w:ascii="宋体" w:hAnsi="宋体" w:cs="宋体"/>
          <w:b/>
          <w:bCs/>
          <w:color w:val="000000"/>
          <w:sz w:val="24"/>
        </w:rPr>
        <w:t>质量标准</w:t>
      </w:r>
      <w:r>
        <w:rPr>
          <w:rFonts w:hint="eastAsia" w:ascii="宋体" w:hAnsi="宋体" w:cs="宋体"/>
          <w:b/>
          <w:bCs/>
          <w:color w:val="000000"/>
          <w:sz w:val="24"/>
          <w:lang w:val="en-US" w:eastAsia="zh-CN"/>
        </w:rPr>
        <w:t xml:space="preserve">  </w:t>
      </w:r>
      <w:r>
        <w:rPr>
          <w:rFonts w:hint="eastAsia" w:ascii="宋体" w:hAnsi="宋体" w:cs="宋体"/>
          <w:color w:val="000000"/>
          <w:sz w:val="24"/>
          <w:lang w:val="en-US" w:eastAsia="zh-CN"/>
        </w:rPr>
        <w:t>符合《宿州市生活垃圾分类管理办法》的要求，</w:t>
      </w:r>
      <w:r>
        <w:rPr>
          <w:rFonts w:ascii="宋体" w:hAnsi="宋体" w:cs="宋体"/>
          <w:color w:val="000000"/>
          <w:sz w:val="24"/>
        </w:rPr>
        <w:t>如标准更新则</w:t>
      </w:r>
      <w:r>
        <w:rPr>
          <w:rFonts w:hint="eastAsia" w:ascii="宋体" w:hAnsi="宋体" w:cs="宋体"/>
          <w:color w:val="000000"/>
          <w:sz w:val="24"/>
        </w:rPr>
        <w:t>按照</w:t>
      </w:r>
      <w:r>
        <w:rPr>
          <w:rFonts w:ascii="宋体" w:hAnsi="宋体" w:cs="宋体"/>
          <w:color w:val="000000"/>
          <w:sz w:val="24"/>
        </w:rPr>
        <w:t>最新的标准</w:t>
      </w:r>
      <w:r>
        <w:rPr>
          <w:rFonts w:hint="eastAsia" w:ascii="宋体" w:hAnsi="宋体" w:cs="宋体"/>
          <w:color w:val="000000"/>
          <w:sz w:val="24"/>
        </w:rPr>
        <w:t>执行。</w:t>
      </w:r>
    </w:p>
    <w:p>
      <w:pPr>
        <w:spacing w:line="360" w:lineRule="auto"/>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rPr>
        <w:t>（二）</w:t>
      </w:r>
      <w:r>
        <w:rPr>
          <w:rFonts w:ascii="宋体" w:hAnsi="宋体" w:cs="宋体"/>
          <w:b/>
          <w:bCs/>
          <w:color w:val="000000"/>
          <w:sz w:val="24"/>
        </w:rPr>
        <w:t>服务要求</w:t>
      </w:r>
      <w:r>
        <w:rPr>
          <w:rFonts w:hint="eastAsia" w:ascii="宋体" w:hAnsi="宋体" w:cs="宋体"/>
          <w:b/>
          <w:bCs/>
          <w:color w:val="000000"/>
          <w:sz w:val="24"/>
          <w:lang w:eastAsia="zh-CN"/>
        </w:rPr>
        <w:t>：</w:t>
      </w:r>
    </w:p>
    <w:p>
      <w:pPr>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、学院物业将校园生活垃圾集中运至学校指定垃圾中转点，中标方严格按垃圾分类要求进行清运(结合可回收垃圾机、有害垃圾机投放情况)，按约定定点按时清运垃圾，保证垃圾</w:t>
      </w:r>
      <w:r>
        <w:rPr>
          <w:rFonts w:hint="eastAsia" w:ascii="宋体" w:hAnsi="宋体" w:cs="宋体"/>
          <w:color w:val="000000"/>
          <w:sz w:val="24"/>
          <w:lang w:val="en-US" w:eastAsia="zh-CN"/>
        </w:rPr>
        <w:t>日产日清</w:t>
      </w:r>
      <w:r>
        <w:rPr>
          <w:rFonts w:hint="eastAsia" w:ascii="宋体" w:hAnsi="宋体" w:cs="宋体"/>
          <w:color w:val="000000"/>
          <w:sz w:val="24"/>
        </w:rPr>
        <w:t>(一般上午8:00前1次，下午14:00前1次)，不能积压，垃圾中转点垃圾不外溢。抽吸、清理化粪池井内粪渣、杂物、沙石等垃圾，并将清出的垃圾清运至校外。清理后的化粪池和检查井内无堵塞、无沉积物、无漂浮物，确保排污管道畅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2、中标方</w:t>
      </w:r>
      <w:r>
        <w:rPr>
          <w:rFonts w:hint="eastAsia" w:ascii="宋体" w:hAnsi="宋体" w:cs="宋体"/>
          <w:color w:val="000000"/>
          <w:sz w:val="24"/>
          <w:lang w:val="en-US" w:eastAsia="zh-CN"/>
        </w:rPr>
        <w:t>每周不少于2次对垃圾中转点进行冲洗、消毒、灭蝇等，</w:t>
      </w:r>
      <w:r>
        <w:rPr>
          <w:rFonts w:hint="eastAsia" w:ascii="宋体" w:hAnsi="宋体" w:cs="宋体"/>
          <w:color w:val="000000"/>
          <w:sz w:val="24"/>
        </w:rPr>
        <w:t>保持垃圾中转点周围卫生整洁。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3、采购人如遇检查、重大活动、毕业、迎新等特殊情况，应提前告知供应商，供应商须配合采购人</w:t>
      </w:r>
      <w:r>
        <w:rPr>
          <w:rFonts w:hint="eastAsia" w:ascii="宋体" w:hAnsi="宋体" w:cs="宋体"/>
          <w:color w:val="000000"/>
          <w:sz w:val="24"/>
          <w:lang w:val="en-US" w:eastAsia="zh-CN"/>
        </w:rPr>
        <w:t>适当增加垃圾清运车辆及次数。</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4、供应商清运作业的人员和车辆必须自觉遵守采购人各校区、生活区车辆进出有关规定。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r>
        <w:rPr>
          <w:rFonts w:hint="eastAsia" w:ascii="宋体" w:hAnsi="宋体" w:cs="宋体"/>
          <w:color w:val="000000"/>
          <w:sz w:val="24"/>
          <w:lang w:val="en-US" w:eastAsia="zh-CN"/>
        </w:rPr>
        <w:t>化粪池清掏每个每半年不少于1次，每月1次自查，</w:t>
      </w:r>
      <w:r>
        <w:rPr>
          <w:rFonts w:hint="eastAsia" w:ascii="宋体" w:hAnsi="宋体" w:cs="宋体"/>
          <w:color w:val="000000"/>
          <w:sz w:val="24"/>
        </w:rPr>
        <w:t>检查化粪池日常的状况，如有满溢及时处理。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6、安全责任：</w:t>
      </w:r>
      <w:r>
        <w:rPr>
          <w:rFonts w:hint="eastAsia" w:ascii="宋体" w:hAnsi="宋体" w:cs="宋体"/>
          <w:color w:val="000000"/>
          <w:sz w:val="24"/>
          <w:lang w:val="en-US" w:eastAsia="zh-CN"/>
        </w:rPr>
        <w:t>所有清扫运输工具均自备，维护费用由中标方自行承担</w:t>
      </w:r>
      <w:r>
        <w:rPr>
          <w:rFonts w:hint="eastAsia" w:ascii="宋体" w:hAnsi="宋体" w:cs="宋体"/>
          <w:color w:val="000000"/>
          <w:sz w:val="24"/>
        </w:rPr>
        <w:t>；清扫运输</w:t>
      </w:r>
      <w:r>
        <w:rPr>
          <w:rFonts w:ascii="宋体" w:hAnsi="宋体" w:cs="宋体"/>
          <w:color w:val="000000"/>
          <w:sz w:val="24"/>
        </w:rPr>
        <w:t>期间发生</w:t>
      </w:r>
      <w:r>
        <w:rPr>
          <w:rFonts w:hint="eastAsia" w:ascii="宋体" w:hAnsi="宋体" w:cs="宋体"/>
          <w:color w:val="000000"/>
          <w:sz w:val="24"/>
        </w:rPr>
        <w:t>一</w:t>
      </w:r>
      <w:r>
        <w:rPr>
          <w:rFonts w:ascii="宋体" w:hAnsi="宋体" w:cs="宋体"/>
          <w:color w:val="000000"/>
          <w:sz w:val="24"/>
        </w:rPr>
        <w:t>切事故由中标方</w:t>
      </w:r>
      <w:r>
        <w:rPr>
          <w:rFonts w:hint="eastAsia" w:ascii="宋体" w:hAnsi="宋体" w:cs="宋体"/>
          <w:color w:val="000000"/>
          <w:sz w:val="24"/>
        </w:rPr>
        <w:t>负责</w:t>
      </w:r>
      <w:r>
        <w:rPr>
          <w:rFonts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7、</w:t>
      </w:r>
      <w:r>
        <w:rPr>
          <w:rFonts w:ascii="宋体" w:hAnsi="宋体" w:cs="宋体"/>
          <w:color w:val="000000"/>
          <w:sz w:val="24"/>
        </w:rPr>
        <w:t>清运权限</w:t>
      </w:r>
      <w:r>
        <w:rPr>
          <w:rFonts w:hint="eastAsia" w:ascii="宋体" w:hAnsi="宋体" w:cs="宋体"/>
          <w:color w:val="000000"/>
          <w:sz w:val="24"/>
        </w:rPr>
        <w:t>：</w:t>
      </w:r>
      <w:r>
        <w:rPr>
          <w:rFonts w:ascii="宋体" w:hAnsi="宋体" w:cs="宋体"/>
          <w:color w:val="000000"/>
          <w:sz w:val="24"/>
        </w:rPr>
        <w:t>中标方必须由其本人参加清理垃圾</w:t>
      </w:r>
      <w:r>
        <w:rPr>
          <w:rFonts w:hint="eastAsia" w:ascii="宋体" w:hAnsi="宋体" w:cs="宋体"/>
          <w:color w:val="000000"/>
          <w:sz w:val="24"/>
        </w:rPr>
        <w:t>，</w:t>
      </w:r>
      <w:r>
        <w:rPr>
          <w:rFonts w:hint="eastAsia" w:ascii="宋体" w:hAnsi="宋体" w:cs="宋体"/>
          <w:color w:val="000000"/>
          <w:sz w:val="24"/>
          <w:lang w:val="en-US" w:eastAsia="zh-CN"/>
        </w:rPr>
        <w:t>不得转包或分包给他人清运</w:t>
      </w:r>
      <w:r>
        <w:rPr>
          <w:rFonts w:ascii="宋体" w:hAnsi="宋体" w:cs="宋体"/>
          <w:color w:val="000000"/>
          <w:sz w:val="24"/>
        </w:rPr>
        <w:t>，否则采购方有权终止清运期限。</w:t>
      </w:r>
    </w:p>
    <w:p>
      <w:pPr>
        <w:spacing w:line="360" w:lineRule="auto"/>
        <w:ind w:firstLine="480" w:firstLineChars="200"/>
        <w:rPr>
          <w:rFonts w:ascii="宋体" w:hAnsi="宋体" w:cs="宋体"/>
          <w:color w:val="000000"/>
          <w:sz w:val="24"/>
        </w:rPr>
      </w:pPr>
      <w:r>
        <w:rPr>
          <w:rFonts w:hint="eastAsia" w:ascii="宋体" w:hAnsi="宋体" w:cs="宋体"/>
          <w:color w:val="000000"/>
          <w:sz w:val="24"/>
        </w:rPr>
        <w:t>8、园林绿化垃圾(含绿化修剪产生的树枝)、</w:t>
      </w:r>
      <w:r>
        <w:rPr>
          <w:rFonts w:hint="eastAsia" w:ascii="宋体" w:hAnsi="宋体" w:cs="宋体"/>
          <w:color w:val="000000"/>
          <w:sz w:val="24"/>
          <w:lang w:eastAsia="zh-CN"/>
        </w:rPr>
        <w:t>小型</w:t>
      </w:r>
      <w:r>
        <w:rPr>
          <w:rFonts w:hint="eastAsia" w:ascii="宋体" w:hAnsi="宋体" w:cs="宋体"/>
          <w:color w:val="000000"/>
          <w:sz w:val="24"/>
        </w:rPr>
        <w:t>废弃桌椅木板及零星施工垃圾清运频率要求：每半月一清。</w:t>
      </w:r>
    </w:p>
    <w:p>
      <w:pPr>
        <w:spacing w:line="360" w:lineRule="auto"/>
        <w:ind w:firstLine="480" w:firstLineChars="200"/>
        <w:rPr>
          <w:rFonts w:ascii="宋体" w:hAnsi="宋体" w:cs="宋体"/>
          <w:color w:val="000000"/>
          <w:sz w:val="24"/>
        </w:rPr>
      </w:pPr>
      <w:r>
        <w:rPr>
          <w:rFonts w:hint="eastAsia" w:ascii="宋体" w:hAnsi="宋体" w:cs="宋体"/>
          <w:color w:val="000000"/>
          <w:sz w:val="24"/>
        </w:rPr>
        <w:t>9、应使用大型垃圾清运车，要求除司机1人，还要随车清扫人员1人，要求装运车放置一橡胶垫，同时清扫装运过程掉落的垃圾（随运随扫）。</w:t>
      </w:r>
    </w:p>
    <w:p>
      <w:pPr>
        <w:spacing w:line="360" w:lineRule="auto"/>
        <w:ind w:firstLine="480" w:firstLineChars="200"/>
        <w:rPr>
          <w:rFonts w:ascii="宋体" w:hAnsi="宋体" w:cs="宋体"/>
          <w:color w:val="000000"/>
          <w:sz w:val="24"/>
        </w:rPr>
      </w:pPr>
      <w:r>
        <w:rPr>
          <w:rFonts w:hint="eastAsia" w:ascii="宋体" w:hAnsi="宋体" w:cs="宋体"/>
          <w:color w:val="000000"/>
          <w:sz w:val="24"/>
        </w:rPr>
        <w:t>10、清运过程中有损坏垃圾容器及其他公用设施的，负责照价赔偿。如遇垃圾场变阻等特殊原因，应及时告知延迟清运，但最多不得延迟一天。</w:t>
      </w:r>
    </w:p>
    <w:p>
      <w:pPr>
        <w:spacing w:line="360" w:lineRule="auto"/>
        <w:ind w:firstLine="480" w:firstLineChars="200"/>
        <w:rPr>
          <w:rFonts w:ascii="宋体" w:hAnsi="宋体" w:cs="宋体"/>
          <w:b/>
          <w:sz w:val="24"/>
        </w:rPr>
      </w:pPr>
      <w:r>
        <w:rPr>
          <w:rFonts w:hint="eastAsia" w:ascii="宋体" w:hAnsi="宋体" w:cs="宋体"/>
          <w:color w:val="000000"/>
          <w:sz w:val="24"/>
        </w:rPr>
        <w:t>11、垃圾清运工作应做到安全、有序，在清运时应尽量避开早中晚人流量高峰阶段，自觉遵守甲方管理制度。</w:t>
      </w:r>
    </w:p>
    <w:p>
      <w:pPr>
        <w:spacing w:line="380" w:lineRule="exact"/>
        <w:rPr>
          <w:rFonts w:ascii="宋体" w:hAnsi="宋体" w:cs="宋体"/>
          <w:b/>
          <w:sz w:val="24"/>
        </w:rPr>
      </w:pPr>
      <w:r>
        <w:rPr>
          <w:rFonts w:hint="eastAsia" w:ascii="宋体" w:hAnsi="宋体" w:cs="宋体"/>
          <w:b/>
          <w:sz w:val="24"/>
        </w:rPr>
        <w:t>八、投标文件的要求：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1、供应商提交的谈判响应书由以下部分和供应商所作的一切有效补充、修改和承诺等文件组成。它包括：</w:t>
      </w:r>
    </w:p>
    <w:p>
      <w:pPr>
        <w:spacing w:line="360" w:lineRule="auto"/>
        <w:ind w:firstLine="480" w:firstLineChars="200"/>
        <w:rPr>
          <w:rFonts w:ascii="宋体" w:hAnsi="宋体" w:cs="宋体"/>
          <w:color w:val="000000"/>
          <w:sz w:val="24"/>
        </w:rPr>
      </w:pPr>
      <w:r>
        <w:rPr>
          <w:rFonts w:hint="eastAsia" w:ascii="宋体" w:hAnsi="宋体" w:cs="宋体"/>
          <w:color w:val="000000"/>
          <w:sz w:val="24"/>
        </w:rPr>
        <w:t>（1）谈判响应函；</w:t>
      </w:r>
    </w:p>
    <w:p>
      <w:pPr>
        <w:spacing w:line="360" w:lineRule="auto"/>
        <w:ind w:firstLine="480" w:firstLineChars="200"/>
        <w:rPr>
          <w:rFonts w:ascii="宋体" w:hAnsi="宋体" w:cs="宋体"/>
          <w:color w:val="000000"/>
          <w:sz w:val="24"/>
        </w:rPr>
      </w:pPr>
      <w:r>
        <w:rPr>
          <w:rFonts w:hint="eastAsia" w:ascii="宋体" w:hAnsi="宋体" w:cs="宋体"/>
          <w:color w:val="000000"/>
          <w:sz w:val="24"/>
        </w:rPr>
        <w:t>（2）授权书（如授权）；</w:t>
      </w:r>
    </w:p>
    <w:p>
      <w:pPr>
        <w:spacing w:line="360" w:lineRule="auto"/>
        <w:ind w:firstLine="480" w:firstLineChars="200"/>
        <w:rPr>
          <w:rFonts w:ascii="宋体" w:hAnsi="宋体" w:cs="宋体"/>
          <w:color w:val="000000"/>
          <w:sz w:val="24"/>
        </w:rPr>
      </w:pPr>
      <w:r>
        <w:rPr>
          <w:rFonts w:hint="eastAsia" w:ascii="宋体" w:hAnsi="宋体" w:cs="宋体"/>
          <w:color w:val="000000"/>
          <w:sz w:val="24"/>
        </w:rPr>
        <w:t>（3）项目预算书；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（4）营业执照、资质证书；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（5）其他资料。</w:t>
      </w:r>
    </w:p>
    <w:p>
      <w:pPr>
        <w:spacing w:line="360" w:lineRule="auto"/>
        <w:ind w:firstLine="480" w:firstLineChars="200"/>
        <w:rPr>
          <w:rFonts w:ascii="宋体" w:hAnsi="宋体" w:cs="宋体"/>
          <w:color w:val="000000"/>
          <w:sz w:val="24"/>
        </w:rPr>
      </w:pPr>
      <w:r>
        <w:rPr>
          <w:rFonts w:hint="eastAsia" w:ascii="宋体" w:hAnsi="宋体" w:cs="宋体"/>
          <w:color w:val="000000"/>
          <w:sz w:val="24"/>
        </w:rPr>
        <w:t>供应商应当使用本谈判文件提供的表式，表式可以按同样格式进行扩展。</w:t>
      </w:r>
    </w:p>
    <w:p>
      <w:pPr>
        <w:spacing w:line="360" w:lineRule="auto"/>
        <w:ind w:firstLine="480" w:firstLineChars="200"/>
        <w:rPr>
          <w:rFonts w:hAnsi="宋体"/>
          <w:sz w:val="24"/>
        </w:rPr>
      </w:pPr>
      <w:r>
        <w:rPr>
          <w:rFonts w:hint="eastAsia" w:hAnsi="宋体"/>
          <w:sz w:val="24"/>
        </w:rPr>
        <w:t>2、谈判响应书有效期：谈判响应书及有关承诺文件有效期为谈判开始时间起60天。</w:t>
      </w:r>
    </w:p>
    <w:p>
      <w:pPr>
        <w:spacing w:line="360" w:lineRule="auto"/>
        <w:ind w:firstLine="480" w:firstLineChars="200"/>
        <w:rPr>
          <w:rFonts w:hAnsi="宋体"/>
          <w:sz w:val="24"/>
        </w:rPr>
      </w:pPr>
      <w:r>
        <w:rPr>
          <w:rFonts w:hint="eastAsia" w:hAnsi="宋体"/>
          <w:sz w:val="24"/>
        </w:rPr>
        <w:t>3、</w:t>
      </w:r>
      <w:r>
        <w:rPr>
          <w:rFonts w:hAnsi="宋体"/>
          <w:sz w:val="24"/>
        </w:rPr>
        <w:t>谈判响应保证金</w:t>
      </w:r>
      <w:r>
        <w:rPr>
          <w:rFonts w:hint="eastAsia" w:hAnsi="宋体"/>
          <w:sz w:val="24"/>
        </w:rPr>
        <w:t>：</w:t>
      </w:r>
    </w:p>
    <w:p>
      <w:pPr>
        <w:spacing w:line="360" w:lineRule="auto"/>
        <w:ind w:firstLine="480" w:firstLineChars="200"/>
        <w:rPr>
          <w:rFonts w:hAnsi="宋体"/>
          <w:sz w:val="24"/>
        </w:rPr>
      </w:pPr>
      <w:r>
        <w:rPr>
          <w:rFonts w:hint="eastAsia" w:hAnsi="宋体"/>
          <w:sz w:val="24"/>
        </w:rPr>
        <w:t>（1）供应商应在竞争性谈判开始时间前按谈判响应人须知前附表要求将足额的</w:t>
      </w:r>
      <w:r>
        <w:rPr>
          <w:rFonts w:hAnsi="宋体"/>
          <w:sz w:val="24"/>
        </w:rPr>
        <w:t>谈判响应保证金</w:t>
      </w:r>
      <w:r>
        <w:rPr>
          <w:rFonts w:hint="eastAsia" w:hAnsi="宋体"/>
          <w:sz w:val="24"/>
        </w:rPr>
        <w:t>提交至</w:t>
      </w:r>
      <w:r>
        <w:rPr>
          <w:rFonts w:hint="eastAsia"/>
          <w:sz w:val="24"/>
        </w:rPr>
        <w:t>竞争性谈判采购文件</w:t>
      </w:r>
      <w:r>
        <w:rPr>
          <w:rFonts w:hint="eastAsia" w:hAnsi="宋体"/>
          <w:sz w:val="24"/>
        </w:rPr>
        <w:t>指定账户。</w:t>
      </w:r>
    </w:p>
    <w:p>
      <w:pPr>
        <w:snapToGrid w:val="0"/>
        <w:spacing w:line="360" w:lineRule="auto"/>
        <w:ind w:left="570"/>
        <w:rPr>
          <w:rFonts w:hAnsi="宋体"/>
          <w:sz w:val="24"/>
        </w:rPr>
      </w:pPr>
      <w:r>
        <w:rPr>
          <w:rFonts w:hint="eastAsia" w:hAnsi="宋体"/>
          <w:sz w:val="24"/>
        </w:rPr>
        <w:t>（2）发生以下情况之一者，</w:t>
      </w:r>
      <w:r>
        <w:rPr>
          <w:rFonts w:hAnsi="宋体"/>
          <w:sz w:val="24"/>
        </w:rPr>
        <w:t>谈判响应保证金</w:t>
      </w:r>
      <w:r>
        <w:rPr>
          <w:rFonts w:hint="eastAsia" w:hAnsi="宋体"/>
          <w:sz w:val="24"/>
        </w:rPr>
        <w:t>不予退还。</w:t>
      </w:r>
    </w:p>
    <w:p>
      <w:pPr>
        <w:snapToGrid w:val="0"/>
        <w:spacing w:line="360" w:lineRule="auto"/>
        <w:ind w:firstLine="720" w:firstLineChars="300"/>
        <w:rPr>
          <w:rFonts w:hAnsi="宋体"/>
          <w:sz w:val="24"/>
        </w:rPr>
      </w:pPr>
      <w:r>
        <w:rPr>
          <w:rFonts w:hint="eastAsia" w:hAnsi="宋体"/>
          <w:sz w:val="24"/>
        </w:rPr>
        <w:t>A、供应商在谈判开始后，签订合同前撤回其谈判响应书。</w:t>
      </w:r>
    </w:p>
    <w:p>
      <w:pPr>
        <w:snapToGrid w:val="0"/>
        <w:spacing w:line="360" w:lineRule="auto"/>
        <w:rPr>
          <w:rFonts w:hAnsi="宋体"/>
          <w:sz w:val="24"/>
        </w:rPr>
      </w:pPr>
      <w:r>
        <w:rPr>
          <w:rFonts w:hint="eastAsia" w:hAnsi="宋体"/>
          <w:sz w:val="24"/>
        </w:rPr>
        <w:t xml:space="preserve">      B、供应商被通知成交后，不按规定的时间或拒绝按成交状态签订合同（即不按成交时规定的技术条件、供货范围、服务条款和价格等签订合同）。</w:t>
      </w:r>
    </w:p>
    <w:p>
      <w:pPr>
        <w:snapToGrid w:val="0"/>
        <w:spacing w:line="360" w:lineRule="auto"/>
        <w:ind w:firstLine="15"/>
        <w:rPr>
          <w:rFonts w:hAnsi="宋体"/>
          <w:sz w:val="24"/>
        </w:rPr>
      </w:pPr>
      <w:r>
        <w:rPr>
          <w:rFonts w:hint="eastAsia" w:hAnsi="宋体"/>
          <w:sz w:val="24"/>
        </w:rPr>
        <w:t xml:space="preserve">    （3）未中标企业的保证金待公示期结束后三个工作日，按原渠道自动退还（无息）；中标企业保证金待合同签到后退还（无息）。</w:t>
      </w:r>
    </w:p>
    <w:p>
      <w:pPr>
        <w:snapToGrid w:val="0"/>
        <w:spacing w:line="360" w:lineRule="auto"/>
        <w:ind w:firstLine="480" w:firstLineChars="200"/>
        <w:rPr>
          <w:rFonts w:hAnsi="宋体"/>
          <w:sz w:val="24"/>
        </w:rPr>
      </w:pPr>
      <w:r>
        <w:rPr>
          <w:rFonts w:hint="eastAsia" w:hAnsi="宋体"/>
          <w:sz w:val="24"/>
        </w:rPr>
        <w:t>4、谈判报价：</w:t>
      </w:r>
    </w:p>
    <w:p>
      <w:pPr>
        <w:snapToGrid w:val="0"/>
        <w:spacing w:line="360" w:lineRule="auto"/>
        <w:ind w:firstLine="480" w:firstLineChars="200"/>
        <w:rPr>
          <w:rFonts w:hAnsi="宋体"/>
          <w:sz w:val="24"/>
        </w:rPr>
      </w:pPr>
      <w:r>
        <w:rPr>
          <w:rFonts w:hint="eastAsia" w:hAnsi="宋体"/>
          <w:sz w:val="24"/>
        </w:rPr>
        <w:t>各供应商不得超过采购人发布的采购预算进行谈判报价，否则，按废标处理。各供应商根据本工程实际情况，结合市场行情和自身企业实力进行费用包干报价。</w:t>
      </w:r>
    </w:p>
    <w:p>
      <w:pPr>
        <w:snapToGrid w:val="0"/>
        <w:spacing w:line="360" w:lineRule="auto"/>
        <w:ind w:firstLine="570"/>
        <w:rPr>
          <w:rFonts w:hAnsi="宋体"/>
          <w:sz w:val="24"/>
        </w:rPr>
      </w:pPr>
      <w:r>
        <w:rPr>
          <w:rFonts w:hint="eastAsia" w:hAnsi="宋体"/>
          <w:sz w:val="24"/>
        </w:rPr>
        <w:t>5、提交谈判响应书的份数和签署：</w:t>
      </w:r>
    </w:p>
    <w:p>
      <w:pPr>
        <w:spacing w:line="360" w:lineRule="auto"/>
        <w:ind w:firstLine="468"/>
        <w:rPr>
          <w:rFonts w:hint="eastAsia" w:ascii="宋体" w:hAnsi="宋体" w:cs="宋体"/>
          <w:kern w:val="0"/>
          <w:sz w:val="24"/>
        </w:rPr>
      </w:pPr>
      <w:r>
        <w:rPr>
          <w:rFonts w:hint="eastAsia" w:ascii="宋体" w:hAnsi="宋体" w:cs="宋体"/>
          <w:kern w:val="0"/>
          <w:sz w:val="24"/>
        </w:rPr>
        <w:t>（1）谈判响应书正本1份，副本</w:t>
      </w:r>
      <w:r>
        <w:rPr>
          <w:rFonts w:hint="eastAsia" w:ascii="宋体" w:hAnsi="宋体" w:cs="宋体"/>
          <w:kern w:val="0"/>
          <w:sz w:val="24"/>
          <w:lang w:val="en-US" w:eastAsia="zh-CN"/>
        </w:rPr>
        <w:t>3</w:t>
      </w:r>
      <w:r>
        <w:rPr>
          <w:rFonts w:hint="eastAsia" w:ascii="宋体" w:hAnsi="宋体" w:cs="宋体"/>
          <w:kern w:val="0"/>
          <w:sz w:val="24"/>
        </w:rPr>
        <w:t>份。</w:t>
      </w:r>
    </w:p>
    <w:p>
      <w:pPr>
        <w:spacing w:line="360" w:lineRule="auto"/>
        <w:ind w:firstLine="468"/>
        <w:rPr>
          <w:rFonts w:hint="eastAsia" w:ascii="宋体" w:hAnsi="宋体" w:cs="宋体"/>
          <w:kern w:val="0"/>
          <w:sz w:val="24"/>
        </w:rPr>
      </w:pPr>
      <w:r>
        <w:rPr>
          <w:rFonts w:hint="eastAsia" w:ascii="宋体" w:hAnsi="宋体" w:cs="宋体"/>
          <w:kern w:val="0"/>
          <w:sz w:val="24"/>
        </w:rPr>
        <w:t>（2）最终报价函必须由供应商</w:t>
      </w:r>
      <w:r>
        <w:rPr>
          <w:rFonts w:hint="eastAsia" w:ascii="宋体" w:hAnsi="宋体" w:cs="宋体"/>
          <w:kern w:val="0"/>
          <w:sz w:val="24"/>
          <w:lang w:eastAsia="zh-CN"/>
        </w:rPr>
        <w:t>法定代表人</w:t>
      </w:r>
      <w:r>
        <w:rPr>
          <w:rFonts w:hint="eastAsia" w:ascii="宋体" w:hAnsi="宋体" w:cs="宋体"/>
          <w:kern w:val="0"/>
          <w:sz w:val="24"/>
        </w:rPr>
        <w:t>或其授权代表签名。</w:t>
      </w:r>
    </w:p>
    <w:p>
      <w:pPr>
        <w:snapToGrid w:val="0"/>
        <w:spacing w:line="360" w:lineRule="auto"/>
        <w:ind w:firstLine="570"/>
        <w:rPr>
          <w:rFonts w:hAnsi="宋体"/>
          <w:sz w:val="24"/>
        </w:rPr>
      </w:pPr>
      <w:r>
        <w:rPr>
          <w:rFonts w:hint="eastAsia" w:hAnsi="宋体"/>
          <w:sz w:val="24"/>
        </w:rPr>
        <w:t>6、谈判响应书的递交：</w:t>
      </w:r>
    </w:p>
    <w:p>
      <w:pPr>
        <w:snapToGrid w:val="0"/>
        <w:spacing w:line="360" w:lineRule="auto"/>
        <w:ind w:firstLine="570"/>
        <w:rPr>
          <w:rFonts w:hAnsi="宋体"/>
          <w:sz w:val="24"/>
        </w:rPr>
      </w:pPr>
      <w:r>
        <w:rPr>
          <w:rFonts w:hint="eastAsia" w:hAnsi="宋体"/>
          <w:sz w:val="24"/>
        </w:rPr>
        <w:t>（1）谈判响应书的密封与标记</w:t>
      </w:r>
    </w:p>
    <w:p>
      <w:pPr>
        <w:snapToGrid w:val="0"/>
        <w:spacing w:line="360" w:lineRule="auto"/>
        <w:ind w:firstLine="570"/>
        <w:rPr>
          <w:rFonts w:hAnsi="宋体"/>
          <w:sz w:val="24"/>
        </w:rPr>
      </w:pPr>
      <w:r>
        <w:rPr>
          <w:rFonts w:hint="eastAsia" w:hAnsi="宋体"/>
          <w:sz w:val="24"/>
        </w:rPr>
        <w:t>谈判响应书的正本、副本应分别密封。封装外套上注明项目名称、供应商名称和地址、“正本”、“副本”字样及“不准提前启封”字样。封口处须用白封条加以覆盖密封并加盖企业公章或法人授权代表签字。谈判响应书采用胶装。</w:t>
      </w:r>
    </w:p>
    <w:p>
      <w:pPr>
        <w:snapToGrid w:val="0"/>
        <w:spacing w:line="360" w:lineRule="auto"/>
        <w:ind w:firstLine="570"/>
        <w:rPr>
          <w:rFonts w:hAnsi="宋体"/>
          <w:b/>
          <w:bCs/>
          <w:sz w:val="24"/>
        </w:rPr>
      </w:pPr>
      <w:r>
        <w:rPr>
          <w:rFonts w:hint="eastAsia" w:hAnsi="宋体"/>
          <w:sz w:val="24"/>
        </w:rPr>
        <w:t>（2）谈判响应书投递截止时间：参阅</w:t>
      </w:r>
      <w:r>
        <w:rPr>
          <w:rFonts w:hint="eastAsia" w:hAnsi="宋体"/>
          <w:bCs/>
          <w:sz w:val="24"/>
        </w:rPr>
        <w:t>谈判响应人须知前附表</w:t>
      </w:r>
      <w:r>
        <w:rPr>
          <w:rFonts w:hint="eastAsia" w:hAnsi="宋体"/>
          <w:sz w:val="24"/>
        </w:rPr>
        <w:t>。</w:t>
      </w:r>
    </w:p>
    <w:p>
      <w:pPr>
        <w:snapToGrid w:val="0"/>
        <w:spacing w:line="360" w:lineRule="auto"/>
        <w:ind w:firstLine="570"/>
        <w:rPr>
          <w:rFonts w:hAnsi="宋体"/>
          <w:sz w:val="24"/>
        </w:rPr>
      </w:pPr>
      <w:r>
        <w:rPr>
          <w:rFonts w:hint="eastAsia" w:hAnsi="宋体"/>
          <w:sz w:val="24"/>
        </w:rPr>
        <w:t>7、供应商参与人员：</w:t>
      </w:r>
    </w:p>
    <w:p>
      <w:pPr>
        <w:snapToGrid w:val="0"/>
        <w:spacing w:line="360" w:lineRule="auto"/>
        <w:ind w:firstLine="570"/>
        <w:rPr>
          <w:rFonts w:hAnsi="宋体"/>
          <w:sz w:val="24"/>
        </w:rPr>
      </w:pPr>
      <w:r>
        <w:rPr>
          <w:rFonts w:hint="eastAsia" w:hAnsi="宋体"/>
          <w:sz w:val="24"/>
        </w:rPr>
        <w:t>供应商应由其法定代表人或授权代理人参与谈判。</w:t>
      </w:r>
    </w:p>
    <w:p>
      <w:pPr>
        <w:snapToGrid w:val="0"/>
        <w:spacing w:line="360" w:lineRule="auto"/>
        <w:ind w:firstLine="570"/>
        <w:rPr>
          <w:rFonts w:hAnsi="宋体"/>
          <w:sz w:val="24"/>
        </w:rPr>
      </w:pPr>
      <w:r>
        <w:rPr>
          <w:rFonts w:hint="eastAsia" w:hAnsi="宋体"/>
          <w:sz w:val="24"/>
        </w:rPr>
        <w:t>8、无效谈判：</w:t>
      </w:r>
    </w:p>
    <w:p>
      <w:pPr>
        <w:snapToGrid w:val="0"/>
        <w:spacing w:line="360" w:lineRule="auto"/>
        <w:ind w:firstLine="570"/>
        <w:rPr>
          <w:rFonts w:hAnsi="宋体"/>
          <w:sz w:val="24"/>
        </w:rPr>
      </w:pPr>
      <w:r>
        <w:rPr>
          <w:rFonts w:hint="eastAsia" w:hAnsi="宋体"/>
          <w:sz w:val="24"/>
        </w:rPr>
        <w:t>供应商发生以下条款情况之一者，按无效标处理：</w:t>
      </w:r>
    </w:p>
    <w:p>
      <w:pPr>
        <w:snapToGrid w:val="0"/>
        <w:spacing w:line="360" w:lineRule="auto"/>
        <w:ind w:firstLine="570"/>
        <w:rPr>
          <w:rFonts w:hAnsi="宋体"/>
          <w:sz w:val="24"/>
        </w:rPr>
      </w:pPr>
      <w:r>
        <w:rPr>
          <w:rFonts w:hint="eastAsia" w:hAnsi="宋体"/>
          <w:sz w:val="24"/>
        </w:rPr>
        <w:t>（1）法定代表人</w:t>
      </w:r>
      <w:r>
        <w:rPr>
          <w:rFonts w:hint="eastAsia" w:hAnsi="宋体"/>
          <w:bCs/>
          <w:sz w:val="24"/>
        </w:rPr>
        <w:t>或</w:t>
      </w:r>
      <w:r>
        <w:rPr>
          <w:rFonts w:hint="eastAsia" w:hAnsi="宋体"/>
          <w:sz w:val="24"/>
        </w:rPr>
        <w:t>授权代理人未参加谈判；</w:t>
      </w:r>
    </w:p>
    <w:p>
      <w:pPr>
        <w:snapToGrid w:val="0"/>
        <w:spacing w:line="360" w:lineRule="auto"/>
        <w:ind w:firstLine="570"/>
        <w:outlineLvl w:val="1"/>
        <w:rPr>
          <w:rFonts w:hAnsi="宋体"/>
          <w:sz w:val="24"/>
        </w:rPr>
      </w:pPr>
      <w:bookmarkStart w:id="9" w:name="_Toc435088820"/>
      <w:bookmarkStart w:id="10" w:name="_Toc435088731"/>
      <w:r>
        <w:rPr>
          <w:rFonts w:hint="eastAsia" w:hAnsi="宋体"/>
          <w:sz w:val="24"/>
        </w:rPr>
        <w:t>（2）谈判响应书不按规定的格式、内容填写；</w:t>
      </w:r>
      <w:bookmarkEnd w:id="9"/>
      <w:bookmarkEnd w:id="10"/>
    </w:p>
    <w:p>
      <w:pPr>
        <w:snapToGrid w:val="0"/>
        <w:spacing w:line="360" w:lineRule="auto"/>
        <w:ind w:firstLine="570"/>
        <w:rPr>
          <w:rFonts w:hAnsi="宋体"/>
          <w:sz w:val="24"/>
        </w:rPr>
      </w:pPr>
      <w:r>
        <w:rPr>
          <w:rFonts w:hint="eastAsia" w:hAnsi="宋体"/>
          <w:sz w:val="24"/>
        </w:rPr>
        <w:t>（3）供应商的资质不符合竞争性谈判采购文件第二篇第二条“谈判资质”要求的内容；</w:t>
      </w:r>
    </w:p>
    <w:p>
      <w:pPr>
        <w:snapToGrid w:val="0"/>
        <w:spacing w:line="360" w:lineRule="auto"/>
        <w:ind w:firstLine="570"/>
        <w:rPr>
          <w:rFonts w:hAnsi="宋体"/>
          <w:sz w:val="24"/>
        </w:rPr>
      </w:pPr>
      <w:r>
        <w:rPr>
          <w:rFonts w:hint="eastAsia" w:hAnsi="宋体"/>
          <w:sz w:val="24"/>
        </w:rPr>
        <w:t>（4）提供虚假谈判资料的；</w:t>
      </w:r>
    </w:p>
    <w:p>
      <w:pPr>
        <w:snapToGrid w:val="0"/>
        <w:spacing w:line="360" w:lineRule="auto"/>
        <w:ind w:firstLine="570"/>
        <w:rPr>
          <w:rFonts w:hAnsi="宋体"/>
          <w:bCs/>
          <w:sz w:val="24"/>
        </w:rPr>
      </w:pPr>
      <w:r>
        <w:rPr>
          <w:rFonts w:hint="eastAsia" w:hAnsi="宋体"/>
          <w:sz w:val="24"/>
        </w:rPr>
        <w:t>（5）</w:t>
      </w:r>
      <w:r>
        <w:rPr>
          <w:rFonts w:hint="eastAsia" w:hAnsi="宋体"/>
          <w:bCs/>
          <w:sz w:val="24"/>
        </w:rPr>
        <w:t>最终报价高于谈判文件规定的采购预算。</w:t>
      </w:r>
      <w:bookmarkStart w:id="11" w:name="_Toc228581639"/>
      <w:bookmarkStart w:id="12" w:name="_Toc435088732"/>
      <w:bookmarkStart w:id="13" w:name="_Toc102227319"/>
      <w:bookmarkStart w:id="14" w:name="_Toc435088821"/>
    </w:p>
    <w:p>
      <w:pPr>
        <w:snapToGrid w:val="0"/>
        <w:spacing w:line="360" w:lineRule="auto"/>
        <w:rPr>
          <w:rFonts w:hint="eastAsia" w:ascii="宋体" w:hAnsi="宋体" w:eastAsia="宋体"/>
          <w:b/>
          <w:bCs/>
          <w:sz w:val="24"/>
          <w:lang w:eastAsia="zh-CN"/>
        </w:rPr>
      </w:pPr>
      <w:r>
        <w:rPr>
          <w:rFonts w:hint="eastAsia" w:ascii="宋体" w:hAnsi="宋体"/>
          <w:b/>
          <w:bCs/>
          <w:sz w:val="24"/>
        </w:rPr>
        <w:t>九、谈判程序</w:t>
      </w:r>
      <w:bookmarkEnd w:id="11"/>
      <w:bookmarkEnd w:id="12"/>
      <w:bookmarkEnd w:id="13"/>
      <w:bookmarkEnd w:id="14"/>
      <w:r>
        <w:rPr>
          <w:rFonts w:hint="eastAsia" w:ascii="宋体" w:hAnsi="宋体"/>
          <w:b/>
          <w:bCs/>
          <w:sz w:val="24"/>
          <w:lang w:eastAsia="zh-CN"/>
        </w:rPr>
        <w:t>：</w:t>
      </w:r>
    </w:p>
    <w:p>
      <w:pPr>
        <w:snapToGrid w:val="0"/>
        <w:spacing w:line="360" w:lineRule="auto"/>
        <w:ind w:firstLine="573"/>
        <w:rPr>
          <w:rFonts w:hint="eastAsia" w:hAnsi="宋体" w:eastAsia="宋体" w:cs="Times New Roman"/>
          <w:sz w:val="24"/>
        </w:rPr>
      </w:pPr>
      <w:r>
        <w:rPr>
          <w:rFonts w:hint="eastAsia" w:hAnsi="宋体" w:eastAsia="宋体" w:cs="Times New Roman"/>
          <w:sz w:val="24"/>
        </w:rPr>
        <w:t>采用先资格审查</w:t>
      </w:r>
      <w:r>
        <w:rPr>
          <w:rFonts w:hint="eastAsia" w:hAnsi="宋体" w:eastAsia="宋体" w:cs="Times New Roman"/>
          <w:sz w:val="24"/>
          <w:lang w:eastAsia="zh-CN"/>
        </w:rPr>
        <w:t>，</w:t>
      </w:r>
      <w:r>
        <w:rPr>
          <w:rFonts w:hint="eastAsia" w:hAnsi="宋体" w:eastAsia="宋体" w:cs="Times New Roman"/>
          <w:sz w:val="24"/>
        </w:rPr>
        <w:t>资格审查合格的供应商方进入下一步程序。</w:t>
      </w:r>
    </w:p>
    <w:p>
      <w:pPr>
        <w:snapToGrid w:val="0"/>
        <w:spacing w:line="360" w:lineRule="auto"/>
        <w:ind w:firstLine="573"/>
        <w:rPr>
          <w:rFonts w:hAnsi="宋体"/>
          <w:sz w:val="24"/>
        </w:rPr>
      </w:pPr>
      <w:r>
        <w:rPr>
          <w:rFonts w:hint="eastAsia" w:hAnsi="宋体"/>
          <w:sz w:val="24"/>
        </w:rPr>
        <w:t>1、采购人组织的谈判按竞争性谈判采购文件规定的时间和地点进行。供应商须有法定代表人</w:t>
      </w:r>
      <w:r>
        <w:rPr>
          <w:rFonts w:hint="eastAsia" w:hAnsi="宋体"/>
          <w:bCs/>
          <w:sz w:val="24"/>
        </w:rPr>
        <w:t>或</w:t>
      </w:r>
      <w:r>
        <w:rPr>
          <w:rFonts w:hint="eastAsia" w:hAnsi="宋体"/>
          <w:sz w:val="24"/>
        </w:rPr>
        <w:t>法人授权代表参加并签到。</w:t>
      </w:r>
    </w:p>
    <w:p>
      <w:pPr>
        <w:snapToGrid w:val="0"/>
        <w:spacing w:line="360" w:lineRule="auto"/>
        <w:ind w:firstLine="573"/>
        <w:rPr>
          <w:rFonts w:hAnsi="宋体"/>
          <w:sz w:val="24"/>
        </w:rPr>
      </w:pPr>
      <w:r>
        <w:rPr>
          <w:rFonts w:hint="eastAsia" w:hAnsi="宋体"/>
          <w:sz w:val="24"/>
        </w:rPr>
        <w:t>2、在谈判过程中谈判的任何一方不得向他人透露与谈判有关的技术资料、价格或其他信息。</w:t>
      </w:r>
    </w:p>
    <w:p>
      <w:pPr>
        <w:snapToGrid w:val="0"/>
        <w:spacing w:line="360" w:lineRule="auto"/>
        <w:ind w:firstLine="573"/>
        <w:rPr>
          <w:rFonts w:hAnsi="宋体"/>
          <w:sz w:val="24"/>
        </w:rPr>
      </w:pPr>
      <w:r>
        <w:rPr>
          <w:rFonts w:hint="eastAsia" w:hAnsi="宋体"/>
          <w:sz w:val="24"/>
        </w:rPr>
        <w:t>3、初始谈判后，如谈判文件有实质性变动的，谈判小组须以书面形式通知所有参加谈判的供应商。所有供应商根据竞争性谈判采购文件或其补遗书在规定的时间里提出有关书面建议及</w:t>
      </w:r>
      <w:r>
        <w:rPr>
          <w:rFonts w:hint="eastAsia" w:hAnsi="宋体"/>
          <w:sz w:val="24"/>
          <w:lang w:eastAsia="zh-CN"/>
        </w:rPr>
        <w:t>做出</w:t>
      </w:r>
      <w:r>
        <w:rPr>
          <w:rFonts w:hint="eastAsia" w:hAnsi="宋体"/>
          <w:sz w:val="24"/>
        </w:rPr>
        <w:t>相关的书面承诺，并报出最佳服务和最终报价。谈判小组在此基础上公平选定成交供应商。</w:t>
      </w:r>
    </w:p>
    <w:p>
      <w:pPr>
        <w:snapToGrid w:val="0"/>
        <w:spacing w:line="360" w:lineRule="auto"/>
        <w:ind w:firstLine="573"/>
        <w:rPr>
          <w:rFonts w:hAnsi="宋体"/>
          <w:sz w:val="24"/>
        </w:rPr>
      </w:pPr>
      <w:r>
        <w:rPr>
          <w:rFonts w:hint="eastAsia" w:hAnsi="宋体"/>
          <w:sz w:val="24"/>
        </w:rPr>
        <w:t>4、供应商在谈判时作出的所有书面承诺须由供应商</w:t>
      </w:r>
      <w:r>
        <w:rPr>
          <w:rFonts w:hint="eastAsia" w:hAnsi="宋体"/>
          <w:sz w:val="24"/>
          <w:lang w:eastAsia="zh-CN"/>
        </w:rPr>
        <w:t>法定代表人</w:t>
      </w:r>
      <w:r>
        <w:rPr>
          <w:rFonts w:hint="eastAsia" w:hAnsi="宋体"/>
          <w:sz w:val="24"/>
        </w:rPr>
        <w:t>或其授权代表签字。</w:t>
      </w:r>
    </w:p>
    <w:p>
      <w:pPr>
        <w:snapToGrid w:val="0"/>
        <w:spacing w:line="360" w:lineRule="auto"/>
        <w:ind w:firstLine="573"/>
        <w:rPr>
          <w:rFonts w:hAnsi="宋体"/>
          <w:sz w:val="24"/>
        </w:rPr>
      </w:pPr>
      <w:r>
        <w:rPr>
          <w:rFonts w:hint="eastAsia" w:hAnsi="宋体"/>
          <w:sz w:val="24"/>
        </w:rPr>
        <w:t>5、谈判结束后，谈判小组要求所有参加谈判的供应商在规定的时间内书面提出最终报价及有关承诺（填写《最终报价函》），并据此确定成交供应商。超出规定时间没有进行最终报价的供应商，视为放弃最终报价，以其前一次报价为准。</w:t>
      </w:r>
    </w:p>
    <w:p>
      <w:pPr>
        <w:snapToGrid w:val="0"/>
        <w:spacing w:line="360" w:lineRule="auto"/>
        <w:ind w:firstLine="573"/>
        <w:rPr>
          <w:rFonts w:hAnsi="宋体"/>
          <w:sz w:val="24"/>
        </w:rPr>
      </w:pPr>
      <w:r>
        <w:rPr>
          <w:rFonts w:hint="eastAsia" w:hAnsi="宋体"/>
          <w:sz w:val="24"/>
        </w:rPr>
        <w:t>注：供应商的每轮报价不得高于前一次报价。</w:t>
      </w:r>
      <w:bookmarkStart w:id="15" w:name="_Toc102227320"/>
      <w:bookmarkStart w:id="16" w:name="_Toc435088733"/>
      <w:bookmarkStart w:id="17" w:name="_Toc228581640"/>
      <w:bookmarkStart w:id="18" w:name="_Toc435088822"/>
    </w:p>
    <w:p>
      <w:pPr>
        <w:snapToGrid w:val="0"/>
        <w:spacing w:line="360" w:lineRule="auto"/>
        <w:rPr>
          <w:rFonts w:hint="eastAsia" w:ascii="宋体" w:hAnsi="宋体" w:eastAsia="宋体"/>
          <w:b/>
          <w:bCs/>
          <w:sz w:val="24"/>
          <w:lang w:eastAsia="zh-CN"/>
        </w:rPr>
      </w:pPr>
      <w:r>
        <w:rPr>
          <w:rFonts w:hint="eastAsia" w:hAnsi="宋体"/>
          <w:b/>
          <w:bCs/>
          <w:sz w:val="24"/>
        </w:rPr>
        <w:t>十</w:t>
      </w:r>
      <w:r>
        <w:rPr>
          <w:rFonts w:hint="eastAsia" w:ascii="宋体" w:hAnsi="宋体"/>
          <w:b/>
          <w:bCs/>
          <w:sz w:val="24"/>
        </w:rPr>
        <w:t>、成交</w:t>
      </w:r>
      <w:bookmarkEnd w:id="15"/>
      <w:r>
        <w:rPr>
          <w:rFonts w:hint="eastAsia" w:ascii="宋体" w:hAnsi="宋体"/>
          <w:b/>
          <w:bCs/>
          <w:sz w:val="24"/>
        </w:rPr>
        <w:t>原则</w:t>
      </w:r>
      <w:bookmarkEnd w:id="16"/>
      <w:bookmarkEnd w:id="17"/>
      <w:bookmarkEnd w:id="18"/>
      <w:r>
        <w:rPr>
          <w:rFonts w:hint="eastAsia" w:ascii="宋体" w:hAnsi="宋体"/>
          <w:b/>
          <w:bCs/>
          <w:sz w:val="24"/>
          <w:lang w:eastAsia="zh-CN"/>
        </w:rPr>
        <w:t>：</w:t>
      </w:r>
    </w:p>
    <w:p>
      <w:pPr>
        <w:spacing w:line="360" w:lineRule="auto"/>
        <w:ind w:firstLine="480" w:firstLineChars="200"/>
        <w:rPr>
          <w:rFonts w:hAnsi="宋体"/>
          <w:sz w:val="24"/>
        </w:rPr>
      </w:pPr>
      <w:r>
        <w:rPr>
          <w:rFonts w:hint="eastAsia" w:hAnsi="宋体"/>
          <w:sz w:val="24"/>
        </w:rPr>
        <w:t>1、本项目采用有效</w:t>
      </w:r>
      <w:r>
        <w:rPr>
          <w:rFonts w:hint="eastAsia" w:hAnsi="宋体" w:cs="Arial"/>
          <w:sz w:val="24"/>
        </w:rPr>
        <w:t>最低评审价法</w:t>
      </w:r>
      <w:r>
        <w:rPr>
          <w:rFonts w:hint="eastAsia" w:hAnsi="宋体"/>
          <w:sz w:val="24"/>
        </w:rPr>
        <w:t>进行评审：</w:t>
      </w:r>
    </w:p>
    <w:p>
      <w:pPr>
        <w:snapToGrid w:val="0"/>
        <w:spacing w:line="360" w:lineRule="auto"/>
        <w:ind w:firstLine="480" w:firstLineChars="200"/>
        <w:rPr>
          <w:rFonts w:hint="eastAsia" w:hAnsi="宋体" w:eastAsia="宋体" w:cs="Times New Roman"/>
          <w:sz w:val="24"/>
        </w:rPr>
      </w:pPr>
      <w:r>
        <w:rPr>
          <w:rFonts w:hint="eastAsia" w:hAnsi="宋体" w:eastAsia="宋体" w:cs="Times New Roman"/>
          <w:sz w:val="24"/>
        </w:rPr>
        <w:t>谈判小组将依据供应商最终提交的确认件进行综合评审，根据符合采购需求且报价最低的原则确定成交供应商或推荐出成交供应商候选人。</w:t>
      </w:r>
    </w:p>
    <w:p>
      <w:pPr>
        <w:snapToGrid w:val="0"/>
        <w:spacing w:line="360" w:lineRule="auto"/>
        <w:ind w:firstLine="480" w:firstLineChars="200"/>
        <w:rPr>
          <w:rFonts w:hAnsi="宋体"/>
          <w:sz w:val="24"/>
        </w:rPr>
      </w:pPr>
      <w:r>
        <w:rPr>
          <w:rFonts w:hint="eastAsia" w:hAnsi="宋体"/>
          <w:sz w:val="24"/>
        </w:rPr>
        <w:t>2、如成交供应商因不可抗力或者自身原因不能履行合同的，采购人或谈判小组可以按排名依序替补，确定排名下一位的供应商为成交供应商。</w:t>
      </w:r>
    </w:p>
    <w:p>
      <w:pPr>
        <w:snapToGrid w:val="0"/>
        <w:spacing w:line="360" w:lineRule="auto"/>
        <w:ind w:firstLine="480" w:firstLineChars="200"/>
        <w:rPr>
          <w:rFonts w:hAnsi="宋体"/>
          <w:sz w:val="24"/>
        </w:rPr>
      </w:pPr>
      <w:r>
        <w:rPr>
          <w:rFonts w:hint="eastAsia" w:hAnsi="宋体"/>
          <w:sz w:val="24"/>
        </w:rPr>
        <w:t>3、出现以下情况之一的，作为采购失败处理，将重新组织谈判：</w:t>
      </w:r>
    </w:p>
    <w:p>
      <w:pPr>
        <w:snapToGrid w:val="0"/>
        <w:spacing w:line="360" w:lineRule="auto"/>
        <w:ind w:firstLine="480" w:firstLineChars="200"/>
        <w:rPr>
          <w:rFonts w:hAnsi="宋体"/>
          <w:sz w:val="24"/>
        </w:rPr>
      </w:pPr>
      <w:r>
        <w:rPr>
          <w:rFonts w:hint="eastAsia" w:hAnsi="宋体"/>
          <w:sz w:val="24"/>
        </w:rPr>
        <w:t>（1）出现影响采购公正的违法、违规行为的；</w:t>
      </w:r>
    </w:p>
    <w:p>
      <w:pPr>
        <w:snapToGrid w:val="0"/>
        <w:spacing w:line="360" w:lineRule="auto"/>
        <w:ind w:firstLine="480" w:firstLineChars="200"/>
        <w:rPr>
          <w:rFonts w:hAnsi="宋体"/>
          <w:sz w:val="24"/>
        </w:rPr>
      </w:pPr>
      <w:r>
        <w:rPr>
          <w:rFonts w:hint="eastAsia" w:hAnsi="宋体"/>
          <w:sz w:val="24"/>
        </w:rPr>
        <w:t>（2）供应商的报价均超过了采购预算，采购人不能支付的；</w:t>
      </w:r>
    </w:p>
    <w:p>
      <w:pPr>
        <w:snapToGrid w:val="0"/>
        <w:spacing w:line="360" w:lineRule="auto"/>
        <w:ind w:firstLine="480" w:firstLineChars="200"/>
        <w:rPr>
          <w:rFonts w:hAnsi="宋体"/>
          <w:sz w:val="24"/>
        </w:rPr>
      </w:pPr>
      <w:r>
        <w:rPr>
          <w:rFonts w:hint="eastAsia" w:hAnsi="宋体"/>
          <w:sz w:val="24"/>
        </w:rPr>
        <w:t>（3）经谈判小组共同认定，所有谈判报价均不具备竞争性的；</w:t>
      </w:r>
    </w:p>
    <w:p>
      <w:pPr>
        <w:snapToGrid w:val="0"/>
        <w:spacing w:line="360" w:lineRule="auto"/>
        <w:ind w:firstLine="480" w:firstLineChars="200"/>
        <w:rPr>
          <w:rFonts w:hAnsi="宋体"/>
          <w:sz w:val="24"/>
        </w:rPr>
      </w:pPr>
      <w:r>
        <w:rPr>
          <w:rFonts w:hint="eastAsia" w:hAnsi="宋体"/>
          <w:sz w:val="24"/>
        </w:rPr>
        <w:t>（4）因不可抗力导致重大变故，采购任务取消的；</w:t>
      </w:r>
    </w:p>
    <w:p>
      <w:pPr>
        <w:snapToGrid w:val="0"/>
        <w:spacing w:line="360" w:lineRule="auto"/>
        <w:ind w:firstLine="480" w:firstLineChars="200"/>
        <w:rPr>
          <w:rFonts w:hAnsi="宋体"/>
          <w:b/>
          <w:szCs w:val="28"/>
        </w:rPr>
      </w:pPr>
      <w:r>
        <w:rPr>
          <w:rFonts w:hint="eastAsia" w:hAnsi="宋体"/>
          <w:sz w:val="24"/>
        </w:rPr>
        <w:t>（5）谈判响应书递交截止时间后参加投标供应商不足三家的。</w:t>
      </w:r>
    </w:p>
    <w:p>
      <w:pPr>
        <w:snapToGrid w:val="0"/>
        <w:spacing w:line="360" w:lineRule="auto"/>
        <w:ind w:firstLine="482" w:firstLineChars="200"/>
        <w:rPr>
          <w:rFonts w:hint="eastAsia" w:hAnsi="宋体" w:eastAsia="宋体" w:cs="Times New Roman"/>
          <w:b/>
          <w:bCs/>
          <w:sz w:val="24"/>
        </w:rPr>
      </w:pPr>
      <w:r>
        <w:rPr>
          <w:rFonts w:hint="eastAsia" w:hAnsi="宋体" w:eastAsia="宋体" w:cs="Times New Roman"/>
          <w:b/>
          <w:bCs/>
          <w:sz w:val="24"/>
        </w:rPr>
        <w:t>附：实质性要求表</w:t>
      </w:r>
    </w:p>
    <w:tbl>
      <w:tblPr>
        <w:tblStyle w:val="13"/>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999"/>
        <w:gridCol w:w="5070"/>
        <w:gridCol w:w="1242"/>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hAnsi="宋体"/>
                <w:b/>
                <w:sz w:val="20"/>
              </w:rPr>
            </w:pPr>
            <w:r>
              <w:rPr>
                <w:rFonts w:hint="eastAsia" w:hAnsi="宋体"/>
                <w:b/>
                <w:sz w:val="20"/>
              </w:rPr>
              <w:t>序号</w:t>
            </w:r>
          </w:p>
        </w:tc>
        <w:tc>
          <w:tcPr>
            <w:tcW w:w="1999" w:type="dxa"/>
            <w:tcBorders>
              <w:top w:val="single" w:color="auto" w:sz="4" w:space="0"/>
              <w:left w:val="single" w:color="auto" w:sz="4" w:space="0"/>
              <w:bottom w:val="single" w:color="auto" w:sz="4" w:space="0"/>
              <w:right w:val="single" w:color="auto" w:sz="4" w:space="0"/>
            </w:tcBorders>
            <w:vAlign w:val="center"/>
          </w:tcPr>
          <w:p>
            <w:pPr>
              <w:jc w:val="center"/>
              <w:rPr>
                <w:rFonts w:hAnsi="宋体"/>
                <w:b/>
                <w:sz w:val="20"/>
              </w:rPr>
            </w:pPr>
            <w:r>
              <w:rPr>
                <w:rFonts w:hint="eastAsia" w:hAnsi="宋体"/>
                <w:b/>
                <w:sz w:val="20"/>
              </w:rPr>
              <w:t>审核要素</w:t>
            </w:r>
          </w:p>
        </w:tc>
        <w:tc>
          <w:tcPr>
            <w:tcW w:w="5070" w:type="dxa"/>
            <w:tcBorders>
              <w:top w:val="single" w:color="auto" w:sz="4" w:space="0"/>
              <w:left w:val="single" w:color="auto" w:sz="4" w:space="0"/>
              <w:bottom w:val="single" w:color="auto" w:sz="4" w:space="0"/>
              <w:right w:val="single" w:color="auto" w:sz="4" w:space="0"/>
            </w:tcBorders>
          </w:tcPr>
          <w:p>
            <w:pPr>
              <w:jc w:val="center"/>
              <w:rPr>
                <w:rFonts w:hAnsi="宋体"/>
                <w:b/>
                <w:sz w:val="20"/>
              </w:rPr>
            </w:pPr>
            <w:r>
              <w:rPr>
                <w:rFonts w:hint="eastAsia" w:hAnsi="宋体"/>
                <w:b/>
                <w:sz w:val="20"/>
              </w:rPr>
              <w:t>评审依据</w:t>
            </w:r>
          </w:p>
        </w:tc>
        <w:tc>
          <w:tcPr>
            <w:tcW w:w="1242" w:type="dxa"/>
            <w:vAlign w:val="center"/>
          </w:tcPr>
          <w:p>
            <w:pPr>
              <w:widowControl/>
              <w:jc w:val="center"/>
              <w:rPr>
                <w:rFonts w:hAnsi="宋体"/>
                <w:b/>
                <w:sz w:val="20"/>
              </w:rPr>
            </w:pPr>
            <w:r>
              <w:rPr>
                <w:rFonts w:hint="eastAsia" w:hAnsi="宋体"/>
                <w:b/>
                <w:sz w:val="20"/>
              </w:rPr>
              <w:t>是否合格</w:t>
            </w:r>
          </w:p>
        </w:tc>
        <w:tc>
          <w:tcPr>
            <w:tcW w:w="495" w:type="dxa"/>
            <w:vAlign w:val="center"/>
          </w:tcPr>
          <w:p>
            <w:pPr>
              <w:widowControl/>
              <w:jc w:val="center"/>
              <w:rPr>
                <w:rFonts w:hAnsi="宋体"/>
                <w:b/>
                <w:sz w:val="20"/>
              </w:rPr>
            </w:pPr>
            <w:r>
              <w:rPr>
                <w:rFonts w:hint="eastAsia" w:hAnsi="宋体"/>
                <w:b/>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r>
              <w:rPr>
                <w:rFonts w:hint="eastAsia" w:hAnsi="宋体"/>
                <w:szCs w:val="21"/>
              </w:rPr>
              <w:t>1</w:t>
            </w:r>
          </w:p>
        </w:tc>
        <w:tc>
          <w:tcPr>
            <w:tcW w:w="19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r>
              <w:rPr>
                <w:rFonts w:hint="eastAsia" w:hAnsi="宋体"/>
                <w:szCs w:val="21"/>
              </w:rPr>
              <w:t>营业执照、税务登记证、组织机构代码证</w:t>
            </w:r>
          </w:p>
        </w:tc>
        <w:tc>
          <w:tcPr>
            <w:tcW w:w="507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hAnsi="宋体"/>
                <w:szCs w:val="21"/>
              </w:rPr>
            </w:pPr>
            <w:r>
              <w:rPr>
                <w:rFonts w:hint="eastAsia" w:hAnsi="宋体"/>
                <w:szCs w:val="21"/>
              </w:rPr>
              <w:t>复印件并加盖公章装订在投标文件中（已经办理“三证合一”的可不提供税务登记证、组织机构代码证）。</w:t>
            </w:r>
          </w:p>
        </w:tc>
        <w:tc>
          <w:tcPr>
            <w:tcW w:w="1242" w:type="dxa"/>
            <w:vAlign w:val="center"/>
          </w:tcPr>
          <w:p>
            <w:pPr>
              <w:widowControl/>
              <w:spacing w:line="360" w:lineRule="auto"/>
              <w:jc w:val="center"/>
              <w:rPr>
                <w:rFonts w:hAnsi="宋体"/>
                <w:szCs w:val="21"/>
              </w:rPr>
            </w:pPr>
            <w:r>
              <w:rPr>
                <w:rFonts w:hint="eastAsia" w:hAnsi="宋体"/>
                <w:szCs w:val="21"/>
              </w:rPr>
              <w:t>□符合</w:t>
            </w:r>
          </w:p>
          <w:p>
            <w:pPr>
              <w:widowControl/>
              <w:spacing w:line="360" w:lineRule="auto"/>
              <w:jc w:val="center"/>
              <w:rPr>
                <w:rFonts w:hAnsi="宋体"/>
                <w:szCs w:val="21"/>
              </w:rPr>
            </w:pPr>
            <w:r>
              <w:rPr>
                <w:rFonts w:hint="eastAsia" w:hAnsi="宋体"/>
                <w:szCs w:val="21"/>
              </w:rPr>
              <w:t>□不符合</w:t>
            </w:r>
          </w:p>
        </w:tc>
        <w:tc>
          <w:tcPr>
            <w:tcW w:w="495" w:type="dxa"/>
            <w:vAlign w:val="center"/>
          </w:tcPr>
          <w:p>
            <w:pPr>
              <w:widowControl/>
              <w:spacing w:line="360" w:lineRule="auto"/>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r>
              <w:rPr>
                <w:rFonts w:hint="eastAsia" w:hAnsi="宋体"/>
                <w:szCs w:val="21"/>
              </w:rPr>
              <w:t>2</w:t>
            </w:r>
          </w:p>
        </w:tc>
        <w:tc>
          <w:tcPr>
            <w:tcW w:w="19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r>
              <w:rPr>
                <w:rFonts w:hint="eastAsia" w:hAnsi="宋体"/>
                <w:szCs w:val="21"/>
              </w:rPr>
              <w:t>资格要求</w:t>
            </w:r>
          </w:p>
        </w:tc>
        <w:tc>
          <w:tcPr>
            <w:tcW w:w="50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szCs w:val="21"/>
              </w:rPr>
            </w:pPr>
            <w:r>
              <w:rPr>
                <w:rFonts w:hint="eastAsia" w:hAnsi="宋体" w:cs="宋体"/>
                <w:bCs/>
                <w:szCs w:val="21"/>
              </w:rPr>
              <w:t>符合《中华人民共和国政府采购法》第二十二条规定</w:t>
            </w:r>
          </w:p>
        </w:tc>
        <w:tc>
          <w:tcPr>
            <w:tcW w:w="1242" w:type="dxa"/>
            <w:vAlign w:val="center"/>
          </w:tcPr>
          <w:p>
            <w:pPr>
              <w:widowControl/>
              <w:spacing w:line="360" w:lineRule="auto"/>
              <w:jc w:val="center"/>
              <w:rPr>
                <w:rFonts w:hAnsi="宋体"/>
                <w:szCs w:val="21"/>
              </w:rPr>
            </w:pPr>
            <w:r>
              <w:rPr>
                <w:rFonts w:hint="eastAsia" w:hAnsi="宋体"/>
                <w:szCs w:val="21"/>
              </w:rPr>
              <w:t>□符合</w:t>
            </w:r>
          </w:p>
          <w:p>
            <w:pPr>
              <w:widowControl/>
              <w:spacing w:line="360" w:lineRule="auto"/>
              <w:jc w:val="center"/>
              <w:rPr>
                <w:rFonts w:hAnsi="宋体"/>
                <w:szCs w:val="21"/>
              </w:rPr>
            </w:pPr>
            <w:r>
              <w:rPr>
                <w:rFonts w:hint="eastAsia" w:hAnsi="宋体"/>
                <w:szCs w:val="21"/>
              </w:rPr>
              <w:t>□不符合</w:t>
            </w:r>
          </w:p>
        </w:tc>
        <w:tc>
          <w:tcPr>
            <w:tcW w:w="495" w:type="dxa"/>
            <w:vAlign w:val="center"/>
          </w:tcPr>
          <w:p>
            <w:pPr>
              <w:widowControl/>
              <w:spacing w:line="360" w:lineRule="auto"/>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r>
              <w:rPr>
                <w:rFonts w:hint="eastAsia" w:hAnsi="宋体"/>
                <w:szCs w:val="21"/>
              </w:rPr>
              <w:t>3</w:t>
            </w:r>
          </w:p>
        </w:tc>
        <w:tc>
          <w:tcPr>
            <w:tcW w:w="19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r>
              <w:rPr>
                <w:rFonts w:hint="eastAsia" w:hAnsi="宋体"/>
                <w:szCs w:val="21"/>
              </w:rPr>
              <w:t>投标响应</w:t>
            </w:r>
          </w:p>
        </w:tc>
        <w:tc>
          <w:tcPr>
            <w:tcW w:w="50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szCs w:val="21"/>
              </w:rPr>
            </w:pPr>
            <w:r>
              <w:rPr>
                <w:rFonts w:hint="eastAsia" w:hAnsi="宋体"/>
                <w:szCs w:val="21"/>
              </w:rPr>
              <w:t>是否递交有效的投标保证金，是否按照采购文件要求按时参加开标会议。</w:t>
            </w:r>
          </w:p>
        </w:tc>
        <w:tc>
          <w:tcPr>
            <w:tcW w:w="1242" w:type="dxa"/>
            <w:vAlign w:val="center"/>
          </w:tcPr>
          <w:p>
            <w:pPr>
              <w:widowControl/>
              <w:spacing w:line="360" w:lineRule="auto"/>
              <w:jc w:val="center"/>
              <w:rPr>
                <w:rFonts w:hAnsi="宋体"/>
                <w:szCs w:val="21"/>
              </w:rPr>
            </w:pPr>
            <w:r>
              <w:rPr>
                <w:rFonts w:hint="eastAsia" w:hAnsi="宋体"/>
                <w:szCs w:val="21"/>
              </w:rPr>
              <w:t>□符合</w:t>
            </w:r>
          </w:p>
          <w:p>
            <w:pPr>
              <w:widowControl/>
              <w:spacing w:line="360" w:lineRule="auto"/>
              <w:jc w:val="center"/>
              <w:rPr>
                <w:rFonts w:hAnsi="宋体"/>
                <w:szCs w:val="21"/>
              </w:rPr>
            </w:pPr>
            <w:r>
              <w:rPr>
                <w:rFonts w:hint="eastAsia" w:hAnsi="宋体"/>
                <w:szCs w:val="21"/>
              </w:rPr>
              <w:t>□不符合</w:t>
            </w:r>
          </w:p>
        </w:tc>
        <w:tc>
          <w:tcPr>
            <w:tcW w:w="495" w:type="dxa"/>
            <w:vAlign w:val="center"/>
          </w:tcPr>
          <w:p>
            <w:pPr>
              <w:widowControl/>
              <w:spacing w:line="360" w:lineRule="auto"/>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r>
              <w:rPr>
                <w:rFonts w:hint="eastAsia" w:hAnsi="宋体"/>
                <w:szCs w:val="21"/>
              </w:rPr>
              <w:t>4</w:t>
            </w:r>
          </w:p>
        </w:tc>
        <w:tc>
          <w:tcPr>
            <w:tcW w:w="19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r>
              <w:rPr>
                <w:rFonts w:hint="eastAsia" w:hAnsi="宋体"/>
                <w:szCs w:val="21"/>
              </w:rPr>
              <w:t>谈判响应书</w:t>
            </w:r>
          </w:p>
        </w:tc>
        <w:tc>
          <w:tcPr>
            <w:tcW w:w="5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r>
              <w:rPr>
                <w:rFonts w:hint="eastAsia" w:hAnsi="宋体"/>
                <w:szCs w:val="21"/>
              </w:rPr>
              <w:t>谈判响应书是否</w:t>
            </w:r>
            <w:r>
              <w:rPr>
                <w:rFonts w:hint="eastAsia" w:hAnsi="宋体"/>
                <w:szCs w:val="21"/>
                <w:lang w:eastAsia="zh-CN"/>
              </w:rPr>
              <w:t>按照</w:t>
            </w:r>
            <w:r>
              <w:rPr>
                <w:rFonts w:hint="eastAsia" w:hAnsi="宋体"/>
                <w:szCs w:val="21"/>
              </w:rPr>
              <w:t>规定的要求进行编制、装订和签署</w:t>
            </w:r>
          </w:p>
        </w:tc>
        <w:tc>
          <w:tcPr>
            <w:tcW w:w="1242" w:type="dxa"/>
            <w:vAlign w:val="center"/>
          </w:tcPr>
          <w:p>
            <w:pPr>
              <w:widowControl/>
              <w:spacing w:line="360" w:lineRule="auto"/>
              <w:jc w:val="center"/>
              <w:rPr>
                <w:rFonts w:hAnsi="宋体"/>
                <w:szCs w:val="21"/>
              </w:rPr>
            </w:pPr>
            <w:r>
              <w:rPr>
                <w:rFonts w:hint="eastAsia" w:hAnsi="宋体"/>
                <w:szCs w:val="21"/>
              </w:rPr>
              <w:t>□符合</w:t>
            </w:r>
          </w:p>
          <w:p>
            <w:pPr>
              <w:widowControl/>
              <w:spacing w:line="360" w:lineRule="auto"/>
              <w:jc w:val="center"/>
              <w:rPr>
                <w:rFonts w:hAnsi="宋体"/>
                <w:szCs w:val="21"/>
              </w:rPr>
            </w:pPr>
            <w:r>
              <w:rPr>
                <w:rFonts w:hint="eastAsia" w:hAnsi="宋体"/>
                <w:szCs w:val="21"/>
              </w:rPr>
              <w:t>□不符合</w:t>
            </w:r>
          </w:p>
        </w:tc>
        <w:tc>
          <w:tcPr>
            <w:tcW w:w="495" w:type="dxa"/>
            <w:vAlign w:val="center"/>
          </w:tcPr>
          <w:p>
            <w:pPr>
              <w:widowControl/>
              <w:spacing w:line="360" w:lineRule="auto"/>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r>
              <w:rPr>
                <w:rFonts w:hint="eastAsia" w:hAnsi="宋体"/>
                <w:szCs w:val="21"/>
              </w:rPr>
              <w:t>5</w:t>
            </w:r>
          </w:p>
        </w:tc>
        <w:tc>
          <w:tcPr>
            <w:tcW w:w="199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Ansi="宋体"/>
                <w:szCs w:val="21"/>
              </w:rPr>
            </w:pPr>
            <w:r>
              <w:rPr>
                <w:rFonts w:hint="eastAsia" w:hAnsi="宋体"/>
                <w:szCs w:val="21"/>
              </w:rPr>
              <w:t>谈判响应书响应性</w:t>
            </w:r>
          </w:p>
        </w:tc>
        <w:tc>
          <w:tcPr>
            <w:tcW w:w="50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szCs w:val="21"/>
              </w:rPr>
            </w:pPr>
            <w:r>
              <w:rPr>
                <w:rFonts w:hint="eastAsia" w:hAnsi="宋体"/>
                <w:szCs w:val="21"/>
              </w:rPr>
              <w:t>谈判响应书对法律、法规和竞争性谈判采购文件其他明确要求的符合性。</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szCs w:val="21"/>
              </w:rPr>
            </w:pPr>
            <w:r>
              <w:rPr>
                <w:rFonts w:hint="eastAsia" w:hAnsi="宋体"/>
                <w:szCs w:val="21"/>
              </w:rPr>
              <w:t>□符合</w:t>
            </w:r>
          </w:p>
          <w:p>
            <w:pPr>
              <w:widowControl/>
              <w:spacing w:line="360" w:lineRule="auto"/>
              <w:jc w:val="center"/>
              <w:rPr>
                <w:rFonts w:hAnsi="宋体"/>
                <w:szCs w:val="21"/>
              </w:rPr>
            </w:pPr>
            <w:r>
              <w:rPr>
                <w:rFonts w:hint="eastAsia" w:hAnsi="宋体"/>
                <w:szCs w:val="21"/>
              </w:rPr>
              <w:t>□不符合</w:t>
            </w:r>
          </w:p>
        </w:tc>
        <w:tc>
          <w:tcPr>
            <w:tcW w:w="49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FF0000"/>
                <w:szCs w:val="21"/>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FF0000"/>
                <w:szCs w:val="21"/>
              </w:rPr>
            </w:pPr>
          </w:p>
        </w:tc>
        <w:tc>
          <w:tcPr>
            <w:tcW w:w="50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b/>
                <w:color w:val="FF0000"/>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szCs w:val="21"/>
              </w:rPr>
            </w:pPr>
          </w:p>
        </w:tc>
        <w:tc>
          <w:tcPr>
            <w:tcW w:w="49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6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r>
              <w:rPr>
                <w:rFonts w:hint="eastAsia" w:hAnsi="宋体"/>
                <w:szCs w:val="21"/>
              </w:rPr>
              <w:t>最终结论：</w:t>
            </w:r>
          </w:p>
        </w:tc>
        <w:tc>
          <w:tcPr>
            <w:tcW w:w="68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szCs w:val="21"/>
              </w:rPr>
            </w:pPr>
            <w:r>
              <w:rPr>
                <w:rFonts w:hint="eastAsia" w:hAnsi="宋体"/>
                <w:szCs w:val="21"/>
              </w:rPr>
              <w:t>以上5条中有一条不符合即为不合格供应商</w:t>
            </w:r>
          </w:p>
        </w:tc>
      </w:tr>
    </w:tbl>
    <w:p>
      <w:pPr>
        <w:rPr>
          <w:rFonts w:hint="eastAsia" w:hAnsi="宋体"/>
          <w:b/>
          <w:szCs w:val="28"/>
        </w:rPr>
      </w:pPr>
      <w:r>
        <w:rPr>
          <w:rFonts w:hint="eastAsia" w:hAnsi="宋体"/>
          <w:b/>
          <w:szCs w:val="28"/>
        </w:rPr>
        <w:t>注：以上证书均应在有效期内</w:t>
      </w:r>
    </w:p>
    <w:p>
      <w:pPr>
        <w:pStyle w:val="2"/>
        <w:rPr>
          <w:rFonts w:hint="eastAsia" w:hAnsi="宋体"/>
          <w:b/>
          <w:szCs w:val="28"/>
        </w:rPr>
      </w:pPr>
    </w:p>
    <w:p>
      <w:pPr>
        <w:spacing w:line="360" w:lineRule="auto"/>
        <w:ind w:firstLine="480" w:firstLineChars="200"/>
        <w:rPr>
          <w:rFonts w:ascii="宋体" w:hAnsi="宋体" w:cs="宋体"/>
          <w:color w:val="000000"/>
          <w:sz w:val="24"/>
        </w:rPr>
      </w:pPr>
    </w:p>
    <w:p>
      <w:pPr>
        <w:pStyle w:val="2"/>
        <w:rPr>
          <w:rFonts w:ascii="宋体" w:hAnsi="宋体" w:cs="宋体"/>
          <w:color w:val="000000"/>
          <w:sz w:val="24"/>
        </w:rPr>
      </w:pPr>
    </w:p>
    <w:p>
      <w:pPr>
        <w:pStyle w:val="5"/>
        <w:rPr>
          <w:rFonts w:ascii="宋体" w:hAnsi="宋体" w:cs="宋体"/>
          <w:color w:val="000000"/>
          <w:sz w:val="24"/>
        </w:rPr>
      </w:pPr>
    </w:p>
    <w:p>
      <w:pPr>
        <w:rPr>
          <w:rFonts w:ascii="宋体" w:hAnsi="宋体" w:cs="宋体"/>
          <w:color w:val="000000"/>
          <w:sz w:val="24"/>
        </w:rPr>
      </w:pPr>
    </w:p>
    <w:p>
      <w:pPr>
        <w:pStyle w:val="2"/>
        <w:rPr>
          <w:rFonts w:ascii="宋体" w:hAnsi="宋体" w:cs="宋体"/>
          <w:color w:val="000000"/>
          <w:sz w:val="24"/>
        </w:rPr>
      </w:pPr>
    </w:p>
    <w:p>
      <w:pPr>
        <w:pStyle w:val="5"/>
        <w:rPr>
          <w:rFonts w:ascii="宋体" w:hAnsi="宋体" w:cs="宋体"/>
          <w:color w:val="000000"/>
          <w:sz w:val="24"/>
        </w:rPr>
      </w:pPr>
    </w:p>
    <w:p>
      <w:pPr>
        <w:rPr>
          <w:rFonts w:ascii="宋体" w:hAnsi="宋体" w:cs="宋体"/>
          <w:color w:val="000000"/>
          <w:sz w:val="24"/>
        </w:rPr>
      </w:pPr>
    </w:p>
    <w:p>
      <w:pPr>
        <w:pStyle w:val="2"/>
        <w:rPr>
          <w:rFonts w:ascii="宋体" w:hAnsi="宋体" w:cs="宋体"/>
          <w:color w:val="000000"/>
          <w:sz w:val="24"/>
        </w:rPr>
      </w:pPr>
    </w:p>
    <w:p>
      <w:pPr>
        <w:pStyle w:val="5"/>
        <w:rPr>
          <w:rFonts w:ascii="宋体" w:hAnsi="宋体" w:cs="宋体"/>
          <w:color w:val="000000"/>
          <w:sz w:val="24"/>
        </w:rPr>
      </w:pPr>
    </w:p>
    <w:p>
      <w:pPr>
        <w:rPr>
          <w:rFonts w:ascii="宋体" w:hAnsi="宋体" w:cs="宋体"/>
          <w:color w:val="000000"/>
          <w:sz w:val="24"/>
        </w:rPr>
      </w:pPr>
    </w:p>
    <w:p>
      <w:pPr>
        <w:pStyle w:val="2"/>
        <w:rPr>
          <w:rFonts w:ascii="宋体" w:hAnsi="宋体" w:cs="宋体"/>
          <w:color w:val="000000"/>
          <w:sz w:val="24"/>
        </w:rPr>
      </w:pPr>
    </w:p>
    <w:p>
      <w:pPr>
        <w:pStyle w:val="5"/>
        <w:rPr>
          <w:rFonts w:ascii="宋体" w:hAnsi="宋体" w:cs="宋体"/>
          <w:color w:val="000000"/>
          <w:sz w:val="24"/>
        </w:rPr>
      </w:pPr>
    </w:p>
    <w:p>
      <w:pPr>
        <w:rPr>
          <w:rFonts w:ascii="宋体" w:hAnsi="宋体" w:cs="宋体"/>
          <w:color w:val="000000"/>
          <w:sz w:val="24"/>
        </w:rPr>
      </w:pPr>
    </w:p>
    <w:p>
      <w:pPr>
        <w:pStyle w:val="2"/>
        <w:rPr>
          <w:rFonts w:ascii="宋体" w:hAnsi="宋体" w:cs="宋体"/>
          <w:color w:val="000000"/>
          <w:sz w:val="24"/>
        </w:rPr>
      </w:pPr>
    </w:p>
    <w:p>
      <w:pPr>
        <w:pStyle w:val="5"/>
        <w:rPr>
          <w:rFonts w:ascii="宋体" w:hAnsi="宋体" w:cs="宋体"/>
          <w:color w:val="000000"/>
          <w:sz w:val="24"/>
        </w:rPr>
      </w:pPr>
    </w:p>
    <w:p>
      <w:pPr>
        <w:rPr>
          <w:rFonts w:ascii="宋体" w:hAnsi="宋体" w:cs="宋体"/>
          <w:color w:val="000000"/>
          <w:sz w:val="24"/>
        </w:rPr>
      </w:pPr>
    </w:p>
    <w:p>
      <w:pPr>
        <w:pStyle w:val="2"/>
        <w:rPr>
          <w:rFonts w:ascii="宋体" w:hAnsi="宋体" w:cs="宋体"/>
          <w:color w:val="000000"/>
          <w:sz w:val="24"/>
        </w:rPr>
      </w:pPr>
    </w:p>
    <w:p>
      <w:pPr>
        <w:pStyle w:val="5"/>
        <w:rPr>
          <w:rFonts w:ascii="宋体" w:hAnsi="宋体" w:cs="宋体"/>
          <w:color w:val="000000"/>
          <w:sz w:val="24"/>
        </w:rPr>
      </w:pPr>
    </w:p>
    <w:p>
      <w:pPr>
        <w:rPr>
          <w:rFonts w:ascii="宋体" w:hAnsi="宋体" w:cs="宋体"/>
          <w:color w:val="000000"/>
          <w:sz w:val="24"/>
        </w:rPr>
      </w:pPr>
    </w:p>
    <w:p>
      <w:pPr>
        <w:pStyle w:val="2"/>
        <w:rPr>
          <w:rFonts w:ascii="宋体" w:hAnsi="宋体" w:cs="宋体"/>
          <w:color w:val="000000"/>
          <w:sz w:val="24"/>
        </w:rPr>
      </w:pPr>
    </w:p>
    <w:p>
      <w:pPr>
        <w:pStyle w:val="5"/>
        <w:rPr>
          <w:rFonts w:ascii="宋体" w:hAnsi="宋体" w:cs="宋体"/>
          <w:color w:val="000000"/>
          <w:sz w:val="24"/>
        </w:rPr>
      </w:pPr>
    </w:p>
    <w:p>
      <w:pPr>
        <w:rPr>
          <w:rFonts w:ascii="宋体" w:hAnsi="宋体" w:cs="宋体"/>
          <w:color w:val="000000"/>
          <w:sz w:val="24"/>
        </w:rPr>
      </w:pPr>
    </w:p>
    <w:p>
      <w:pPr>
        <w:pStyle w:val="2"/>
        <w:rPr>
          <w:rFonts w:ascii="宋体" w:hAnsi="宋体" w:cs="宋体"/>
          <w:color w:val="000000"/>
          <w:sz w:val="24"/>
        </w:rPr>
      </w:pPr>
    </w:p>
    <w:p>
      <w:pPr>
        <w:pStyle w:val="5"/>
        <w:rPr>
          <w:rFonts w:ascii="宋体" w:hAnsi="宋体" w:cs="宋体"/>
          <w:color w:val="000000"/>
          <w:sz w:val="24"/>
        </w:rPr>
      </w:pPr>
    </w:p>
    <w:p>
      <w:pPr>
        <w:rPr>
          <w:rFonts w:ascii="宋体" w:hAnsi="宋体" w:cs="宋体"/>
          <w:color w:val="000000"/>
          <w:sz w:val="24"/>
        </w:rPr>
      </w:pPr>
    </w:p>
    <w:p>
      <w:pPr>
        <w:pStyle w:val="2"/>
        <w:rPr>
          <w:rFonts w:ascii="宋体" w:hAnsi="宋体" w:cs="宋体"/>
          <w:color w:val="000000"/>
          <w:sz w:val="24"/>
        </w:rPr>
      </w:pPr>
    </w:p>
    <w:p>
      <w:pPr>
        <w:pStyle w:val="5"/>
        <w:rPr>
          <w:rFonts w:ascii="宋体" w:hAnsi="宋体" w:cs="宋体"/>
          <w:color w:val="000000"/>
          <w:sz w:val="24"/>
        </w:rPr>
      </w:pPr>
    </w:p>
    <w:p>
      <w:pPr>
        <w:rPr>
          <w:rFonts w:ascii="宋体" w:hAnsi="宋体" w:cs="宋体"/>
          <w:color w:val="000000"/>
          <w:sz w:val="24"/>
        </w:rPr>
      </w:pPr>
    </w:p>
    <w:p>
      <w:pPr>
        <w:spacing w:line="360" w:lineRule="auto"/>
        <w:jc w:val="center"/>
        <w:rPr>
          <w:rFonts w:ascii="宋体" w:hAnsi="宋体"/>
          <w:b/>
          <w:color w:val="000000"/>
          <w:sz w:val="32"/>
          <w:szCs w:val="32"/>
        </w:rPr>
      </w:pPr>
      <w:r>
        <w:rPr>
          <w:rFonts w:hint="eastAsia" w:ascii="宋体" w:hAnsi="宋体"/>
          <w:b/>
          <w:color w:val="000000"/>
          <w:sz w:val="32"/>
          <w:szCs w:val="32"/>
        </w:rPr>
        <w:t>第三章</w:t>
      </w:r>
      <w:r>
        <w:rPr>
          <w:rFonts w:hint="eastAsia" w:ascii="宋体" w:hAnsi="宋体"/>
          <w:b/>
          <w:color w:val="000000"/>
          <w:sz w:val="32"/>
          <w:szCs w:val="32"/>
          <w:lang w:val="en-US" w:eastAsia="zh-CN"/>
        </w:rPr>
        <w:t xml:space="preserve"> </w:t>
      </w:r>
      <w:r>
        <w:rPr>
          <w:rFonts w:hint="eastAsia" w:ascii="宋体" w:hAnsi="宋体"/>
          <w:b/>
          <w:color w:val="000000"/>
          <w:sz w:val="32"/>
          <w:szCs w:val="32"/>
        </w:rPr>
        <w:t>谈判响应书格式要求</w:t>
      </w:r>
    </w:p>
    <w:p>
      <w:pPr>
        <w:tabs>
          <w:tab w:val="left" w:pos="0"/>
        </w:tabs>
        <w:spacing w:beforeLines="15" w:afterLines="15" w:line="360" w:lineRule="auto"/>
        <w:ind w:right="73" w:rightChars="35"/>
        <w:jc w:val="center"/>
        <w:rPr>
          <w:rFonts w:hAnsi="宋体"/>
          <w:b/>
          <w:sz w:val="24"/>
        </w:rPr>
      </w:pPr>
      <w:r>
        <w:rPr>
          <w:rFonts w:hint="eastAsia" w:hAnsi="宋体"/>
          <w:b/>
          <w:sz w:val="24"/>
        </w:rPr>
        <w:t>一、谈判响应函</w:t>
      </w:r>
    </w:p>
    <w:p>
      <w:pPr>
        <w:tabs>
          <w:tab w:val="left" w:pos="0"/>
        </w:tabs>
        <w:spacing w:beforeLines="55" w:afterLines="55" w:line="360" w:lineRule="auto"/>
        <w:ind w:right="73" w:rightChars="35"/>
        <w:rPr>
          <w:rFonts w:hAnsi="宋体"/>
          <w:sz w:val="24"/>
        </w:rPr>
      </w:pPr>
      <w:r>
        <w:rPr>
          <w:rFonts w:hint="eastAsia" w:hAnsi="宋体"/>
          <w:sz w:val="24"/>
        </w:rPr>
        <w:t>(采购人名称)：</w:t>
      </w:r>
    </w:p>
    <w:p>
      <w:pPr>
        <w:tabs>
          <w:tab w:val="left" w:pos="0"/>
        </w:tabs>
        <w:spacing w:beforeLines="25" w:afterLines="25" w:line="360" w:lineRule="auto"/>
        <w:ind w:right="73" w:rightChars="35" w:firstLine="360" w:firstLineChars="150"/>
        <w:rPr>
          <w:rFonts w:hAnsi="宋体"/>
          <w:sz w:val="24"/>
        </w:rPr>
      </w:pPr>
      <w:r>
        <w:rPr>
          <w:rFonts w:hint="eastAsia" w:hAnsi="宋体"/>
          <w:sz w:val="24"/>
        </w:rPr>
        <w:t xml:space="preserve"> 1.我方已仔细研究(项目名称)竞争性谈判采购文件的全部内容(含补遗书)，在考察现场后，愿意以人民币(大写)元(￥)的总报价(或根据竞争性谈判采购文件规定修正核实后确定的另一金额)。</w:t>
      </w:r>
    </w:p>
    <w:p>
      <w:pPr>
        <w:tabs>
          <w:tab w:val="left" w:pos="0"/>
        </w:tabs>
        <w:spacing w:beforeLines="25" w:afterLines="25" w:line="360" w:lineRule="auto"/>
        <w:ind w:right="73" w:rightChars="35"/>
        <w:rPr>
          <w:rFonts w:hAnsi="宋体"/>
          <w:sz w:val="24"/>
        </w:rPr>
      </w:pPr>
      <w:r>
        <w:rPr>
          <w:rFonts w:hint="eastAsia" w:hAnsi="宋体"/>
          <w:sz w:val="24"/>
        </w:rPr>
        <w:t xml:space="preserve">    2.我方承诺在谈判有效期内不修改、撤销谈判报价文件。</w:t>
      </w:r>
    </w:p>
    <w:p>
      <w:pPr>
        <w:tabs>
          <w:tab w:val="left" w:pos="0"/>
        </w:tabs>
        <w:spacing w:beforeLines="25" w:afterLines="25" w:line="360" w:lineRule="auto"/>
        <w:ind w:left="480" w:right="73" w:rightChars="35" w:hanging="480" w:hangingChars="200"/>
        <w:rPr>
          <w:rFonts w:hAnsi="宋体"/>
          <w:sz w:val="24"/>
        </w:rPr>
      </w:pPr>
      <w:r>
        <w:rPr>
          <w:rFonts w:hint="eastAsia" w:hAnsi="宋体"/>
          <w:sz w:val="24"/>
        </w:rPr>
        <w:t xml:space="preserve">    3.随同本谈判响应函提交谈判响应保证金一份，金额为人民币(大写)元</w:t>
      </w:r>
    </w:p>
    <w:p>
      <w:pPr>
        <w:tabs>
          <w:tab w:val="left" w:pos="0"/>
        </w:tabs>
        <w:spacing w:beforeLines="25" w:afterLines="25" w:line="360" w:lineRule="auto"/>
        <w:ind w:left="480" w:right="73" w:rightChars="35" w:hanging="480" w:hangingChars="200"/>
        <w:rPr>
          <w:rFonts w:hAnsi="宋体"/>
          <w:sz w:val="24"/>
        </w:rPr>
      </w:pPr>
      <w:r>
        <w:rPr>
          <w:rFonts w:hint="eastAsia" w:hAnsi="宋体"/>
          <w:sz w:val="24"/>
        </w:rPr>
        <w:t>(￥)。</w:t>
      </w:r>
    </w:p>
    <w:p>
      <w:pPr>
        <w:tabs>
          <w:tab w:val="left" w:pos="0"/>
        </w:tabs>
        <w:spacing w:beforeLines="25" w:afterLines="25" w:line="360" w:lineRule="auto"/>
        <w:ind w:right="73" w:rightChars="35"/>
        <w:rPr>
          <w:rFonts w:hAnsi="宋体"/>
          <w:sz w:val="24"/>
        </w:rPr>
      </w:pPr>
      <w:r>
        <w:rPr>
          <w:rFonts w:hint="eastAsia" w:hAnsi="宋体"/>
          <w:sz w:val="24"/>
        </w:rPr>
        <w:t xml:space="preserve">    4.如我方中标：</w:t>
      </w:r>
    </w:p>
    <w:p>
      <w:pPr>
        <w:tabs>
          <w:tab w:val="left" w:pos="0"/>
        </w:tabs>
        <w:spacing w:beforeLines="25" w:afterLines="25" w:line="360" w:lineRule="auto"/>
        <w:ind w:right="73" w:rightChars="35"/>
        <w:rPr>
          <w:rFonts w:hAnsi="宋体"/>
          <w:sz w:val="24"/>
        </w:rPr>
      </w:pPr>
      <w:r>
        <w:rPr>
          <w:rFonts w:hint="eastAsia" w:hAnsi="宋体"/>
          <w:sz w:val="24"/>
        </w:rPr>
        <w:t xml:space="preserve">    (1)我方承诺在收到成交通知书后，在成交通知书规定的期限内与你方签订合同。</w:t>
      </w:r>
    </w:p>
    <w:p>
      <w:pPr>
        <w:tabs>
          <w:tab w:val="left" w:pos="0"/>
        </w:tabs>
        <w:spacing w:beforeLines="25" w:afterLines="25" w:line="360" w:lineRule="auto"/>
        <w:ind w:right="73" w:rightChars="35"/>
        <w:rPr>
          <w:rFonts w:hAnsi="宋体"/>
          <w:sz w:val="24"/>
        </w:rPr>
      </w:pPr>
      <w:r>
        <w:rPr>
          <w:rFonts w:hint="eastAsia" w:hAnsi="宋体"/>
          <w:sz w:val="24"/>
        </w:rPr>
        <w:t xml:space="preserve">    (2)我方承诺按照谈判响应书规定向你方递交履约担保。</w:t>
      </w:r>
    </w:p>
    <w:p>
      <w:pPr>
        <w:tabs>
          <w:tab w:val="left" w:pos="0"/>
        </w:tabs>
        <w:spacing w:beforeLines="25" w:afterLines="25" w:line="360" w:lineRule="auto"/>
        <w:ind w:right="73" w:rightChars="35"/>
        <w:rPr>
          <w:rFonts w:hAnsi="宋体"/>
          <w:sz w:val="24"/>
        </w:rPr>
      </w:pPr>
      <w:r>
        <w:rPr>
          <w:rFonts w:hint="eastAsia" w:hAnsi="宋体"/>
          <w:sz w:val="24"/>
        </w:rPr>
        <w:t xml:space="preserve">    (3)我方承诺在合同约定的期限内完成并移交全部合同内容。</w:t>
      </w:r>
    </w:p>
    <w:p>
      <w:pPr>
        <w:tabs>
          <w:tab w:val="left" w:pos="0"/>
        </w:tabs>
        <w:spacing w:beforeLines="25" w:afterLines="25" w:line="360" w:lineRule="auto"/>
        <w:ind w:right="73" w:rightChars="35"/>
        <w:rPr>
          <w:rFonts w:hAnsi="宋体"/>
          <w:sz w:val="24"/>
        </w:rPr>
      </w:pPr>
      <w:r>
        <w:rPr>
          <w:rFonts w:hint="eastAsia" w:hAnsi="宋体"/>
          <w:sz w:val="24"/>
        </w:rPr>
        <w:t xml:space="preserve">    5.我方在此声明，所递交的谈判报价文件及有关资料内容完整、真实、有效和准确。</w:t>
      </w:r>
    </w:p>
    <w:p>
      <w:pPr>
        <w:tabs>
          <w:tab w:val="left" w:pos="0"/>
        </w:tabs>
        <w:spacing w:beforeLines="25" w:afterLines="25" w:line="360" w:lineRule="auto"/>
        <w:ind w:right="73" w:rightChars="35"/>
        <w:rPr>
          <w:rFonts w:hAnsi="宋体"/>
          <w:sz w:val="24"/>
        </w:rPr>
      </w:pPr>
      <w:r>
        <w:rPr>
          <w:rFonts w:hint="eastAsia" w:hAnsi="宋体"/>
          <w:sz w:val="24"/>
        </w:rPr>
        <w:t xml:space="preserve">    6.在合同协议书正式签署生效之前，本谈判响应函连同你方的成交通知书将构成我们双方之间共同遵守的文件，对双方具有约束力。</w:t>
      </w:r>
    </w:p>
    <w:p>
      <w:pPr>
        <w:tabs>
          <w:tab w:val="left" w:pos="0"/>
        </w:tabs>
        <w:spacing w:beforeLines="25" w:afterLines="25" w:line="360" w:lineRule="auto"/>
        <w:ind w:left="540" w:right="73" w:rightChars="35"/>
        <w:rPr>
          <w:rFonts w:hAnsi="宋体"/>
          <w:sz w:val="24"/>
        </w:rPr>
      </w:pPr>
      <w:r>
        <w:rPr>
          <w:rFonts w:hint="eastAsia" w:hAnsi="宋体"/>
          <w:sz w:val="24"/>
        </w:rPr>
        <w:t>7.(其他补充说明)。</w:t>
      </w:r>
    </w:p>
    <w:p>
      <w:pPr>
        <w:tabs>
          <w:tab w:val="left" w:pos="0"/>
        </w:tabs>
        <w:spacing w:beforeLines="15" w:afterLines="15" w:line="360" w:lineRule="auto"/>
        <w:ind w:right="-693" w:rightChars="-330"/>
        <w:rPr>
          <w:rFonts w:hAnsi="宋体"/>
          <w:sz w:val="24"/>
        </w:rPr>
      </w:pPr>
    </w:p>
    <w:p>
      <w:pPr>
        <w:tabs>
          <w:tab w:val="left" w:pos="0"/>
          <w:tab w:val="left" w:pos="1004"/>
        </w:tabs>
        <w:spacing w:beforeLines="15" w:afterLines="15" w:line="360" w:lineRule="auto"/>
        <w:ind w:right="73" w:rightChars="35" w:firstLine="2796" w:firstLineChars="1165"/>
        <w:rPr>
          <w:rFonts w:hAnsi="宋体"/>
          <w:sz w:val="24"/>
        </w:rPr>
      </w:pPr>
      <w:r>
        <w:rPr>
          <w:rFonts w:hint="eastAsia" w:hAnsi="宋体"/>
          <w:sz w:val="24"/>
        </w:rPr>
        <w:t>供应商：(盖单位章)</w:t>
      </w:r>
    </w:p>
    <w:p>
      <w:pPr>
        <w:tabs>
          <w:tab w:val="left" w:pos="0"/>
          <w:tab w:val="left" w:pos="1004"/>
        </w:tabs>
        <w:spacing w:beforeLines="15" w:afterLines="15" w:line="360" w:lineRule="auto"/>
        <w:ind w:right="73" w:rightChars="35" w:firstLine="2796" w:firstLineChars="1165"/>
        <w:rPr>
          <w:rFonts w:hAnsi="宋体"/>
          <w:sz w:val="24"/>
        </w:rPr>
      </w:pPr>
      <w:r>
        <w:rPr>
          <w:rFonts w:hint="eastAsia" w:hAnsi="宋体"/>
          <w:sz w:val="24"/>
        </w:rPr>
        <w:t>法定代表人或其委托代理人：(签字)</w:t>
      </w:r>
    </w:p>
    <w:p>
      <w:pPr>
        <w:tabs>
          <w:tab w:val="left" w:pos="0"/>
          <w:tab w:val="left" w:pos="1004"/>
        </w:tabs>
        <w:spacing w:beforeLines="15" w:afterLines="15" w:line="360" w:lineRule="auto"/>
        <w:ind w:right="73" w:rightChars="35" w:firstLine="2796" w:firstLineChars="1165"/>
        <w:rPr>
          <w:rFonts w:hAnsi="宋体"/>
          <w:sz w:val="24"/>
        </w:rPr>
      </w:pPr>
      <w:r>
        <w:rPr>
          <w:rFonts w:hint="eastAsia" w:hAnsi="宋体"/>
          <w:sz w:val="24"/>
        </w:rPr>
        <w:t>地址：</w:t>
      </w:r>
    </w:p>
    <w:p>
      <w:pPr>
        <w:tabs>
          <w:tab w:val="left" w:pos="0"/>
          <w:tab w:val="left" w:pos="1004"/>
        </w:tabs>
        <w:spacing w:beforeLines="15" w:afterLines="15" w:line="360" w:lineRule="auto"/>
        <w:ind w:right="73" w:rightChars="35" w:firstLine="2796" w:firstLineChars="1165"/>
        <w:rPr>
          <w:rFonts w:hAnsi="宋体"/>
          <w:sz w:val="24"/>
        </w:rPr>
      </w:pPr>
      <w:r>
        <w:rPr>
          <w:rFonts w:hint="eastAsia" w:hAnsi="宋体"/>
          <w:sz w:val="24"/>
        </w:rPr>
        <w:t>电话：</w:t>
      </w:r>
    </w:p>
    <w:p>
      <w:pPr>
        <w:tabs>
          <w:tab w:val="left" w:pos="0"/>
          <w:tab w:val="left" w:pos="1004"/>
        </w:tabs>
        <w:spacing w:beforeLines="15" w:afterLines="15" w:line="360" w:lineRule="auto"/>
        <w:ind w:right="73" w:rightChars="35" w:firstLine="2796" w:firstLineChars="1165"/>
        <w:rPr>
          <w:rFonts w:hAnsi="宋体"/>
          <w:sz w:val="24"/>
        </w:rPr>
      </w:pPr>
      <w:r>
        <w:rPr>
          <w:rFonts w:hint="eastAsia" w:hAnsi="宋体"/>
          <w:sz w:val="24"/>
        </w:rPr>
        <w:t>传真：</w:t>
      </w:r>
    </w:p>
    <w:p>
      <w:pPr>
        <w:tabs>
          <w:tab w:val="left" w:pos="0"/>
          <w:tab w:val="left" w:pos="1004"/>
        </w:tabs>
        <w:spacing w:beforeLines="15" w:afterLines="15" w:line="360" w:lineRule="auto"/>
        <w:ind w:right="73" w:rightChars="35" w:firstLine="2796" w:firstLineChars="1165"/>
        <w:rPr>
          <w:rFonts w:hAnsi="宋体"/>
          <w:sz w:val="24"/>
          <w:u w:val="single"/>
        </w:rPr>
      </w:pPr>
      <w:r>
        <w:rPr>
          <w:rFonts w:hint="eastAsia" w:hAnsi="宋体"/>
          <w:sz w:val="24"/>
        </w:rPr>
        <w:t>邮政编码：</w:t>
      </w:r>
    </w:p>
    <w:p>
      <w:pPr>
        <w:tabs>
          <w:tab w:val="left" w:pos="0"/>
          <w:tab w:val="left" w:pos="1004"/>
        </w:tabs>
        <w:spacing w:beforeLines="15" w:afterLines="15" w:line="360" w:lineRule="auto"/>
        <w:ind w:right="73" w:rightChars="35" w:firstLine="2796" w:firstLineChars="1165"/>
        <w:jc w:val="right"/>
        <w:rPr>
          <w:rFonts w:hAnsi="宋体"/>
          <w:sz w:val="24"/>
        </w:rPr>
      </w:pPr>
      <w:r>
        <w:rPr>
          <w:rFonts w:hint="eastAsia" w:hAnsi="宋体"/>
          <w:sz w:val="24"/>
        </w:rPr>
        <w:t>年月日</w:t>
      </w:r>
    </w:p>
    <w:p>
      <w:pPr>
        <w:tabs>
          <w:tab w:val="left" w:pos="0"/>
        </w:tabs>
        <w:spacing w:beforeLines="15" w:afterLines="15" w:line="360" w:lineRule="auto"/>
        <w:ind w:right="-288" w:rightChars="-137"/>
        <w:rPr>
          <w:rFonts w:hAnsi="宋体"/>
          <w:b/>
          <w:sz w:val="24"/>
        </w:rPr>
        <w:sectPr>
          <w:pgSz w:w="11907" w:h="16840"/>
          <w:pgMar w:top="1440" w:right="1518" w:bottom="1440" w:left="1253" w:header="851" w:footer="992" w:gutter="0"/>
          <w:pgNumType w:fmt="numberInDash"/>
          <w:cols w:space="720" w:num="1"/>
          <w:titlePg/>
          <w:docGrid w:linePitch="380" w:charSpace="-5735"/>
        </w:sectPr>
      </w:pPr>
    </w:p>
    <w:p>
      <w:pPr>
        <w:tabs>
          <w:tab w:val="left" w:pos="0"/>
        </w:tabs>
        <w:spacing w:beforeLines="15" w:afterLines="15" w:line="360" w:lineRule="auto"/>
        <w:ind w:right="-288" w:rightChars="-137"/>
        <w:jc w:val="center"/>
        <w:rPr>
          <w:rFonts w:hAnsi="宋体"/>
          <w:b/>
          <w:sz w:val="24"/>
        </w:rPr>
      </w:pPr>
      <w:r>
        <w:rPr>
          <w:rFonts w:hint="eastAsia" w:hAnsi="宋体"/>
          <w:b/>
          <w:sz w:val="24"/>
        </w:rPr>
        <w:t>二、法定代表人身份证明及授权委托书（如果授权）</w:t>
      </w:r>
    </w:p>
    <w:p>
      <w:pPr>
        <w:spacing w:line="360" w:lineRule="auto"/>
        <w:ind w:left="393" w:leftChars="187"/>
        <w:jc w:val="center"/>
        <w:rPr>
          <w:rFonts w:hAnsi="宋体"/>
          <w:b/>
          <w:sz w:val="24"/>
        </w:rPr>
      </w:pPr>
    </w:p>
    <w:p>
      <w:pPr>
        <w:tabs>
          <w:tab w:val="left" w:pos="0"/>
        </w:tabs>
        <w:spacing w:beforeLines="15" w:afterLines="15" w:line="360" w:lineRule="auto"/>
        <w:ind w:right="-288" w:rightChars="-137"/>
        <w:jc w:val="center"/>
        <w:rPr>
          <w:rFonts w:hAnsi="宋体"/>
          <w:b/>
          <w:sz w:val="24"/>
        </w:rPr>
      </w:pPr>
      <w:r>
        <w:rPr>
          <w:rFonts w:hint="eastAsia" w:hAnsi="宋体"/>
          <w:b/>
          <w:sz w:val="24"/>
        </w:rPr>
        <w:t>(一)法定代表人身份证明</w:t>
      </w:r>
    </w:p>
    <w:p>
      <w:pPr>
        <w:tabs>
          <w:tab w:val="left" w:pos="0"/>
        </w:tabs>
        <w:spacing w:beforeLines="15" w:afterLines="15" w:line="360" w:lineRule="auto"/>
        <w:ind w:right="-288" w:rightChars="-137"/>
        <w:jc w:val="center"/>
        <w:rPr>
          <w:rFonts w:hAnsi="宋体"/>
          <w:b/>
          <w:sz w:val="24"/>
        </w:rPr>
      </w:pPr>
    </w:p>
    <w:p>
      <w:pPr>
        <w:tabs>
          <w:tab w:val="left" w:pos="0"/>
        </w:tabs>
        <w:spacing w:beforeLines="15" w:afterLines="15" w:line="360" w:lineRule="auto"/>
        <w:ind w:right="-288" w:rightChars="-137"/>
        <w:jc w:val="center"/>
        <w:rPr>
          <w:rFonts w:hAnsi="宋体"/>
          <w:b/>
          <w:sz w:val="24"/>
        </w:rPr>
      </w:pPr>
    </w:p>
    <w:p>
      <w:pPr>
        <w:tabs>
          <w:tab w:val="left" w:pos="0"/>
        </w:tabs>
        <w:spacing w:beforeLines="15" w:afterLines="15" w:line="360" w:lineRule="auto"/>
        <w:ind w:right="73" w:rightChars="35"/>
        <w:rPr>
          <w:rFonts w:hAnsi="宋体"/>
          <w:sz w:val="24"/>
        </w:rPr>
      </w:pPr>
      <w:r>
        <w:rPr>
          <w:rFonts w:hint="eastAsia" w:hAnsi="宋体"/>
          <w:sz w:val="24"/>
        </w:rPr>
        <w:t>供应商名 称：</w:t>
      </w:r>
    </w:p>
    <w:p>
      <w:pPr>
        <w:tabs>
          <w:tab w:val="left" w:pos="0"/>
        </w:tabs>
        <w:spacing w:beforeLines="15" w:afterLines="15" w:line="360" w:lineRule="auto"/>
        <w:ind w:right="73" w:rightChars="35"/>
        <w:rPr>
          <w:rFonts w:hAnsi="宋体"/>
          <w:sz w:val="24"/>
          <w:u w:val="single"/>
        </w:rPr>
      </w:pPr>
      <w:r>
        <w:rPr>
          <w:rFonts w:hint="eastAsia" w:hAnsi="宋体"/>
          <w:sz w:val="24"/>
        </w:rPr>
        <w:t>单 位 性 质：</w:t>
      </w:r>
    </w:p>
    <w:p>
      <w:pPr>
        <w:tabs>
          <w:tab w:val="left" w:pos="0"/>
        </w:tabs>
        <w:spacing w:beforeLines="15" w:afterLines="15" w:line="360" w:lineRule="auto"/>
        <w:ind w:right="73" w:rightChars="35"/>
        <w:rPr>
          <w:rFonts w:hAnsi="宋体"/>
          <w:sz w:val="24"/>
        </w:rPr>
      </w:pPr>
      <w:r>
        <w:rPr>
          <w:rFonts w:hint="eastAsia" w:hAnsi="宋体"/>
          <w:sz w:val="24"/>
        </w:rPr>
        <w:t>地       址：</w:t>
      </w:r>
    </w:p>
    <w:p>
      <w:pPr>
        <w:tabs>
          <w:tab w:val="left" w:pos="0"/>
        </w:tabs>
        <w:spacing w:beforeLines="15" w:afterLines="15" w:line="360" w:lineRule="auto"/>
        <w:ind w:right="73" w:rightChars="35"/>
        <w:rPr>
          <w:rFonts w:hAnsi="宋体"/>
          <w:sz w:val="24"/>
        </w:rPr>
      </w:pPr>
      <w:r>
        <w:rPr>
          <w:rFonts w:hint="eastAsia" w:hAnsi="宋体"/>
          <w:sz w:val="24"/>
        </w:rPr>
        <w:t>成 立 时 间：年月日</w:t>
      </w:r>
    </w:p>
    <w:p>
      <w:pPr>
        <w:tabs>
          <w:tab w:val="left" w:pos="0"/>
        </w:tabs>
        <w:spacing w:beforeLines="15" w:afterLines="15" w:line="360" w:lineRule="auto"/>
        <w:ind w:right="73" w:rightChars="35"/>
        <w:rPr>
          <w:rFonts w:hAnsi="宋体"/>
          <w:sz w:val="24"/>
        </w:rPr>
      </w:pPr>
      <w:r>
        <w:rPr>
          <w:rFonts w:hint="eastAsia" w:hAnsi="宋体"/>
          <w:sz w:val="24"/>
        </w:rPr>
        <w:t>经 营 期 限：</w:t>
      </w:r>
    </w:p>
    <w:p>
      <w:pPr>
        <w:tabs>
          <w:tab w:val="left" w:pos="0"/>
        </w:tabs>
        <w:spacing w:beforeLines="15" w:afterLines="15" w:line="360" w:lineRule="auto"/>
        <w:ind w:right="73" w:rightChars="35"/>
        <w:rPr>
          <w:rFonts w:hAnsi="宋体"/>
          <w:sz w:val="24"/>
          <w:u w:val="single"/>
        </w:rPr>
      </w:pPr>
      <w:r>
        <w:rPr>
          <w:rFonts w:hint="eastAsia" w:hAnsi="宋体"/>
          <w:sz w:val="24"/>
        </w:rPr>
        <w:t>姓名：性别：年龄：职务：系</w:t>
      </w:r>
    </w:p>
    <w:p>
      <w:pPr>
        <w:tabs>
          <w:tab w:val="left" w:pos="0"/>
        </w:tabs>
        <w:spacing w:beforeLines="15" w:afterLines="15" w:line="360" w:lineRule="auto"/>
        <w:ind w:right="73" w:rightChars="35"/>
        <w:rPr>
          <w:rFonts w:hAnsi="宋体"/>
          <w:sz w:val="24"/>
          <w:u w:val="single"/>
        </w:rPr>
      </w:pPr>
      <w:r>
        <w:rPr>
          <w:rFonts w:hint="eastAsia" w:hAnsi="宋体"/>
          <w:sz w:val="24"/>
        </w:rPr>
        <w:t>(供应商名称)的法定代表人。</w:t>
      </w:r>
    </w:p>
    <w:p>
      <w:pPr>
        <w:tabs>
          <w:tab w:val="left" w:pos="0"/>
        </w:tabs>
        <w:spacing w:beforeLines="15" w:afterLines="15" w:line="360" w:lineRule="auto"/>
        <w:ind w:right="73" w:rightChars="35"/>
        <w:rPr>
          <w:rFonts w:hAnsi="宋体"/>
          <w:sz w:val="24"/>
        </w:rPr>
      </w:pPr>
    </w:p>
    <w:p>
      <w:pPr>
        <w:tabs>
          <w:tab w:val="left" w:pos="0"/>
        </w:tabs>
        <w:spacing w:beforeLines="15" w:afterLines="15" w:line="360" w:lineRule="auto"/>
        <w:ind w:right="73" w:rightChars="35"/>
        <w:rPr>
          <w:rFonts w:hAnsi="宋体"/>
          <w:sz w:val="24"/>
        </w:rPr>
      </w:pPr>
      <w:r>
        <w:rPr>
          <w:rFonts w:hint="eastAsia" w:hAnsi="宋体"/>
          <w:sz w:val="24"/>
        </w:rPr>
        <w:t>特此证明。</w:t>
      </w:r>
    </w:p>
    <w:p>
      <w:pPr>
        <w:tabs>
          <w:tab w:val="left" w:pos="0"/>
        </w:tabs>
        <w:spacing w:beforeLines="15" w:afterLines="15" w:line="360" w:lineRule="auto"/>
        <w:ind w:right="73" w:rightChars="35"/>
        <w:rPr>
          <w:rFonts w:hAnsi="宋体"/>
          <w:sz w:val="24"/>
        </w:rPr>
      </w:pPr>
    </w:p>
    <w:p>
      <w:pPr>
        <w:tabs>
          <w:tab w:val="left" w:pos="0"/>
        </w:tabs>
        <w:spacing w:beforeLines="15" w:afterLines="15" w:line="360" w:lineRule="auto"/>
        <w:ind w:right="73" w:rightChars="35"/>
        <w:rPr>
          <w:rFonts w:hAnsi="宋体"/>
          <w:sz w:val="24"/>
        </w:rPr>
      </w:pPr>
    </w:p>
    <w:p>
      <w:pPr>
        <w:tabs>
          <w:tab w:val="left" w:pos="0"/>
        </w:tabs>
        <w:spacing w:beforeLines="15" w:afterLines="15" w:line="360" w:lineRule="auto"/>
        <w:ind w:right="73" w:rightChars="35"/>
        <w:rPr>
          <w:rFonts w:hAnsi="宋体"/>
          <w:sz w:val="24"/>
        </w:rPr>
      </w:pPr>
    </w:p>
    <w:p>
      <w:pPr>
        <w:tabs>
          <w:tab w:val="left" w:pos="0"/>
        </w:tabs>
        <w:spacing w:beforeLines="15" w:afterLines="15" w:line="360" w:lineRule="auto"/>
        <w:ind w:right="73" w:rightChars="35"/>
        <w:rPr>
          <w:rFonts w:hAnsi="宋体"/>
          <w:sz w:val="24"/>
        </w:rPr>
      </w:pPr>
    </w:p>
    <w:p>
      <w:pPr>
        <w:tabs>
          <w:tab w:val="left" w:pos="0"/>
        </w:tabs>
        <w:spacing w:beforeLines="15" w:afterLines="15" w:line="360" w:lineRule="auto"/>
        <w:ind w:right="73" w:rightChars="35" w:firstLine="2796" w:firstLineChars="1165"/>
        <w:rPr>
          <w:rFonts w:hAnsi="宋体"/>
          <w:sz w:val="24"/>
        </w:rPr>
      </w:pPr>
      <w:r>
        <w:rPr>
          <w:rFonts w:hint="eastAsia" w:hAnsi="宋体"/>
          <w:sz w:val="24"/>
        </w:rPr>
        <w:t>供应商：(盖单位章)</w:t>
      </w:r>
    </w:p>
    <w:p>
      <w:pPr>
        <w:tabs>
          <w:tab w:val="left" w:pos="0"/>
        </w:tabs>
        <w:spacing w:beforeLines="15" w:afterLines="15" w:line="360" w:lineRule="auto"/>
        <w:ind w:right="73" w:rightChars="35" w:firstLine="2796" w:firstLineChars="1165"/>
        <w:rPr>
          <w:rFonts w:hAnsi="宋体"/>
          <w:sz w:val="24"/>
        </w:rPr>
      </w:pPr>
      <w:r>
        <w:rPr>
          <w:rFonts w:hint="eastAsia" w:hAnsi="宋体"/>
          <w:sz w:val="24"/>
        </w:rPr>
        <w:t>年月日</w:t>
      </w:r>
    </w:p>
    <w:p>
      <w:pPr>
        <w:spacing w:line="360" w:lineRule="auto"/>
        <w:ind w:left="393" w:leftChars="187"/>
        <w:rPr>
          <w:rFonts w:hAnsi="宋体"/>
          <w:sz w:val="24"/>
        </w:rPr>
      </w:pPr>
    </w:p>
    <w:p>
      <w:pPr>
        <w:spacing w:line="360" w:lineRule="auto"/>
        <w:jc w:val="center"/>
        <w:rPr>
          <w:rFonts w:hAnsi="宋体"/>
          <w:b/>
          <w:sz w:val="24"/>
        </w:rPr>
      </w:pPr>
    </w:p>
    <w:p>
      <w:pPr>
        <w:spacing w:line="360" w:lineRule="auto"/>
        <w:jc w:val="center"/>
        <w:rPr>
          <w:rFonts w:hAnsi="宋体"/>
          <w:b/>
          <w:sz w:val="24"/>
        </w:rPr>
      </w:pPr>
    </w:p>
    <w:tbl>
      <w:tblPr>
        <w:tblStyle w:val="13"/>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310" w:type="dxa"/>
          </w:tcPr>
          <w:p>
            <w:pPr>
              <w:tabs>
                <w:tab w:val="left" w:pos="2730"/>
              </w:tabs>
              <w:spacing w:line="360" w:lineRule="auto"/>
              <w:ind w:firstLine="2277" w:firstLineChars="945"/>
              <w:outlineLvl w:val="1"/>
              <w:rPr>
                <w:rFonts w:hAnsi="宋体" w:cs="宋体"/>
                <w:b/>
                <w:sz w:val="24"/>
              </w:rPr>
            </w:pPr>
          </w:p>
          <w:p>
            <w:pPr>
              <w:tabs>
                <w:tab w:val="left" w:pos="2730"/>
              </w:tabs>
              <w:spacing w:line="360" w:lineRule="auto"/>
              <w:ind w:firstLine="2277" w:firstLineChars="945"/>
              <w:outlineLvl w:val="1"/>
              <w:rPr>
                <w:rFonts w:hAnsi="宋体" w:cs="宋体"/>
                <w:b/>
                <w:sz w:val="24"/>
              </w:rPr>
            </w:pPr>
            <w:r>
              <w:rPr>
                <w:rFonts w:hint="eastAsia"/>
                <w:b/>
                <w:sz w:val="24"/>
              </w:rPr>
              <w:t>附身份证复印件</w:t>
            </w:r>
          </w:p>
          <w:p>
            <w:pPr>
              <w:tabs>
                <w:tab w:val="left" w:pos="2730"/>
              </w:tabs>
              <w:spacing w:line="360" w:lineRule="auto"/>
              <w:ind w:firstLine="2277" w:firstLineChars="945"/>
              <w:outlineLvl w:val="1"/>
              <w:rPr>
                <w:rFonts w:hAnsi="宋体" w:cs="宋体"/>
                <w:b/>
                <w:sz w:val="24"/>
              </w:rPr>
            </w:pPr>
          </w:p>
        </w:tc>
      </w:tr>
    </w:tbl>
    <w:p>
      <w:pPr>
        <w:spacing w:line="360" w:lineRule="auto"/>
        <w:jc w:val="center"/>
        <w:rPr>
          <w:rFonts w:hAnsi="宋体"/>
          <w:b/>
          <w:sz w:val="24"/>
        </w:rPr>
      </w:pPr>
    </w:p>
    <w:p>
      <w:pPr>
        <w:spacing w:line="360" w:lineRule="auto"/>
        <w:rPr>
          <w:rFonts w:hAnsi="宋体"/>
          <w:b/>
          <w:sz w:val="24"/>
        </w:rPr>
      </w:pPr>
    </w:p>
    <w:p>
      <w:pPr>
        <w:spacing w:line="360" w:lineRule="auto"/>
        <w:jc w:val="center"/>
        <w:rPr>
          <w:rFonts w:hAnsi="宋体"/>
          <w:b/>
          <w:sz w:val="24"/>
        </w:rPr>
      </w:pPr>
      <w:r>
        <w:rPr>
          <w:rFonts w:hint="eastAsia" w:hAnsi="宋体"/>
          <w:b/>
          <w:sz w:val="24"/>
        </w:rPr>
        <w:t>（二）授权委托书</w:t>
      </w:r>
    </w:p>
    <w:p>
      <w:pPr>
        <w:spacing w:line="360" w:lineRule="auto"/>
        <w:jc w:val="center"/>
        <w:rPr>
          <w:rFonts w:hAnsi="宋体"/>
          <w:sz w:val="24"/>
        </w:rPr>
      </w:pPr>
    </w:p>
    <w:p>
      <w:pPr>
        <w:tabs>
          <w:tab w:val="left" w:pos="0"/>
        </w:tabs>
        <w:spacing w:beforeLines="15" w:afterLines="15" w:line="360" w:lineRule="auto"/>
        <w:ind w:right="-46" w:rightChars="-22" w:firstLine="600" w:firstLineChars="250"/>
        <w:rPr>
          <w:rFonts w:hAnsi="宋体"/>
          <w:sz w:val="24"/>
        </w:rPr>
      </w:pPr>
      <w:r>
        <w:rPr>
          <w:rFonts w:hint="eastAsia" w:hAnsi="宋体"/>
          <w:sz w:val="24"/>
        </w:rPr>
        <w:t xml:space="preserve">  本人(姓名)系(供应商名称)的法定代表人，现委托(姓名)为我方代理人。代理人根据授权，以我方名义签署、澄清、说明、补正、递交、撤回、修改(项目名称) 谈判响应书、签订合同和处理有关事宜，其法律后果由我方承担。</w:t>
      </w:r>
    </w:p>
    <w:p>
      <w:pPr>
        <w:tabs>
          <w:tab w:val="left" w:pos="0"/>
        </w:tabs>
        <w:spacing w:beforeLines="15" w:afterLines="15" w:line="360" w:lineRule="auto"/>
        <w:ind w:right="-46" w:rightChars="-22"/>
        <w:rPr>
          <w:rFonts w:hAnsi="宋体"/>
          <w:sz w:val="24"/>
        </w:rPr>
      </w:pPr>
      <w:r>
        <w:rPr>
          <w:rFonts w:hint="eastAsia" w:hAnsi="宋体"/>
          <w:sz w:val="24"/>
        </w:rPr>
        <w:t xml:space="preserve">    委托期限：</w:t>
      </w:r>
      <w:r>
        <w:rPr>
          <w:rFonts w:hint="eastAsia" w:hAnsi="宋体"/>
          <w:b/>
          <w:sz w:val="24"/>
          <w:u w:val="single"/>
        </w:rPr>
        <w:t xml:space="preserve">谈判有效期时间范围内 </w:t>
      </w:r>
      <w:r>
        <w:rPr>
          <w:rFonts w:hint="eastAsia" w:hAnsi="宋体"/>
          <w:sz w:val="24"/>
        </w:rPr>
        <w:t>。</w:t>
      </w:r>
    </w:p>
    <w:p>
      <w:pPr>
        <w:tabs>
          <w:tab w:val="left" w:pos="0"/>
        </w:tabs>
        <w:spacing w:beforeLines="15" w:afterLines="15" w:line="360" w:lineRule="auto"/>
        <w:ind w:right="-46" w:rightChars="-22" w:firstLine="480" w:firstLineChars="200"/>
        <w:rPr>
          <w:rFonts w:hAnsi="宋体"/>
          <w:sz w:val="24"/>
        </w:rPr>
      </w:pPr>
      <w:r>
        <w:rPr>
          <w:rFonts w:hint="eastAsia" w:hAnsi="宋体"/>
          <w:sz w:val="24"/>
        </w:rPr>
        <w:t>代理人无转委托权。</w:t>
      </w:r>
    </w:p>
    <w:p>
      <w:pPr>
        <w:tabs>
          <w:tab w:val="left" w:pos="0"/>
        </w:tabs>
        <w:spacing w:beforeLines="15" w:afterLines="15" w:line="360" w:lineRule="auto"/>
        <w:ind w:right="-46" w:rightChars="-22" w:firstLine="480" w:firstLineChars="200"/>
        <w:rPr>
          <w:rFonts w:hAnsi="宋体"/>
          <w:sz w:val="24"/>
        </w:rPr>
      </w:pPr>
      <w:r>
        <w:rPr>
          <w:rFonts w:hint="eastAsia" w:hAnsi="宋体"/>
          <w:sz w:val="24"/>
        </w:rPr>
        <w:t>附：法定代表人身份证、授权代理人身份证。</w:t>
      </w:r>
    </w:p>
    <w:p>
      <w:pPr>
        <w:tabs>
          <w:tab w:val="left" w:pos="0"/>
        </w:tabs>
        <w:spacing w:beforeLines="15" w:afterLines="15" w:line="360" w:lineRule="auto"/>
        <w:ind w:right="-46" w:rightChars="-22" w:firstLine="4800" w:firstLineChars="2000"/>
        <w:rPr>
          <w:rFonts w:hAnsi="宋体"/>
          <w:sz w:val="24"/>
        </w:rPr>
      </w:pPr>
    </w:p>
    <w:p>
      <w:pPr>
        <w:tabs>
          <w:tab w:val="left" w:pos="0"/>
        </w:tabs>
        <w:spacing w:beforeLines="15" w:afterLines="15" w:line="360" w:lineRule="auto"/>
        <w:ind w:right="-46" w:rightChars="-22" w:firstLine="4800" w:firstLineChars="2000"/>
        <w:rPr>
          <w:rFonts w:hAnsi="宋体"/>
          <w:sz w:val="24"/>
        </w:rPr>
      </w:pPr>
    </w:p>
    <w:p>
      <w:pPr>
        <w:tabs>
          <w:tab w:val="left" w:pos="0"/>
        </w:tabs>
        <w:spacing w:beforeLines="15" w:afterLines="15" w:line="360" w:lineRule="auto"/>
        <w:ind w:right="-46" w:rightChars="-22" w:firstLine="4800" w:firstLineChars="2000"/>
        <w:rPr>
          <w:rFonts w:hAnsi="宋体"/>
          <w:sz w:val="24"/>
        </w:rPr>
      </w:pPr>
    </w:p>
    <w:p>
      <w:pPr>
        <w:tabs>
          <w:tab w:val="left" w:pos="0"/>
        </w:tabs>
        <w:spacing w:beforeLines="15" w:afterLines="15" w:line="360" w:lineRule="auto"/>
        <w:ind w:right="-46" w:rightChars="-22" w:firstLine="4800" w:firstLineChars="2000"/>
        <w:rPr>
          <w:rFonts w:hAnsi="宋体"/>
          <w:sz w:val="24"/>
        </w:rPr>
      </w:pPr>
    </w:p>
    <w:p>
      <w:pPr>
        <w:tabs>
          <w:tab w:val="left" w:pos="0"/>
        </w:tabs>
        <w:spacing w:beforeLines="15" w:afterLines="15" w:line="360" w:lineRule="auto"/>
        <w:ind w:right="-46" w:rightChars="-22" w:firstLine="4800" w:firstLineChars="2000"/>
        <w:rPr>
          <w:rFonts w:hAnsi="宋体"/>
          <w:sz w:val="24"/>
        </w:rPr>
      </w:pPr>
    </w:p>
    <w:p>
      <w:pPr>
        <w:tabs>
          <w:tab w:val="left" w:pos="0"/>
        </w:tabs>
        <w:spacing w:beforeLines="15" w:afterLines="15" w:line="360" w:lineRule="auto"/>
        <w:ind w:right="-46" w:rightChars="-22" w:firstLine="4800" w:firstLineChars="2000"/>
        <w:rPr>
          <w:rFonts w:hAnsi="宋体"/>
          <w:sz w:val="24"/>
        </w:rPr>
      </w:pPr>
    </w:p>
    <w:p>
      <w:pPr>
        <w:tabs>
          <w:tab w:val="left" w:pos="0"/>
        </w:tabs>
        <w:spacing w:beforeLines="15" w:afterLines="15" w:line="360" w:lineRule="auto"/>
        <w:ind w:right="-46" w:rightChars="-22" w:firstLine="3441" w:firstLineChars="1434"/>
        <w:rPr>
          <w:rFonts w:hAnsi="宋体"/>
          <w:sz w:val="24"/>
        </w:rPr>
      </w:pPr>
      <w:r>
        <w:rPr>
          <w:rFonts w:hint="eastAsia" w:hAnsi="宋体"/>
          <w:sz w:val="24"/>
        </w:rPr>
        <w:t>供应商：(盖单位章)</w:t>
      </w:r>
    </w:p>
    <w:p>
      <w:pPr>
        <w:tabs>
          <w:tab w:val="left" w:pos="0"/>
        </w:tabs>
        <w:spacing w:beforeLines="15" w:afterLines="15" w:line="360" w:lineRule="auto"/>
        <w:ind w:right="-46" w:rightChars="-22" w:firstLine="3441" w:firstLineChars="1434"/>
        <w:rPr>
          <w:rFonts w:hAnsi="宋体"/>
          <w:sz w:val="24"/>
        </w:rPr>
      </w:pPr>
      <w:r>
        <w:rPr>
          <w:rFonts w:hint="eastAsia" w:hAnsi="宋体"/>
          <w:sz w:val="24"/>
        </w:rPr>
        <w:t>法定代表人：(签字或盖章)</w:t>
      </w:r>
    </w:p>
    <w:p>
      <w:pPr>
        <w:tabs>
          <w:tab w:val="left" w:pos="0"/>
        </w:tabs>
        <w:spacing w:beforeLines="15" w:afterLines="15" w:line="360" w:lineRule="auto"/>
        <w:ind w:right="-46" w:rightChars="-22" w:firstLine="3441" w:firstLineChars="1434"/>
        <w:rPr>
          <w:rFonts w:hAnsi="宋体"/>
          <w:sz w:val="24"/>
        </w:rPr>
      </w:pPr>
      <w:r>
        <w:rPr>
          <w:rFonts w:hint="eastAsia" w:hAnsi="宋体"/>
          <w:sz w:val="24"/>
        </w:rPr>
        <w:t>身份证号码：</w:t>
      </w:r>
    </w:p>
    <w:p>
      <w:pPr>
        <w:tabs>
          <w:tab w:val="left" w:pos="0"/>
        </w:tabs>
        <w:spacing w:beforeLines="15" w:afterLines="15" w:line="360" w:lineRule="auto"/>
        <w:ind w:right="-46" w:rightChars="-22" w:firstLine="3441" w:firstLineChars="1434"/>
        <w:rPr>
          <w:rFonts w:hAnsi="宋体"/>
          <w:sz w:val="24"/>
        </w:rPr>
      </w:pPr>
      <w:r>
        <w:rPr>
          <w:rFonts w:hint="eastAsia" w:hAnsi="宋体"/>
          <w:sz w:val="24"/>
        </w:rPr>
        <w:t>委托代理人： (签字)</w:t>
      </w:r>
    </w:p>
    <w:p>
      <w:pPr>
        <w:tabs>
          <w:tab w:val="left" w:pos="0"/>
        </w:tabs>
        <w:spacing w:beforeLines="15" w:afterLines="15" w:line="360" w:lineRule="auto"/>
        <w:ind w:right="-46" w:rightChars="-22" w:firstLine="3441" w:firstLineChars="1434"/>
        <w:rPr>
          <w:rFonts w:hAnsi="宋体"/>
          <w:sz w:val="24"/>
          <w:u w:val="single"/>
        </w:rPr>
      </w:pPr>
      <w:r>
        <w:rPr>
          <w:rFonts w:hint="eastAsia" w:hAnsi="宋体"/>
          <w:sz w:val="24"/>
        </w:rPr>
        <w:t>身份证号码：</w:t>
      </w:r>
    </w:p>
    <w:p>
      <w:pPr>
        <w:tabs>
          <w:tab w:val="left" w:pos="0"/>
        </w:tabs>
        <w:spacing w:beforeLines="15" w:afterLines="15" w:line="360" w:lineRule="auto"/>
        <w:ind w:right="-46" w:rightChars="-22" w:firstLine="3441" w:firstLineChars="1434"/>
        <w:rPr>
          <w:rFonts w:hAnsi="宋体"/>
          <w:sz w:val="24"/>
        </w:rPr>
      </w:pPr>
      <w:r>
        <w:rPr>
          <w:rFonts w:hint="eastAsia" w:hAnsi="宋体"/>
          <w:sz w:val="24"/>
        </w:rPr>
        <w:t>年月日</w:t>
      </w:r>
    </w:p>
    <w:p>
      <w:pPr>
        <w:spacing w:line="360" w:lineRule="auto"/>
        <w:rPr>
          <w:rFonts w:hAnsi="宋体"/>
          <w:sz w:val="24"/>
        </w:rPr>
      </w:pPr>
    </w:p>
    <w:p>
      <w:pPr>
        <w:tabs>
          <w:tab w:val="left" w:pos="0"/>
        </w:tabs>
        <w:spacing w:beforeLines="15" w:afterLines="15" w:line="360" w:lineRule="auto"/>
        <w:ind w:right="-693" w:rightChars="-330"/>
        <w:rPr>
          <w:rFonts w:hAnsi="宋体"/>
          <w:b/>
          <w:sz w:val="24"/>
        </w:rPr>
      </w:pPr>
    </w:p>
    <w:p>
      <w:pPr>
        <w:tabs>
          <w:tab w:val="left" w:pos="0"/>
        </w:tabs>
        <w:spacing w:beforeLines="15" w:afterLines="15" w:line="360" w:lineRule="auto"/>
        <w:ind w:right="-693" w:rightChars="-330"/>
        <w:rPr>
          <w:rFonts w:hAnsi="宋体"/>
          <w:b/>
          <w:sz w:val="24"/>
        </w:rPr>
      </w:pPr>
    </w:p>
    <w:tbl>
      <w:tblPr>
        <w:tblStyle w:val="13"/>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310" w:type="dxa"/>
          </w:tcPr>
          <w:p>
            <w:pPr>
              <w:tabs>
                <w:tab w:val="left" w:pos="2730"/>
              </w:tabs>
              <w:spacing w:line="360" w:lineRule="auto"/>
              <w:ind w:firstLine="2277" w:firstLineChars="945"/>
              <w:outlineLvl w:val="1"/>
              <w:rPr>
                <w:rFonts w:hAnsi="宋体" w:cs="宋体"/>
                <w:b/>
                <w:sz w:val="24"/>
              </w:rPr>
            </w:pPr>
          </w:p>
          <w:p>
            <w:pPr>
              <w:tabs>
                <w:tab w:val="left" w:pos="2730"/>
              </w:tabs>
              <w:spacing w:line="360" w:lineRule="auto"/>
              <w:ind w:firstLine="2277" w:firstLineChars="945"/>
              <w:outlineLvl w:val="1"/>
              <w:rPr>
                <w:rFonts w:hAnsi="宋体" w:cs="宋体"/>
                <w:b/>
                <w:sz w:val="24"/>
              </w:rPr>
            </w:pPr>
            <w:r>
              <w:rPr>
                <w:rFonts w:hint="eastAsia"/>
                <w:b/>
                <w:sz w:val="24"/>
              </w:rPr>
              <w:t>附身份证复印件</w:t>
            </w:r>
          </w:p>
          <w:p>
            <w:pPr>
              <w:tabs>
                <w:tab w:val="left" w:pos="2730"/>
              </w:tabs>
              <w:spacing w:line="360" w:lineRule="auto"/>
              <w:ind w:firstLine="2277" w:firstLineChars="945"/>
              <w:outlineLvl w:val="1"/>
              <w:rPr>
                <w:rFonts w:hAnsi="宋体" w:cs="宋体"/>
                <w:b/>
                <w:sz w:val="24"/>
              </w:rPr>
            </w:pPr>
          </w:p>
        </w:tc>
      </w:tr>
    </w:tbl>
    <w:p>
      <w:pPr>
        <w:tabs>
          <w:tab w:val="left" w:pos="0"/>
        </w:tabs>
        <w:spacing w:beforeLines="15" w:afterLines="15" w:line="360" w:lineRule="auto"/>
        <w:ind w:right="-693" w:rightChars="-330"/>
        <w:rPr>
          <w:rFonts w:hAnsi="宋体"/>
          <w:b/>
          <w:sz w:val="24"/>
        </w:rPr>
      </w:pPr>
    </w:p>
    <w:p>
      <w:pPr>
        <w:tabs>
          <w:tab w:val="left" w:pos="0"/>
        </w:tabs>
        <w:spacing w:beforeLines="15" w:afterLines="15" w:line="360" w:lineRule="auto"/>
        <w:ind w:right="-693" w:rightChars="-330"/>
        <w:jc w:val="center"/>
        <w:rPr>
          <w:rFonts w:hAnsi="宋体"/>
          <w:b/>
          <w:sz w:val="24"/>
        </w:rPr>
      </w:pPr>
      <w:r>
        <w:rPr>
          <w:rFonts w:hint="eastAsia" w:hAnsi="宋体"/>
          <w:b/>
          <w:sz w:val="24"/>
        </w:rPr>
        <w:t>三、项目预算书</w:t>
      </w:r>
    </w:p>
    <w:p>
      <w:pPr>
        <w:tabs>
          <w:tab w:val="left" w:pos="0"/>
        </w:tabs>
        <w:spacing w:beforeLines="15" w:afterLines="15" w:line="360" w:lineRule="auto"/>
        <w:ind w:right="-693" w:rightChars="-330"/>
        <w:jc w:val="center"/>
        <w:rPr>
          <w:rFonts w:hAnsi="宋体"/>
          <w:b/>
          <w:sz w:val="24"/>
        </w:rPr>
      </w:pPr>
    </w:p>
    <w:p>
      <w:pPr>
        <w:tabs>
          <w:tab w:val="left" w:pos="0"/>
        </w:tabs>
        <w:spacing w:beforeLines="15" w:afterLines="15" w:line="360" w:lineRule="auto"/>
        <w:ind w:right="-693" w:rightChars="-330"/>
        <w:jc w:val="center"/>
        <w:rPr>
          <w:rFonts w:hAnsi="宋体"/>
          <w:b/>
          <w:sz w:val="24"/>
        </w:rPr>
      </w:pPr>
      <w:r>
        <w:rPr>
          <w:rFonts w:hint="eastAsia" w:hAnsi="宋体"/>
          <w:b/>
          <w:sz w:val="24"/>
        </w:rPr>
        <w:t>四、营业执照、资质证书、项目经理相关证书</w:t>
      </w:r>
    </w:p>
    <w:p>
      <w:pPr>
        <w:tabs>
          <w:tab w:val="left" w:pos="0"/>
        </w:tabs>
        <w:spacing w:beforeLines="15" w:afterLines="15" w:line="360" w:lineRule="auto"/>
        <w:ind w:right="-693" w:rightChars="-330" w:firstLine="723" w:firstLineChars="300"/>
        <w:jc w:val="center"/>
        <w:rPr>
          <w:rFonts w:hAnsi="宋体"/>
          <w:b/>
          <w:sz w:val="24"/>
        </w:rPr>
      </w:pPr>
      <w:bookmarkStart w:id="19" w:name="_Toc435620647"/>
    </w:p>
    <w:p>
      <w:pPr>
        <w:tabs>
          <w:tab w:val="left" w:pos="0"/>
        </w:tabs>
        <w:spacing w:beforeLines="15" w:afterLines="15" w:line="360" w:lineRule="auto"/>
        <w:ind w:right="-693" w:rightChars="-330"/>
        <w:jc w:val="center"/>
        <w:rPr>
          <w:rFonts w:hAnsi="宋体"/>
          <w:b/>
          <w:sz w:val="24"/>
        </w:rPr>
      </w:pPr>
      <w:r>
        <w:rPr>
          <w:rFonts w:hint="eastAsia" w:hAnsi="宋体"/>
          <w:b/>
          <w:sz w:val="24"/>
        </w:rPr>
        <w:t>五、其他资料</w:t>
      </w:r>
    </w:p>
    <w:p>
      <w:pPr>
        <w:tabs>
          <w:tab w:val="left" w:pos="0"/>
        </w:tabs>
        <w:spacing w:beforeLines="15" w:afterLines="15" w:line="360" w:lineRule="auto"/>
        <w:ind w:right="-693" w:rightChars="-330" w:firstLine="723" w:firstLineChars="300"/>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pStyle w:val="2"/>
        <w:spacing w:line="360" w:lineRule="auto"/>
        <w:ind w:firstLine="480"/>
        <w:rPr>
          <w:sz w:val="24"/>
          <w:szCs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pStyle w:val="2"/>
        <w:spacing w:line="360" w:lineRule="auto"/>
        <w:ind w:left="0" w:leftChars="0" w:firstLine="0" w:firstLineChars="0"/>
        <w:rPr>
          <w:sz w:val="24"/>
          <w:szCs w:val="24"/>
        </w:rPr>
      </w:pPr>
    </w:p>
    <w:p>
      <w:pPr>
        <w:pStyle w:val="5"/>
        <w:ind w:firstLine="200"/>
      </w:pPr>
    </w:p>
    <w:p/>
    <w:p>
      <w:pPr>
        <w:pStyle w:val="2"/>
        <w:ind w:firstLine="640"/>
      </w:pPr>
    </w:p>
    <w:bookmarkEnd w:id="19"/>
    <w:p>
      <w:pPr>
        <w:pStyle w:val="2"/>
        <w:ind w:left="0" w:leftChars="0" w:firstLine="0" w:firstLineChars="0"/>
      </w:pPr>
    </w:p>
    <w:p>
      <w:pPr>
        <w:tabs>
          <w:tab w:val="left" w:pos="0"/>
        </w:tabs>
        <w:spacing w:beforeLines="15" w:afterLines="15" w:line="360" w:lineRule="auto"/>
        <w:ind w:right="82" w:rightChars="39"/>
        <w:jc w:val="center"/>
        <w:rPr>
          <w:rFonts w:hAnsi="宋体"/>
          <w:b/>
          <w:sz w:val="24"/>
        </w:rPr>
      </w:pPr>
      <w:r>
        <w:rPr>
          <w:rFonts w:hint="eastAsia" w:hAnsi="宋体"/>
          <w:b/>
          <w:sz w:val="24"/>
        </w:rPr>
        <w:t>第</w:t>
      </w:r>
      <w:r>
        <w:rPr>
          <w:rFonts w:hint="eastAsia" w:hAnsi="宋体"/>
          <w:b/>
          <w:sz w:val="24"/>
          <w:lang w:val="en-US" w:eastAsia="zh-CN"/>
        </w:rPr>
        <w:t>1</w:t>
      </w:r>
      <w:r>
        <w:rPr>
          <w:rFonts w:hint="eastAsia" w:hAnsi="宋体"/>
          <w:b/>
          <w:sz w:val="24"/>
        </w:rPr>
        <w:t>次报价表</w:t>
      </w:r>
    </w:p>
    <w:tbl>
      <w:tblPr>
        <w:tblStyle w:val="13"/>
        <w:tblW w:w="0" w:type="auto"/>
        <w:jc w:val="center"/>
        <w:tblLayout w:type="fixed"/>
        <w:tblCellMar>
          <w:top w:w="0" w:type="dxa"/>
          <w:left w:w="0" w:type="dxa"/>
          <w:bottom w:w="0" w:type="dxa"/>
          <w:right w:w="0" w:type="dxa"/>
        </w:tblCellMar>
      </w:tblPr>
      <w:tblGrid>
        <w:gridCol w:w="1792"/>
        <w:gridCol w:w="7028"/>
      </w:tblGrid>
      <w:tr>
        <w:tblPrEx>
          <w:tblCellMar>
            <w:top w:w="0" w:type="dxa"/>
            <w:left w:w="0" w:type="dxa"/>
            <w:bottom w:w="0" w:type="dxa"/>
            <w:right w:w="0" w:type="dxa"/>
          </w:tblCellMar>
        </w:tblPrEx>
        <w:trPr>
          <w:trHeight w:val="941" w:hRule="atLeast"/>
          <w:jc w:val="center"/>
        </w:trPr>
        <w:tc>
          <w:tcPr>
            <w:tcW w:w="1792"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Ansi="宋体"/>
                <w:sz w:val="24"/>
              </w:rPr>
            </w:pPr>
            <w:r>
              <w:rPr>
                <w:rFonts w:hint="eastAsia" w:hAnsi="宋体" w:cs="宋体"/>
                <w:sz w:val="24"/>
              </w:rPr>
              <w:t>项</w:t>
            </w:r>
            <w:r>
              <w:rPr>
                <w:rFonts w:hint="eastAsia" w:hAnsi="宋体"/>
                <w:sz w:val="24"/>
              </w:rPr>
              <w:t>目名称</w:t>
            </w:r>
          </w:p>
        </w:tc>
        <w:tc>
          <w:tcPr>
            <w:tcW w:w="702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Ansi="宋体"/>
                <w:sz w:val="24"/>
              </w:rPr>
            </w:pPr>
          </w:p>
          <w:p>
            <w:pPr>
              <w:spacing w:line="360" w:lineRule="auto"/>
              <w:jc w:val="center"/>
              <w:rPr>
                <w:rFonts w:hAnsi="宋体"/>
                <w:sz w:val="24"/>
              </w:rPr>
            </w:pPr>
          </w:p>
        </w:tc>
      </w:tr>
      <w:tr>
        <w:tblPrEx>
          <w:tblCellMar>
            <w:top w:w="0" w:type="dxa"/>
            <w:left w:w="0" w:type="dxa"/>
            <w:bottom w:w="0" w:type="dxa"/>
            <w:right w:w="0" w:type="dxa"/>
          </w:tblCellMar>
        </w:tblPrEx>
        <w:trPr>
          <w:trHeight w:val="1759" w:hRule="atLeast"/>
          <w:jc w:val="center"/>
        </w:trPr>
        <w:tc>
          <w:tcPr>
            <w:tcW w:w="1792" w:type="dxa"/>
            <w:tcBorders>
              <w:top w:val="single" w:color="auto" w:sz="8" w:space="0"/>
              <w:left w:val="single" w:color="auto" w:sz="8" w:space="0"/>
              <w:bottom w:val="single" w:color="auto" w:sz="4" w:space="0"/>
              <w:right w:val="single" w:color="auto" w:sz="8" w:space="0"/>
            </w:tcBorders>
            <w:vAlign w:val="center"/>
          </w:tcPr>
          <w:p>
            <w:pPr>
              <w:spacing w:line="360" w:lineRule="auto"/>
              <w:jc w:val="center"/>
              <w:rPr>
                <w:rFonts w:hAnsi="宋体"/>
                <w:sz w:val="24"/>
              </w:rPr>
            </w:pPr>
            <w:r>
              <w:rPr>
                <w:rFonts w:hint="eastAsia" w:hAnsi="宋体"/>
                <w:sz w:val="24"/>
              </w:rPr>
              <w:t>最终投标报价</w:t>
            </w:r>
          </w:p>
        </w:tc>
        <w:tc>
          <w:tcPr>
            <w:tcW w:w="7028"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Pr>
                <w:rFonts w:hAnsi="宋体"/>
                <w:sz w:val="24"/>
              </w:rPr>
            </w:pPr>
            <w:r>
              <w:rPr>
                <w:rFonts w:hint="eastAsia" w:hAnsi="宋体"/>
                <w:sz w:val="24"/>
              </w:rPr>
              <w:t>大写：</w:t>
            </w:r>
          </w:p>
          <w:p>
            <w:pPr>
              <w:spacing w:line="360" w:lineRule="auto"/>
              <w:ind w:right="210"/>
              <w:rPr>
                <w:rFonts w:hAnsi="宋体"/>
                <w:sz w:val="24"/>
              </w:rPr>
            </w:pPr>
            <w:r>
              <w:rPr>
                <w:rFonts w:hint="eastAsia" w:hAnsi="宋体"/>
                <w:sz w:val="24"/>
              </w:rPr>
              <w:t>小写：</w:t>
            </w:r>
          </w:p>
        </w:tc>
      </w:tr>
      <w:tr>
        <w:tblPrEx>
          <w:tblCellMar>
            <w:top w:w="0" w:type="dxa"/>
            <w:left w:w="0" w:type="dxa"/>
            <w:bottom w:w="0" w:type="dxa"/>
            <w:right w:w="0" w:type="dxa"/>
          </w:tblCellMar>
        </w:tblPrEx>
        <w:trPr>
          <w:trHeight w:val="1333" w:hRule="atLeast"/>
          <w:jc w:val="center"/>
        </w:trPr>
        <w:tc>
          <w:tcPr>
            <w:tcW w:w="1792" w:type="dxa"/>
            <w:tcBorders>
              <w:top w:val="single" w:color="auto" w:sz="8" w:space="0"/>
              <w:left w:val="single" w:color="auto" w:sz="8" w:space="0"/>
              <w:bottom w:val="single" w:color="auto" w:sz="4" w:space="0"/>
              <w:right w:val="single" w:color="auto" w:sz="8" w:space="0"/>
            </w:tcBorders>
            <w:vAlign w:val="center"/>
          </w:tcPr>
          <w:p>
            <w:pPr>
              <w:autoSpaceDE w:val="0"/>
              <w:autoSpaceDN w:val="0"/>
              <w:adjustRightInd w:val="0"/>
              <w:snapToGrid w:val="0"/>
              <w:spacing w:line="360" w:lineRule="auto"/>
              <w:jc w:val="center"/>
              <w:rPr>
                <w:rFonts w:hint="eastAsia" w:ascii="新宋体" w:hAnsi="新宋体" w:eastAsia="新宋体" w:cs="Times New Roman"/>
                <w:sz w:val="24"/>
                <w:shd w:val="clear" w:color="auto" w:fill="FFFFFF"/>
              </w:rPr>
            </w:pPr>
            <w:r>
              <w:rPr>
                <w:rFonts w:hint="eastAsia" w:ascii="新宋体" w:hAnsi="新宋体" w:eastAsia="新宋体" w:cs="Times New Roman"/>
                <w:sz w:val="24"/>
                <w:shd w:val="clear" w:color="auto" w:fill="FFFFFF"/>
              </w:rPr>
              <w:t>机械投入情况</w:t>
            </w:r>
          </w:p>
        </w:tc>
        <w:tc>
          <w:tcPr>
            <w:tcW w:w="702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360" w:lineRule="auto"/>
              <w:jc w:val="center"/>
              <w:rPr>
                <w:rFonts w:hint="eastAsia" w:ascii="新宋体" w:hAnsi="新宋体" w:eastAsia="新宋体" w:cs="Times New Roman"/>
                <w:sz w:val="24"/>
                <w:shd w:val="clear" w:color="auto" w:fill="FFFFFF"/>
              </w:rPr>
            </w:pPr>
          </w:p>
        </w:tc>
      </w:tr>
      <w:tr>
        <w:tblPrEx>
          <w:tblCellMar>
            <w:top w:w="0" w:type="dxa"/>
            <w:left w:w="0" w:type="dxa"/>
            <w:bottom w:w="0" w:type="dxa"/>
            <w:right w:w="0" w:type="dxa"/>
          </w:tblCellMar>
        </w:tblPrEx>
        <w:trPr>
          <w:trHeight w:val="1333" w:hRule="atLeast"/>
          <w:jc w:val="center"/>
        </w:trPr>
        <w:tc>
          <w:tcPr>
            <w:tcW w:w="1792" w:type="dxa"/>
            <w:tcBorders>
              <w:top w:val="single" w:color="auto" w:sz="8" w:space="0"/>
              <w:left w:val="single" w:color="auto" w:sz="8" w:space="0"/>
              <w:bottom w:val="single" w:color="auto" w:sz="4" w:space="0"/>
              <w:right w:val="single" w:color="auto" w:sz="8" w:space="0"/>
            </w:tcBorders>
            <w:vAlign w:val="center"/>
          </w:tcPr>
          <w:p>
            <w:pPr>
              <w:autoSpaceDE w:val="0"/>
              <w:autoSpaceDN w:val="0"/>
              <w:adjustRightInd w:val="0"/>
              <w:snapToGrid w:val="0"/>
              <w:spacing w:line="360" w:lineRule="auto"/>
              <w:jc w:val="center"/>
              <w:rPr>
                <w:rFonts w:hint="eastAsia" w:ascii="新宋体" w:hAnsi="新宋体" w:eastAsia="新宋体" w:cs="Times New Roman"/>
                <w:sz w:val="24"/>
                <w:shd w:val="clear" w:color="auto" w:fill="FFFFFF"/>
              </w:rPr>
            </w:pPr>
            <w:r>
              <w:rPr>
                <w:rFonts w:hint="eastAsia" w:ascii="新宋体" w:hAnsi="新宋体" w:eastAsia="新宋体" w:cs="Times New Roman"/>
                <w:sz w:val="24"/>
                <w:shd w:val="clear" w:color="auto" w:fill="FFFFFF"/>
              </w:rPr>
              <w:t>人员投入情况</w:t>
            </w:r>
          </w:p>
        </w:tc>
        <w:tc>
          <w:tcPr>
            <w:tcW w:w="702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360" w:lineRule="auto"/>
              <w:jc w:val="center"/>
              <w:rPr>
                <w:rFonts w:hint="eastAsia" w:ascii="新宋体" w:hAnsi="新宋体" w:eastAsia="新宋体" w:cs="Times New Roman"/>
                <w:sz w:val="24"/>
                <w:shd w:val="clear" w:color="auto" w:fill="FFFFFF"/>
              </w:rPr>
            </w:pPr>
          </w:p>
        </w:tc>
      </w:tr>
      <w:tr>
        <w:tblPrEx>
          <w:tblCellMar>
            <w:top w:w="0" w:type="dxa"/>
            <w:left w:w="0" w:type="dxa"/>
            <w:bottom w:w="0" w:type="dxa"/>
            <w:right w:w="0" w:type="dxa"/>
          </w:tblCellMar>
        </w:tblPrEx>
        <w:trPr>
          <w:cantSplit/>
          <w:trHeight w:val="2400" w:hRule="exact"/>
          <w:jc w:val="center"/>
        </w:trPr>
        <w:tc>
          <w:tcPr>
            <w:tcW w:w="1792" w:type="dxa"/>
            <w:tcBorders>
              <w:top w:val="single" w:color="auto" w:sz="4" w:space="0"/>
              <w:left w:val="single" w:color="auto" w:sz="8" w:space="0"/>
              <w:bottom w:val="single" w:color="auto" w:sz="8" w:space="0"/>
              <w:right w:val="single" w:color="auto" w:sz="8" w:space="0"/>
            </w:tcBorders>
            <w:vAlign w:val="center"/>
          </w:tcPr>
          <w:p>
            <w:pPr>
              <w:spacing w:line="360" w:lineRule="auto"/>
              <w:rPr>
                <w:rFonts w:hAnsi="宋体"/>
                <w:sz w:val="24"/>
              </w:rPr>
            </w:pPr>
          </w:p>
        </w:tc>
        <w:tc>
          <w:tcPr>
            <w:tcW w:w="7028"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hAnsi="宋体"/>
                <w:sz w:val="24"/>
              </w:rPr>
            </w:pPr>
          </w:p>
        </w:tc>
      </w:tr>
    </w:tbl>
    <w:p>
      <w:pPr>
        <w:autoSpaceDE w:val="0"/>
        <w:autoSpaceDN w:val="0"/>
        <w:adjustRightInd w:val="0"/>
        <w:snapToGrid w:val="0"/>
        <w:spacing w:line="360" w:lineRule="auto"/>
        <w:rPr>
          <w:rFonts w:hAnsi="宋体" w:cs="宋体"/>
          <w:sz w:val="24"/>
        </w:rPr>
      </w:pPr>
      <w:r>
        <w:rPr>
          <w:rFonts w:hint="eastAsia" w:ascii="新宋体" w:hAnsi="新宋体" w:eastAsia="新宋体"/>
          <w:sz w:val="24"/>
          <w:shd w:val="clear" w:color="auto" w:fill="FFFFFF"/>
        </w:rPr>
        <w:t>注：以上报价中均含完成全部内容所包含的人工、材料、机械、规费、管理费和税金等及招标代理服务费等费用，竞标人依据现场最终报价和竞争性谈判文件给定工程量调整竞标文件清单的综合单价。</w:t>
      </w:r>
    </w:p>
    <w:p>
      <w:pPr>
        <w:autoSpaceDE w:val="0"/>
        <w:autoSpaceDN w:val="0"/>
        <w:adjustRightInd w:val="0"/>
        <w:snapToGrid w:val="0"/>
        <w:spacing w:line="360" w:lineRule="auto"/>
        <w:rPr>
          <w:rFonts w:hAnsi="宋体" w:cs="宋体"/>
          <w:sz w:val="24"/>
        </w:rPr>
      </w:pPr>
      <w:r>
        <w:rPr>
          <w:rFonts w:hint="eastAsia" w:hAnsi="宋体" w:cs="宋体"/>
          <w:sz w:val="24"/>
        </w:rPr>
        <w:t>竞标人：</w:t>
      </w:r>
    </w:p>
    <w:p>
      <w:pPr>
        <w:autoSpaceDE w:val="0"/>
        <w:autoSpaceDN w:val="0"/>
        <w:adjustRightInd w:val="0"/>
        <w:snapToGrid w:val="0"/>
        <w:spacing w:line="360" w:lineRule="auto"/>
        <w:rPr>
          <w:rFonts w:hAnsi="宋体" w:cs="宋体"/>
          <w:sz w:val="24"/>
        </w:rPr>
      </w:pPr>
      <w:r>
        <w:rPr>
          <w:rFonts w:hint="eastAsia" w:hAnsi="宋体" w:cs="宋体"/>
          <w:sz w:val="24"/>
        </w:rPr>
        <w:t>法定代表人或授权委托人：</w:t>
      </w:r>
    </w:p>
    <w:p>
      <w:pPr>
        <w:autoSpaceDE w:val="0"/>
        <w:autoSpaceDN w:val="0"/>
        <w:adjustRightInd w:val="0"/>
        <w:snapToGrid w:val="0"/>
        <w:spacing w:line="360" w:lineRule="auto"/>
        <w:rPr>
          <w:rFonts w:hAnsi="宋体" w:cs="宋体"/>
          <w:sz w:val="24"/>
        </w:rPr>
      </w:pPr>
      <w:r>
        <w:rPr>
          <w:rFonts w:hint="eastAsia" w:hAnsi="宋体" w:cs="宋体"/>
          <w:sz w:val="24"/>
        </w:rPr>
        <w:t>日期：年月日</w:t>
      </w: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p>
    <w:p>
      <w:pPr>
        <w:tabs>
          <w:tab w:val="left" w:pos="0"/>
        </w:tabs>
        <w:spacing w:beforeLines="15" w:afterLines="15" w:line="360" w:lineRule="auto"/>
        <w:ind w:right="82" w:rightChars="39"/>
        <w:jc w:val="center"/>
        <w:rPr>
          <w:rFonts w:hAnsi="宋体"/>
          <w:b/>
          <w:sz w:val="24"/>
        </w:rPr>
      </w:pPr>
      <w:r>
        <w:rPr>
          <w:rFonts w:hint="eastAsia" w:hAnsi="宋体"/>
          <w:b/>
          <w:sz w:val="24"/>
        </w:rPr>
        <w:t>最终报价表</w:t>
      </w:r>
    </w:p>
    <w:tbl>
      <w:tblPr>
        <w:tblStyle w:val="13"/>
        <w:tblW w:w="0" w:type="auto"/>
        <w:jc w:val="center"/>
        <w:tblLayout w:type="fixed"/>
        <w:tblCellMar>
          <w:top w:w="0" w:type="dxa"/>
          <w:left w:w="0" w:type="dxa"/>
          <w:bottom w:w="0" w:type="dxa"/>
          <w:right w:w="0" w:type="dxa"/>
        </w:tblCellMar>
      </w:tblPr>
      <w:tblGrid>
        <w:gridCol w:w="1792"/>
        <w:gridCol w:w="7028"/>
      </w:tblGrid>
      <w:tr>
        <w:trPr>
          <w:trHeight w:val="941" w:hRule="atLeast"/>
          <w:jc w:val="center"/>
        </w:trPr>
        <w:tc>
          <w:tcPr>
            <w:tcW w:w="1792"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Ansi="宋体"/>
                <w:sz w:val="24"/>
              </w:rPr>
            </w:pPr>
            <w:r>
              <w:rPr>
                <w:rFonts w:hint="eastAsia" w:hAnsi="宋体" w:cs="宋体"/>
                <w:sz w:val="24"/>
              </w:rPr>
              <w:t>项</w:t>
            </w:r>
            <w:r>
              <w:rPr>
                <w:rFonts w:hint="eastAsia" w:hAnsi="宋体"/>
                <w:sz w:val="24"/>
              </w:rPr>
              <w:t>目名称</w:t>
            </w:r>
          </w:p>
        </w:tc>
        <w:tc>
          <w:tcPr>
            <w:tcW w:w="702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Ansi="宋体"/>
                <w:sz w:val="24"/>
              </w:rPr>
            </w:pPr>
          </w:p>
          <w:p>
            <w:pPr>
              <w:spacing w:line="360" w:lineRule="auto"/>
              <w:jc w:val="center"/>
              <w:rPr>
                <w:rFonts w:hAnsi="宋体"/>
                <w:sz w:val="24"/>
              </w:rPr>
            </w:pPr>
          </w:p>
        </w:tc>
      </w:tr>
      <w:tr>
        <w:tblPrEx>
          <w:tblCellMar>
            <w:top w:w="0" w:type="dxa"/>
            <w:left w:w="0" w:type="dxa"/>
            <w:bottom w:w="0" w:type="dxa"/>
            <w:right w:w="0" w:type="dxa"/>
          </w:tblCellMar>
        </w:tblPrEx>
        <w:trPr>
          <w:trHeight w:val="1759" w:hRule="atLeast"/>
          <w:jc w:val="center"/>
        </w:trPr>
        <w:tc>
          <w:tcPr>
            <w:tcW w:w="1792" w:type="dxa"/>
            <w:tcBorders>
              <w:top w:val="single" w:color="auto" w:sz="8" w:space="0"/>
              <w:left w:val="single" w:color="auto" w:sz="8" w:space="0"/>
              <w:bottom w:val="single" w:color="auto" w:sz="4" w:space="0"/>
              <w:right w:val="single" w:color="auto" w:sz="8" w:space="0"/>
            </w:tcBorders>
            <w:vAlign w:val="center"/>
          </w:tcPr>
          <w:p>
            <w:pPr>
              <w:spacing w:line="360" w:lineRule="auto"/>
              <w:jc w:val="center"/>
              <w:rPr>
                <w:rFonts w:hAnsi="宋体"/>
                <w:sz w:val="24"/>
              </w:rPr>
            </w:pPr>
            <w:r>
              <w:rPr>
                <w:rFonts w:hint="eastAsia" w:hAnsi="宋体"/>
                <w:sz w:val="24"/>
              </w:rPr>
              <w:t>最终投标报价</w:t>
            </w:r>
          </w:p>
        </w:tc>
        <w:tc>
          <w:tcPr>
            <w:tcW w:w="7028"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Pr>
                <w:rFonts w:hAnsi="宋体"/>
                <w:sz w:val="24"/>
              </w:rPr>
            </w:pPr>
            <w:r>
              <w:rPr>
                <w:rFonts w:hint="eastAsia" w:hAnsi="宋体"/>
                <w:sz w:val="24"/>
              </w:rPr>
              <w:t>大写：</w:t>
            </w:r>
          </w:p>
          <w:p>
            <w:pPr>
              <w:spacing w:line="360" w:lineRule="auto"/>
              <w:ind w:right="210"/>
              <w:rPr>
                <w:rFonts w:hAnsi="宋体"/>
                <w:sz w:val="24"/>
              </w:rPr>
            </w:pPr>
            <w:r>
              <w:rPr>
                <w:rFonts w:hint="eastAsia" w:hAnsi="宋体"/>
                <w:sz w:val="24"/>
              </w:rPr>
              <w:t>小写：</w:t>
            </w:r>
          </w:p>
        </w:tc>
      </w:tr>
      <w:tr>
        <w:tblPrEx>
          <w:tblCellMar>
            <w:top w:w="0" w:type="dxa"/>
            <w:left w:w="0" w:type="dxa"/>
            <w:bottom w:w="0" w:type="dxa"/>
            <w:right w:w="0" w:type="dxa"/>
          </w:tblCellMar>
        </w:tblPrEx>
        <w:trPr>
          <w:trHeight w:val="1333" w:hRule="atLeast"/>
          <w:jc w:val="center"/>
        </w:trPr>
        <w:tc>
          <w:tcPr>
            <w:tcW w:w="1792" w:type="dxa"/>
            <w:tcBorders>
              <w:top w:val="single" w:color="auto" w:sz="8" w:space="0"/>
              <w:left w:val="single" w:color="auto" w:sz="8" w:space="0"/>
              <w:bottom w:val="single" w:color="auto" w:sz="4" w:space="0"/>
              <w:right w:val="single" w:color="auto" w:sz="8" w:space="0"/>
            </w:tcBorders>
            <w:vAlign w:val="center"/>
          </w:tcPr>
          <w:p>
            <w:pPr>
              <w:spacing w:line="360" w:lineRule="auto"/>
              <w:jc w:val="center"/>
              <w:rPr>
                <w:rFonts w:hint="eastAsia" w:hAnsi="宋体" w:eastAsia="宋体" w:cs="Times New Roman"/>
                <w:sz w:val="24"/>
              </w:rPr>
            </w:pPr>
            <w:r>
              <w:rPr>
                <w:rFonts w:hint="eastAsia" w:hAnsi="宋体" w:eastAsia="宋体" w:cs="Times New Roman"/>
                <w:sz w:val="24"/>
              </w:rPr>
              <w:t>机械投入情况</w:t>
            </w:r>
          </w:p>
        </w:tc>
        <w:tc>
          <w:tcPr>
            <w:tcW w:w="702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hAnsi="宋体" w:eastAsia="宋体" w:cs="Times New Roman"/>
                <w:sz w:val="24"/>
              </w:rPr>
            </w:pPr>
          </w:p>
        </w:tc>
      </w:tr>
      <w:tr>
        <w:tblPrEx>
          <w:tblCellMar>
            <w:top w:w="0" w:type="dxa"/>
            <w:left w:w="0" w:type="dxa"/>
            <w:bottom w:w="0" w:type="dxa"/>
            <w:right w:w="0" w:type="dxa"/>
          </w:tblCellMar>
        </w:tblPrEx>
        <w:trPr>
          <w:trHeight w:val="1333" w:hRule="atLeast"/>
          <w:jc w:val="center"/>
        </w:trPr>
        <w:tc>
          <w:tcPr>
            <w:tcW w:w="1792" w:type="dxa"/>
            <w:tcBorders>
              <w:top w:val="single" w:color="auto" w:sz="8" w:space="0"/>
              <w:left w:val="single" w:color="auto" w:sz="8" w:space="0"/>
              <w:bottom w:val="single" w:color="auto" w:sz="4" w:space="0"/>
              <w:right w:val="single" w:color="auto" w:sz="8" w:space="0"/>
            </w:tcBorders>
            <w:vAlign w:val="center"/>
          </w:tcPr>
          <w:p>
            <w:pPr>
              <w:spacing w:line="360" w:lineRule="auto"/>
              <w:jc w:val="center"/>
              <w:rPr>
                <w:rFonts w:hint="eastAsia" w:hAnsi="宋体" w:eastAsia="宋体" w:cs="Times New Roman"/>
                <w:sz w:val="24"/>
              </w:rPr>
            </w:pPr>
            <w:r>
              <w:rPr>
                <w:rFonts w:hint="eastAsia" w:hAnsi="宋体" w:eastAsia="宋体" w:cs="Times New Roman"/>
                <w:sz w:val="24"/>
              </w:rPr>
              <w:t>人员投入情况</w:t>
            </w:r>
          </w:p>
        </w:tc>
        <w:tc>
          <w:tcPr>
            <w:tcW w:w="702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hAnsi="宋体" w:eastAsia="宋体" w:cs="Times New Roman"/>
                <w:sz w:val="24"/>
              </w:rPr>
            </w:pPr>
          </w:p>
        </w:tc>
      </w:tr>
      <w:tr>
        <w:trPr>
          <w:cantSplit/>
          <w:trHeight w:val="3145" w:hRule="exact"/>
          <w:jc w:val="center"/>
        </w:trPr>
        <w:tc>
          <w:tcPr>
            <w:tcW w:w="1792"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hAnsi="宋体"/>
                <w:sz w:val="24"/>
              </w:rPr>
            </w:pPr>
          </w:p>
        </w:tc>
        <w:tc>
          <w:tcPr>
            <w:tcW w:w="7028"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hAnsi="宋体"/>
                <w:sz w:val="24"/>
              </w:rPr>
            </w:pPr>
          </w:p>
        </w:tc>
      </w:tr>
    </w:tbl>
    <w:p>
      <w:pPr>
        <w:autoSpaceDE w:val="0"/>
        <w:autoSpaceDN w:val="0"/>
        <w:adjustRightInd w:val="0"/>
        <w:snapToGrid w:val="0"/>
        <w:spacing w:line="360" w:lineRule="auto"/>
        <w:rPr>
          <w:rFonts w:hAnsi="宋体" w:cs="宋体"/>
          <w:sz w:val="24"/>
        </w:rPr>
      </w:pPr>
      <w:r>
        <w:rPr>
          <w:rFonts w:hint="eastAsia" w:ascii="新宋体" w:hAnsi="新宋体" w:eastAsia="新宋体"/>
          <w:sz w:val="24"/>
          <w:shd w:val="clear" w:color="auto" w:fill="FFFFFF"/>
        </w:rPr>
        <w:t>注：以上报价中均含完成全部内容所包含的人工、材料、机械、规费、管理费和税金等及招标代理服务费等费用，竞标人依据现场最终报价和竞争性谈判文件给定工程量调整竞标文件清单的综合单价。</w:t>
      </w:r>
    </w:p>
    <w:p>
      <w:pPr>
        <w:autoSpaceDE w:val="0"/>
        <w:autoSpaceDN w:val="0"/>
        <w:adjustRightInd w:val="0"/>
        <w:snapToGrid w:val="0"/>
        <w:spacing w:line="360" w:lineRule="auto"/>
        <w:rPr>
          <w:rFonts w:hAnsi="宋体" w:cs="宋体"/>
          <w:sz w:val="24"/>
        </w:rPr>
      </w:pPr>
    </w:p>
    <w:p>
      <w:pPr>
        <w:autoSpaceDE w:val="0"/>
        <w:autoSpaceDN w:val="0"/>
        <w:adjustRightInd w:val="0"/>
        <w:snapToGrid w:val="0"/>
        <w:spacing w:line="360" w:lineRule="auto"/>
        <w:rPr>
          <w:rFonts w:hAnsi="宋体" w:cs="宋体"/>
          <w:sz w:val="24"/>
        </w:rPr>
      </w:pPr>
      <w:r>
        <w:rPr>
          <w:rFonts w:hint="eastAsia" w:hAnsi="宋体" w:cs="宋体"/>
          <w:sz w:val="24"/>
        </w:rPr>
        <w:t>竞标人：</w:t>
      </w:r>
    </w:p>
    <w:p>
      <w:pPr>
        <w:autoSpaceDE w:val="0"/>
        <w:autoSpaceDN w:val="0"/>
        <w:adjustRightInd w:val="0"/>
        <w:snapToGrid w:val="0"/>
        <w:spacing w:line="360" w:lineRule="auto"/>
        <w:rPr>
          <w:rFonts w:hAnsi="宋体" w:cs="宋体"/>
          <w:sz w:val="24"/>
        </w:rPr>
      </w:pPr>
      <w:r>
        <w:rPr>
          <w:rFonts w:hint="eastAsia" w:hAnsi="宋体" w:cs="宋体"/>
          <w:sz w:val="24"/>
        </w:rPr>
        <w:t>法定代表人或授权委托人：</w:t>
      </w:r>
    </w:p>
    <w:p>
      <w:pPr>
        <w:autoSpaceDE w:val="0"/>
        <w:autoSpaceDN w:val="0"/>
        <w:adjustRightInd w:val="0"/>
        <w:snapToGrid w:val="0"/>
        <w:spacing w:line="360" w:lineRule="auto"/>
        <w:rPr>
          <w:sz w:val="24"/>
        </w:rPr>
      </w:pPr>
      <w:r>
        <w:rPr>
          <w:rFonts w:hint="eastAsia" w:hAnsi="宋体" w:cs="宋体"/>
          <w:sz w:val="24"/>
        </w:rPr>
        <w:t>日期：年月日</w:t>
      </w:r>
    </w:p>
    <w:p>
      <w:pPr>
        <w:spacing w:line="360" w:lineRule="auto"/>
        <w:ind w:firstLine="480" w:firstLineChars="200"/>
        <w:rPr>
          <w:rFonts w:ascii="宋体" w:hAnsi="宋体" w:cs="宋体"/>
          <w:color w:val="000000"/>
          <w:sz w:val="24"/>
        </w:rPr>
      </w:pPr>
    </w:p>
    <w:p>
      <w:pPr>
        <w:pStyle w:val="2"/>
      </w:pPr>
    </w:p>
    <w:p>
      <w:pPr>
        <w:pStyle w:val="5"/>
      </w:pPr>
    </w:p>
    <w:p/>
    <w:p>
      <w:pPr>
        <w:pStyle w:val="2"/>
        <w:ind w:left="0" w:leftChars="0" w:firstLine="0" w:firstLineChars="0"/>
        <w:rPr>
          <w:rFonts w:hint="eastAsia" w:ascii="宋体" w:hAnsi="宋体" w:eastAsia="宋体" w:cs="Times New Roman"/>
          <w:b/>
          <w:color w:val="000000"/>
          <w:kern w:val="2"/>
          <w:sz w:val="30"/>
          <w:szCs w:val="30"/>
          <w:lang w:val="en-US" w:eastAsia="zh-CN" w:bidi="ar-SA"/>
        </w:rPr>
      </w:pPr>
      <w:r>
        <w:rPr>
          <w:rFonts w:hint="eastAsia" w:ascii="宋体" w:hAnsi="宋体" w:eastAsia="宋体" w:cs="Times New Roman"/>
          <w:b/>
          <w:color w:val="000000"/>
          <w:kern w:val="2"/>
          <w:sz w:val="30"/>
          <w:szCs w:val="30"/>
          <w:lang w:val="en-US" w:eastAsia="zh-CN" w:bidi="ar-SA"/>
        </w:rPr>
        <w:t>附件一：</w:t>
      </w:r>
    </w:p>
    <w:p>
      <w:pPr>
        <w:pStyle w:val="5"/>
        <w:ind w:left="0" w:leftChars="0" w:firstLine="0" w:firstLineChars="0"/>
        <w:jc w:val="center"/>
        <w:rPr>
          <w:rFonts w:hint="eastAsia" w:ascii="宋体" w:hAnsi="宋体" w:eastAsia="宋体" w:cs="Times New Roman"/>
          <w:b/>
          <w:color w:val="000000"/>
          <w:kern w:val="2"/>
          <w:sz w:val="30"/>
          <w:szCs w:val="30"/>
          <w:lang w:val="en-US" w:eastAsia="zh-CN" w:bidi="ar-SA"/>
        </w:rPr>
      </w:pPr>
      <w:r>
        <w:rPr>
          <w:rFonts w:hint="eastAsia" w:ascii="宋体" w:hAnsi="宋体" w:eastAsia="宋体" w:cs="Times New Roman"/>
          <w:b/>
          <w:color w:val="000000"/>
          <w:kern w:val="2"/>
          <w:sz w:val="30"/>
          <w:szCs w:val="30"/>
          <w:lang w:val="en-US" w:eastAsia="zh-CN" w:bidi="ar-SA"/>
        </w:rPr>
        <w:t>垃圾清运、清池排渣考核标准及评分办法</w:t>
      </w:r>
    </w:p>
    <w:tbl>
      <w:tblPr>
        <w:tblStyle w:val="13"/>
        <w:tblW w:w="4984" w:type="pct"/>
        <w:tblInd w:w="0" w:type="dxa"/>
        <w:shd w:val="clear" w:color="auto" w:fill="auto"/>
        <w:tblLayout w:type="autofit"/>
        <w:tblCellMar>
          <w:top w:w="0" w:type="dxa"/>
          <w:left w:w="0" w:type="dxa"/>
          <w:bottom w:w="0" w:type="dxa"/>
          <w:right w:w="0" w:type="dxa"/>
        </w:tblCellMar>
      </w:tblPr>
      <w:tblGrid>
        <w:gridCol w:w="683"/>
        <w:gridCol w:w="1179"/>
        <w:gridCol w:w="3790"/>
        <w:gridCol w:w="865"/>
        <w:gridCol w:w="2620"/>
      </w:tblGrid>
      <w:tr>
        <w:tblPrEx>
          <w:shd w:val="clear" w:color="auto" w:fill="auto"/>
          <w:tblCellMar>
            <w:top w:w="0" w:type="dxa"/>
            <w:left w:w="0" w:type="dxa"/>
            <w:bottom w:w="0" w:type="dxa"/>
            <w:right w:w="0" w:type="dxa"/>
          </w:tblCellMar>
        </w:tblPrEx>
        <w:trPr>
          <w:trHeight w:val="324" w:hRule="atLeast"/>
        </w:trPr>
        <w:tc>
          <w:tcPr>
            <w:tcW w:w="37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64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考核内容</w:t>
            </w: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考核标准</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标准分</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评分办法</w:t>
            </w:r>
          </w:p>
        </w:tc>
      </w:tr>
      <w:tr>
        <w:tblPrEx>
          <w:shd w:val="clear" w:color="auto" w:fill="auto"/>
          <w:tblCellMar>
            <w:top w:w="0" w:type="dxa"/>
            <w:left w:w="0" w:type="dxa"/>
            <w:bottom w:w="0" w:type="dxa"/>
            <w:right w:w="0" w:type="dxa"/>
          </w:tblCellMar>
        </w:tblPrEx>
        <w:trPr>
          <w:trHeight w:val="624"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垃圾清运、化粪池清掏（100分）</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清掏时间（19分）</w:t>
            </w: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严格按照垃圾清运要求，做到日产日清。</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8</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未按照清运要求，每查出一次扣1.5分。</w:t>
            </w:r>
          </w:p>
        </w:tc>
      </w:tr>
      <w:tr>
        <w:tblPrEx>
          <w:shd w:val="clear" w:color="auto" w:fill="auto"/>
          <w:tblCellMar>
            <w:top w:w="0" w:type="dxa"/>
            <w:left w:w="0" w:type="dxa"/>
            <w:bottom w:w="0" w:type="dxa"/>
            <w:right w:w="0" w:type="dxa"/>
          </w:tblCellMar>
        </w:tblPrEx>
        <w:trPr>
          <w:trHeight w:val="62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每个化粪池每半年清掏一次。</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8</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未按照清掏要求，每查出一次扣1.5分。</w:t>
            </w:r>
          </w:p>
        </w:tc>
      </w:tr>
      <w:tr>
        <w:tblPrEx>
          <w:shd w:val="clear" w:color="auto" w:fill="auto"/>
          <w:tblCellMar>
            <w:top w:w="0" w:type="dxa"/>
            <w:left w:w="0" w:type="dxa"/>
            <w:bottom w:w="0" w:type="dxa"/>
            <w:right w:w="0" w:type="dxa"/>
          </w:tblCellMar>
        </w:tblPrEx>
        <w:trPr>
          <w:trHeight w:val="32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影响上下班（学）交通秩序。</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3</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查出一次扣0.5分。</w:t>
            </w:r>
          </w:p>
        </w:tc>
      </w:tr>
      <w:tr>
        <w:tblPrEx>
          <w:shd w:val="clear" w:color="auto" w:fill="auto"/>
          <w:tblCellMar>
            <w:top w:w="0" w:type="dxa"/>
            <w:left w:w="0" w:type="dxa"/>
            <w:bottom w:w="0" w:type="dxa"/>
            <w:right w:w="0" w:type="dxa"/>
          </w:tblCellMar>
        </w:tblPrEx>
        <w:trPr>
          <w:trHeight w:val="62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清掏过程（37分）</w:t>
            </w: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保持垃圾中转点干净整洁、无异味、无污水。</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5</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有污渍、异味，查出一次扣1分。</w:t>
            </w:r>
          </w:p>
        </w:tc>
      </w:tr>
      <w:tr>
        <w:tblPrEx>
          <w:shd w:val="clear" w:color="auto" w:fill="auto"/>
          <w:tblCellMar>
            <w:top w:w="0" w:type="dxa"/>
            <w:left w:w="0" w:type="dxa"/>
            <w:bottom w:w="0" w:type="dxa"/>
            <w:right w:w="0" w:type="dxa"/>
          </w:tblCellMar>
        </w:tblPrEx>
        <w:trPr>
          <w:trHeight w:val="122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清运车辆做到密闭化，台式车篷布遮盖严实，运输过程中不得扬撒、泄漏，</w:t>
            </w:r>
            <w:r>
              <w:rPr>
                <w:rFonts w:hint="eastAsia" w:ascii="华文仿宋" w:hAnsi="华文仿宋" w:eastAsia="华文仿宋" w:cs="华文仿宋"/>
                <w:b w:val="0"/>
                <w:bCs w:val="0"/>
                <w:color w:val="auto"/>
                <w:sz w:val="24"/>
                <w:szCs w:val="24"/>
              </w:rPr>
              <w:t>在</w:t>
            </w:r>
            <w:r>
              <w:rPr>
                <w:rFonts w:hint="eastAsia" w:ascii="华文仿宋" w:hAnsi="华文仿宋" w:eastAsia="华文仿宋" w:cs="华文仿宋"/>
                <w:b w:val="0"/>
                <w:bCs w:val="0"/>
                <w:color w:val="auto"/>
                <w:sz w:val="24"/>
                <w:szCs w:val="24"/>
                <w:lang w:val="en-US" w:eastAsia="zh-CN"/>
              </w:rPr>
              <w:t>校园内</w:t>
            </w:r>
            <w:r>
              <w:rPr>
                <w:rFonts w:hint="eastAsia" w:ascii="华文仿宋" w:hAnsi="华文仿宋" w:eastAsia="华文仿宋" w:cs="华文仿宋"/>
                <w:b w:val="0"/>
                <w:bCs w:val="0"/>
                <w:color w:val="auto"/>
                <w:sz w:val="24"/>
                <w:szCs w:val="24"/>
              </w:rPr>
              <w:t>抛、冒、滴、漏，发生“落渣、漏渣”等现象</w:t>
            </w:r>
            <w:r>
              <w:rPr>
                <w:rFonts w:hint="eastAsia" w:ascii="华文仿宋" w:hAnsi="华文仿宋" w:eastAsia="华文仿宋" w:cs="华文仿宋"/>
                <w:b w:val="0"/>
                <w:bCs w:val="0"/>
                <w:color w:val="auto"/>
                <w:sz w:val="24"/>
                <w:szCs w:val="24"/>
                <w:lang w:eastAsia="zh-CN"/>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5</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查出一次扣1分。</w:t>
            </w:r>
          </w:p>
        </w:tc>
      </w:tr>
      <w:tr>
        <w:tblPrEx>
          <w:shd w:val="clear" w:color="auto" w:fill="auto"/>
          <w:tblCellMar>
            <w:top w:w="0" w:type="dxa"/>
            <w:left w:w="0" w:type="dxa"/>
            <w:bottom w:w="0" w:type="dxa"/>
            <w:right w:w="0" w:type="dxa"/>
          </w:tblCellMar>
        </w:tblPrEx>
        <w:trPr>
          <w:trHeight w:val="62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清运清掏设施设备不能占用消防通道或公共区域。</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3</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查出一次扣0.5分。</w:t>
            </w:r>
          </w:p>
        </w:tc>
      </w:tr>
      <w:tr>
        <w:tblPrEx>
          <w:shd w:val="clear" w:color="auto" w:fill="auto"/>
          <w:tblCellMar>
            <w:top w:w="0" w:type="dxa"/>
            <w:left w:w="0" w:type="dxa"/>
            <w:bottom w:w="0" w:type="dxa"/>
            <w:right w:w="0" w:type="dxa"/>
          </w:tblCellMar>
        </w:tblPrEx>
        <w:trPr>
          <w:trHeight w:val="62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做好现场保护，设置安全操作区域、警示标志。</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3</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查出一次扣0.5分。</w:t>
            </w:r>
          </w:p>
        </w:tc>
      </w:tr>
      <w:tr>
        <w:tblPrEx>
          <w:shd w:val="clear" w:color="auto" w:fill="auto"/>
          <w:tblCellMar>
            <w:top w:w="0" w:type="dxa"/>
            <w:left w:w="0" w:type="dxa"/>
            <w:bottom w:w="0" w:type="dxa"/>
            <w:right w:w="0" w:type="dxa"/>
          </w:tblCellMar>
        </w:tblPrEx>
        <w:trPr>
          <w:trHeight w:val="62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清池过程中不出现因操作疏忽导致池壁及其他附属设施损坏。</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8</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查出一次扣1.5分。</w:t>
            </w:r>
          </w:p>
        </w:tc>
      </w:tr>
      <w:tr>
        <w:tblPrEx>
          <w:shd w:val="clear" w:color="auto" w:fill="auto"/>
          <w:tblCellMar>
            <w:top w:w="0" w:type="dxa"/>
            <w:left w:w="0" w:type="dxa"/>
            <w:bottom w:w="0" w:type="dxa"/>
            <w:right w:w="0" w:type="dxa"/>
          </w:tblCellMar>
        </w:tblPrEx>
        <w:trPr>
          <w:trHeight w:val="62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每周不少于2次对垃圾中转点进行冲洗、消毒、灭蝇等。</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5</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未按照灭蝇消毒要求，查出一次扣1分。</w:t>
            </w:r>
          </w:p>
        </w:tc>
      </w:tr>
      <w:tr>
        <w:tblPrEx>
          <w:shd w:val="clear" w:color="auto" w:fill="auto"/>
          <w:tblCellMar>
            <w:top w:w="0" w:type="dxa"/>
            <w:left w:w="0" w:type="dxa"/>
            <w:bottom w:w="0" w:type="dxa"/>
            <w:right w:w="0" w:type="dxa"/>
          </w:tblCellMar>
        </w:tblPrEx>
        <w:trPr>
          <w:trHeight w:val="62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清运过程中不得破坏校园建筑、公共设施及相关物件。</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8</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查出一次扣1.5分。</w:t>
            </w:r>
          </w:p>
        </w:tc>
      </w:tr>
      <w:tr>
        <w:tblPrEx>
          <w:shd w:val="clear" w:color="auto" w:fill="auto"/>
          <w:tblCellMar>
            <w:top w:w="0" w:type="dxa"/>
            <w:left w:w="0" w:type="dxa"/>
            <w:bottom w:w="0" w:type="dxa"/>
            <w:right w:w="0" w:type="dxa"/>
          </w:tblCellMar>
        </w:tblPrEx>
        <w:trPr>
          <w:trHeight w:val="32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清掏结果（15分）</w:t>
            </w: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及时开展清运工作，达到预期效果。</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5</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查出一次扣1分。</w:t>
            </w:r>
          </w:p>
        </w:tc>
      </w:tr>
      <w:tr>
        <w:tblPrEx>
          <w:shd w:val="clear" w:color="auto" w:fill="auto"/>
          <w:tblCellMar>
            <w:top w:w="0" w:type="dxa"/>
            <w:left w:w="0" w:type="dxa"/>
            <w:bottom w:w="0" w:type="dxa"/>
            <w:right w:w="0" w:type="dxa"/>
          </w:tblCellMar>
        </w:tblPrEx>
        <w:trPr>
          <w:trHeight w:val="923"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清运至指定垃圾倾倒点，严禁乱倾乱倒垃圾，不得违反规定往非规定地点清运。</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10</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查出一次扣2分。</w:t>
            </w:r>
          </w:p>
        </w:tc>
      </w:tr>
      <w:tr>
        <w:tblPrEx>
          <w:shd w:val="clear" w:color="auto" w:fill="auto"/>
          <w:tblCellMar>
            <w:top w:w="0" w:type="dxa"/>
            <w:left w:w="0" w:type="dxa"/>
            <w:bottom w:w="0" w:type="dxa"/>
            <w:right w:w="0" w:type="dxa"/>
          </w:tblCellMar>
        </w:tblPrEx>
        <w:trPr>
          <w:trHeight w:val="62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工器具配备情况（10分）</w:t>
            </w: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选用性能良好、车厢封闭较好、证件齐全的车辆。</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5</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查出一次扣1分。</w:t>
            </w:r>
          </w:p>
        </w:tc>
      </w:tr>
      <w:tr>
        <w:tblPrEx>
          <w:shd w:val="clear" w:color="auto" w:fill="auto"/>
          <w:tblCellMar>
            <w:top w:w="0" w:type="dxa"/>
            <w:left w:w="0" w:type="dxa"/>
            <w:bottom w:w="0" w:type="dxa"/>
            <w:right w:w="0" w:type="dxa"/>
          </w:tblCellMar>
        </w:tblPrEx>
        <w:trPr>
          <w:trHeight w:val="62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定期对工器具进行检验校准、保洁维护。</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5</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查出一次扣1分。</w:t>
            </w:r>
          </w:p>
        </w:tc>
      </w:tr>
      <w:tr>
        <w:tblPrEx>
          <w:shd w:val="clear" w:color="auto" w:fill="auto"/>
          <w:tblCellMar>
            <w:top w:w="0" w:type="dxa"/>
            <w:left w:w="0" w:type="dxa"/>
            <w:bottom w:w="0" w:type="dxa"/>
            <w:right w:w="0" w:type="dxa"/>
          </w:tblCellMar>
        </w:tblPrEx>
        <w:trPr>
          <w:trHeight w:val="923"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劳动保护（6分）</w:t>
            </w: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清运人员工作时配有必要的劳保用品，清运工作人员要按规定做好防护措施。</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3</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查出一次扣0.5分。</w:t>
            </w:r>
          </w:p>
        </w:tc>
      </w:tr>
      <w:tr>
        <w:tblPrEx>
          <w:shd w:val="clear" w:color="auto" w:fill="auto"/>
          <w:tblCellMar>
            <w:top w:w="0" w:type="dxa"/>
            <w:left w:w="0" w:type="dxa"/>
            <w:bottom w:w="0" w:type="dxa"/>
            <w:right w:w="0" w:type="dxa"/>
          </w:tblCellMar>
        </w:tblPrEx>
        <w:trPr>
          <w:trHeight w:val="32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劳保用品及时更换。</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3</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查出一次扣0.5分。</w:t>
            </w:r>
          </w:p>
        </w:tc>
      </w:tr>
      <w:tr>
        <w:tblPrEx>
          <w:shd w:val="clear" w:color="auto" w:fill="auto"/>
          <w:tblCellMar>
            <w:top w:w="0" w:type="dxa"/>
            <w:left w:w="0" w:type="dxa"/>
            <w:bottom w:w="0" w:type="dxa"/>
            <w:right w:w="0" w:type="dxa"/>
          </w:tblCellMar>
        </w:tblPrEx>
        <w:trPr>
          <w:trHeight w:val="923"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应急处理（13分）</w:t>
            </w: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lang w:val="en-US" w:eastAsia="zh-CN"/>
              </w:rPr>
            </w:pPr>
            <w:r>
              <w:rPr>
                <w:rFonts w:hint="eastAsia" w:ascii="华文仿宋" w:hAnsi="华文仿宋" w:eastAsia="华文仿宋" w:cs="华文仿宋"/>
                <w:b w:val="0"/>
                <w:bCs w:val="0"/>
                <w:color w:val="auto"/>
                <w:sz w:val="24"/>
                <w:szCs w:val="24"/>
                <w:lang w:val="en-US" w:eastAsia="zh-CN"/>
              </w:rPr>
              <w:t>制定清掏过程中突发事件应急预案，出现应急情况能及时处理。</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5</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突发应急情况造成一定影响或不能及时处理每次扣1分。</w:t>
            </w:r>
          </w:p>
        </w:tc>
      </w:tr>
      <w:tr>
        <w:tblPrEx>
          <w:tblCellMar>
            <w:top w:w="0" w:type="dxa"/>
            <w:left w:w="0" w:type="dxa"/>
            <w:bottom w:w="0" w:type="dxa"/>
            <w:right w:w="0" w:type="dxa"/>
          </w:tblCellMar>
        </w:tblPrEx>
        <w:trPr>
          <w:trHeight w:val="32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清理现场安全措施合理。</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3</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查出一次扣0.5分。</w:t>
            </w:r>
          </w:p>
        </w:tc>
      </w:tr>
      <w:tr>
        <w:tblPrEx>
          <w:tblCellMar>
            <w:top w:w="0" w:type="dxa"/>
            <w:left w:w="0" w:type="dxa"/>
            <w:bottom w:w="0" w:type="dxa"/>
            <w:right w:w="0" w:type="dxa"/>
          </w:tblCellMar>
        </w:tblPrEx>
        <w:trPr>
          <w:trHeight w:val="334"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p>
        </w:tc>
        <w:tc>
          <w:tcPr>
            <w:tcW w:w="2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按要求完成学院紧急安排任务。</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5</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无法完成每次扣1分。</w:t>
            </w:r>
          </w:p>
        </w:tc>
      </w:tr>
    </w:tbl>
    <w:p>
      <w:pPr>
        <w:rPr>
          <w:rFonts w:hint="eastAsia"/>
          <w:lang w:val="en-US" w:eastAsia="zh-CN"/>
        </w:rPr>
      </w:pPr>
    </w:p>
    <w:sectPr>
      <w:pgSz w:w="11907" w:h="16840"/>
      <w:pgMar w:top="1440" w:right="1518" w:bottom="1440" w:left="1253" w:header="851" w:footer="992" w:gutter="0"/>
      <w:pgNumType w:fmt="numberInDash"/>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OWE4ODEzMDkxNzUzZWRlZTRmMmMzYjJjNTU1NTkifQ=="/>
  </w:docVars>
  <w:rsids>
    <w:rsidRoot w:val="0072685C"/>
    <w:rsid w:val="0000353C"/>
    <w:rsid w:val="0052385E"/>
    <w:rsid w:val="00595439"/>
    <w:rsid w:val="005A7208"/>
    <w:rsid w:val="00671F76"/>
    <w:rsid w:val="0072685C"/>
    <w:rsid w:val="007D0DEF"/>
    <w:rsid w:val="00A11FAA"/>
    <w:rsid w:val="00A50DA6"/>
    <w:rsid w:val="00C42053"/>
    <w:rsid w:val="00C9054F"/>
    <w:rsid w:val="00CB08B7"/>
    <w:rsid w:val="00D23A07"/>
    <w:rsid w:val="00DF2238"/>
    <w:rsid w:val="00E20873"/>
    <w:rsid w:val="00FE2335"/>
    <w:rsid w:val="01176EA7"/>
    <w:rsid w:val="024D764E"/>
    <w:rsid w:val="031C3069"/>
    <w:rsid w:val="03A82039"/>
    <w:rsid w:val="03B46C2F"/>
    <w:rsid w:val="045126D0"/>
    <w:rsid w:val="049F51EA"/>
    <w:rsid w:val="04E050DE"/>
    <w:rsid w:val="04FC06E2"/>
    <w:rsid w:val="052D0A47"/>
    <w:rsid w:val="057D1EED"/>
    <w:rsid w:val="07012EF2"/>
    <w:rsid w:val="07C32864"/>
    <w:rsid w:val="0A222BA9"/>
    <w:rsid w:val="0A432ABB"/>
    <w:rsid w:val="0A7B04A7"/>
    <w:rsid w:val="0AF83246"/>
    <w:rsid w:val="0B6B2062"/>
    <w:rsid w:val="0BD75BB1"/>
    <w:rsid w:val="0C066B93"/>
    <w:rsid w:val="0C581860"/>
    <w:rsid w:val="0E924913"/>
    <w:rsid w:val="0EFE0675"/>
    <w:rsid w:val="10A11410"/>
    <w:rsid w:val="11916802"/>
    <w:rsid w:val="121A05A5"/>
    <w:rsid w:val="12D71EE1"/>
    <w:rsid w:val="17B34241"/>
    <w:rsid w:val="181405F5"/>
    <w:rsid w:val="195728BE"/>
    <w:rsid w:val="1A43044E"/>
    <w:rsid w:val="1A517837"/>
    <w:rsid w:val="1A872A19"/>
    <w:rsid w:val="1ACC4407"/>
    <w:rsid w:val="1B721452"/>
    <w:rsid w:val="1BDE2644"/>
    <w:rsid w:val="1C512270"/>
    <w:rsid w:val="1CAB7301"/>
    <w:rsid w:val="1CBC2C02"/>
    <w:rsid w:val="1CDA59AA"/>
    <w:rsid w:val="1D1A3B4F"/>
    <w:rsid w:val="1D1A76CF"/>
    <w:rsid w:val="1D205D83"/>
    <w:rsid w:val="1D5072AB"/>
    <w:rsid w:val="1E025AFC"/>
    <w:rsid w:val="1EA9518B"/>
    <w:rsid w:val="1EC24C8D"/>
    <w:rsid w:val="1EDA1BAB"/>
    <w:rsid w:val="1F4A14FB"/>
    <w:rsid w:val="219033A5"/>
    <w:rsid w:val="21AE4866"/>
    <w:rsid w:val="223D1923"/>
    <w:rsid w:val="22C57779"/>
    <w:rsid w:val="23007E1A"/>
    <w:rsid w:val="24524A49"/>
    <w:rsid w:val="2540611D"/>
    <w:rsid w:val="28F27537"/>
    <w:rsid w:val="295E3016"/>
    <w:rsid w:val="29606D8E"/>
    <w:rsid w:val="29FB0865"/>
    <w:rsid w:val="2A475858"/>
    <w:rsid w:val="2B935881"/>
    <w:rsid w:val="2BCD020C"/>
    <w:rsid w:val="2C063C1D"/>
    <w:rsid w:val="2C7F3060"/>
    <w:rsid w:val="2CE3345C"/>
    <w:rsid w:val="2D0A3299"/>
    <w:rsid w:val="2E1B5E5E"/>
    <w:rsid w:val="2E3507E9"/>
    <w:rsid w:val="2E533769"/>
    <w:rsid w:val="2E580034"/>
    <w:rsid w:val="2E5E5903"/>
    <w:rsid w:val="2FCE2CA3"/>
    <w:rsid w:val="30A752A2"/>
    <w:rsid w:val="318818CB"/>
    <w:rsid w:val="320D50ED"/>
    <w:rsid w:val="33180F62"/>
    <w:rsid w:val="333809DF"/>
    <w:rsid w:val="33686F6B"/>
    <w:rsid w:val="33DF4656"/>
    <w:rsid w:val="34CC7220"/>
    <w:rsid w:val="358E555C"/>
    <w:rsid w:val="35AC38F8"/>
    <w:rsid w:val="363A3E94"/>
    <w:rsid w:val="36B02253"/>
    <w:rsid w:val="36B572B0"/>
    <w:rsid w:val="36C4095C"/>
    <w:rsid w:val="379522F8"/>
    <w:rsid w:val="38101EDD"/>
    <w:rsid w:val="39783C80"/>
    <w:rsid w:val="397A4685"/>
    <w:rsid w:val="39B051C8"/>
    <w:rsid w:val="39C52BEE"/>
    <w:rsid w:val="3A022D14"/>
    <w:rsid w:val="3A2B2AA0"/>
    <w:rsid w:val="3B051543"/>
    <w:rsid w:val="3B3836C7"/>
    <w:rsid w:val="3B651FE2"/>
    <w:rsid w:val="3B7D3228"/>
    <w:rsid w:val="3C180DD4"/>
    <w:rsid w:val="3C2B4FD9"/>
    <w:rsid w:val="3C5A5BA6"/>
    <w:rsid w:val="3C6E5853"/>
    <w:rsid w:val="3D692428"/>
    <w:rsid w:val="3E304B29"/>
    <w:rsid w:val="3EBA43F3"/>
    <w:rsid w:val="3F0F62AB"/>
    <w:rsid w:val="3F3101D7"/>
    <w:rsid w:val="3F3A4306"/>
    <w:rsid w:val="402D6F51"/>
    <w:rsid w:val="407E7726"/>
    <w:rsid w:val="4090365D"/>
    <w:rsid w:val="41012622"/>
    <w:rsid w:val="42383CEB"/>
    <w:rsid w:val="425A2075"/>
    <w:rsid w:val="42D432A8"/>
    <w:rsid w:val="43284021"/>
    <w:rsid w:val="443D7355"/>
    <w:rsid w:val="446749DF"/>
    <w:rsid w:val="44C1472D"/>
    <w:rsid w:val="44FA4FE8"/>
    <w:rsid w:val="4618037D"/>
    <w:rsid w:val="46287392"/>
    <w:rsid w:val="46C04AE1"/>
    <w:rsid w:val="477766D9"/>
    <w:rsid w:val="481334F1"/>
    <w:rsid w:val="48653621"/>
    <w:rsid w:val="48A17D12"/>
    <w:rsid w:val="48E439C3"/>
    <w:rsid w:val="48F36E7F"/>
    <w:rsid w:val="49090450"/>
    <w:rsid w:val="4A301A0D"/>
    <w:rsid w:val="4A577A02"/>
    <w:rsid w:val="4B591595"/>
    <w:rsid w:val="4BC92119"/>
    <w:rsid w:val="4C4B0D80"/>
    <w:rsid w:val="4CC528E0"/>
    <w:rsid w:val="4E813E24"/>
    <w:rsid w:val="4EE434E0"/>
    <w:rsid w:val="4F952A3E"/>
    <w:rsid w:val="5019541D"/>
    <w:rsid w:val="504E50E0"/>
    <w:rsid w:val="505C62EE"/>
    <w:rsid w:val="52765C90"/>
    <w:rsid w:val="52D338D7"/>
    <w:rsid w:val="52FB705C"/>
    <w:rsid w:val="54190C8F"/>
    <w:rsid w:val="54324CFF"/>
    <w:rsid w:val="564725B8"/>
    <w:rsid w:val="574D00A2"/>
    <w:rsid w:val="57C93BCD"/>
    <w:rsid w:val="582A3F3F"/>
    <w:rsid w:val="59DE1485"/>
    <w:rsid w:val="5B4A572E"/>
    <w:rsid w:val="5CB35D81"/>
    <w:rsid w:val="5DD431CC"/>
    <w:rsid w:val="5E0F41DF"/>
    <w:rsid w:val="5E745F1D"/>
    <w:rsid w:val="5FC829BC"/>
    <w:rsid w:val="613A51F3"/>
    <w:rsid w:val="613F0A5C"/>
    <w:rsid w:val="61874C61"/>
    <w:rsid w:val="61FA4982"/>
    <w:rsid w:val="62EF025F"/>
    <w:rsid w:val="633B7E21"/>
    <w:rsid w:val="63462575"/>
    <w:rsid w:val="634D1881"/>
    <w:rsid w:val="638B5099"/>
    <w:rsid w:val="64DD4813"/>
    <w:rsid w:val="650350E3"/>
    <w:rsid w:val="667F6F93"/>
    <w:rsid w:val="66DC3F6C"/>
    <w:rsid w:val="680058A5"/>
    <w:rsid w:val="680C3F36"/>
    <w:rsid w:val="68126ECA"/>
    <w:rsid w:val="68273FF7"/>
    <w:rsid w:val="68F420BB"/>
    <w:rsid w:val="69B22768"/>
    <w:rsid w:val="69E46644"/>
    <w:rsid w:val="6A8D0A8A"/>
    <w:rsid w:val="6BCE4EB6"/>
    <w:rsid w:val="6C625DD2"/>
    <w:rsid w:val="6C920CDA"/>
    <w:rsid w:val="6C937EAD"/>
    <w:rsid w:val="6CC8224D"/>
    <w:rsid w:val="6D6A6E60"/>
    <w:rsid w:val="6DD87BF1"/>
    <w:rsid w:val="6F7C2E7B"/>
    <w:rsid w:val="70180DF5"/>
    <w:rsid w:val="70893AA1"/>
    <w:rsid w:val="71787C6E"/>
    <w:rsid w:val="71C650B7"/>
    <w:rsid w:val="73C51294"/>
    <w:rsid w:val="73F51A2A"/>
    <w:rsid w:val="74026044"/>
    <w:rsid w:val="74244395"/>
    <w:rsid w:val="744C5512"/>
    <w:rsid w:val="749A42AC"/>
    <w:rsid w:val="76562678"/>
    <w:rsid w:val="766C401E"/>
    <w:rsid w:val="772E398D"/>
    <w:rsid w:val="780B7492"/>
    <w:rsid w:val="784D3AFD"/>
    <w:rsid w:val="78985615"/>
    <w:rsid w:val="791660EE"/>
    <w:rsid w:val="793A1DDD"/>
    <w:rsid w:val="7B566C76"/>
    <w:rsid w:val="7BA06143"/>
    <w:rsid w:val="7BC0508A"/>
    <w:rsid w:val="7BEE3352"/>
    <w:rsid w:val="7CC9308C"/>
    <w:rsid w:val="7DA71A0B"/>
    <w:rsid w:val="7F637F4B"/>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7">
    <w:name w:val="heading 3"/>
    <w:basedOn w:val="1"/>
    <w:next w:val="1"/>
    <w:qFormat/>
    <w:uiPriority w:val="0"/>
    <w:pPr>
      <w:keepNext/>
      <w:keepLines/>
      <w:spacing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next w:val="3"/>
    <w:qFormat/>
    <w:uiPriority w:val="0"/>
    <w:pPr>
      <w:snapToGrid w:val="0"/>
    </w:pPr>
    <w:rPr>
      <w:rFonts w:ascii="Arial" w:hAnsi="Arial" w:cs="Arial"/>
    </w:rPr>
  </w:style>
  <w:style w:type="paragraph" w:styleId="5">
    <w:name w:val="Body Text First Indent"/>
    <w:basedOn w:val="1"/>
    <w:next w:val="1"/>
    <w:unhideWhenUsed/>
    <w:qFormat/>
    <w:uiPriority w:val="0"/>
    <w:pPr>
      <w:ind w:firstLine="420" w:firstLineChars="100"/>
    </w:pPr>
    <w:rPr>
      <w:kern w:val="0"/>
      <w:sz w:val="20"/>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ascii="宋体" w:hAnsi="宋体" w:cs="宋体"/>
      <w:kern w:val="0"/>
      <w:sz w:val="24"/>
    </w:rPr>
  </w:style>
  <w:style w:type="character" w:styleId="15">
    <w:name w:val="annotation reference"/>
    <w:basedOn w:val="14"/>
    <w:qFormat/>
    <w:uiPriority w:val="0"/>
    <w:rPr>
      <w:sz w:val="21"/>
      <w:szCs w:val="21"/>
    </w:rPr>
  </w:style>
  <w:style w:type="paragraph" w:customStyle="1" w:styleId="16">
    <w:name w:val="目录 81"/>
    <w:basedOn w:val="1"/>
    <w:next w:val="1"/>
    <w:qFormat/>
    <w:uiPriority w:val="0"/>
    <w:pPr>
      <w:ind w:left="294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6656</Words>
  <Characters>6878</Characters>
  <Lines>44</Lines>
  <Paragraphs>12</Paragraphs>
  <TotalTime>0</TotalTime>
  <ScaleCrop>false</ScaleCrop>
  <LinksUpToDate>false</LinksUpToDate>
  <CharactersWithSpaces>7025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2022-12-10T07:05:00Z</dcterms:created>
  <dc:creator>Administrator</dc:creator>
  <cp:lastModifiedBy>无谓谁减谁。</cp:lastModifiedBy>
  <dcterms:modified xsi:type="dcterms:W3CDTF">2023-04-07T08:24:18Z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29C04829EBBB41999AA35964DE87C051_13</vt:lpwstr>
  </property>
</Properties>
</file>